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DE" w:rsidRDefault="00055970">
      <w:r>
        <w:t xml:space="preserve"> </w:t>
      </w:r>
    </w:p>
    <w:p w:rsidR="003D3FBD" w:rsidRPr="001B78F1" w:rsidRDefault="003D3FBD" w:rsidP="003D3FBD">
      <w:pPr>
        <w:rPr>
          <w:lang w:val="en-US"/>
        </w:rPr>
      </w:pPr>
      <w:r w:rsidRPr="001B78F1">
        <w:rPr>
          <w:lang w:val="en-US"/>
        </w:rPr>
        <w:t xml:space="preserve">LGA/DCLG Business Rates Retention Steering </w:t>
      </w:r>
      <w:r w:rsidR="001B78F1">
        <w:rPr>
          <w:lang w:val="en-US"/>
        </w:rPr>
        <w:t>G</w:t>
      </w:r>
      <w:r w:rsidRPr="001B78F1">
        <w:rPr>
          <w:lang w:val="en-US"/>
        </w:rPr>
        <w:t>roup paper – 3 October 2017</w:t>
      </w:r>
    </w:p>
    <w:p w:rsidR="003D3FBD" w:rsidRDefault="000F1E9E" w:rsidP="003D3FBD">
      <w:pPr>
        <w:rPr>
          <w:lang w:val="en-US"/>
        </w:rPr>
      </w:pPr>
      <w:r>
        <w:rPr>
          <w:b/>
          <w:lang w:val="en-US"/>
        </w:rPr>
        <w:br/>
      </w:r>
      <w:r w:rsidR="003D3FBD" w:rsidRPr="009F5F5E">
        <w:rPr>
          <w:b/>
          <w:lang w:val="en-US"/>
        </w:rPr>
        <w:t>Issue</w:t>
      </w:r>
    </w:p>
    <w:p w:rsidR="001B78F1" w:rsidRPr="001B78F1" w:rsidRDefault="003D3FBD" w:rsidP="002B55BA">
      <w:pPr>
        <w:pStyle w:val="ListParagraph"/>
        <w:numPr>
          <w:ilvl w:val="0"/>
          <w:numId w:val="1"/>
        </w:numPr>
        <w:rPr>
          <w:b/>
          <w:lang w:val="en-US"/>
        </w:rPr>
      </w:pPr>
      <w:r w:rsidRPr="001B78F1">
        <w:rPr>
          <w:lang w:val="en-US"/>
        </w:rPr>
        <w:t>To</w:t>
      </w:r>
      <w:r w:rsidR="001B78F1" w:rsidRPr="001B78F1">
        <w:rPr>
          <w:lang w:val="en-US"/>
        </w:rPr>
        <w:t xml:space="preserve"> deliver an</w:t>
      </w:r>
      <w:r w:rsidRPr="001B78F1">
        <w:rPr>
          <w:lang w:val="en-US"/>
        </w:rPr>
        <w:t xml:space="preserve"> update</w:t>
      </w:r>
      <w:r w:rsidR="001B78F1" w:rsidRPr="001B78F1">
        <w:rPr>
          <w:lang w:val="en-US"/>
        </w:rPr>
        <w:t xml:space="preserve"> to</w:t>
      </w:r>
      <w:r w:rsidRPr="001B78F1">
        <w:rPr>
          <w:lang w:val="en-US"/>
        </w:rPr>
        <w:t xml:space="preserve"> the Ste</w:t>
      </w:r>
      <w:r w:rsidR="001B78F1" w:rsidRPr="001B78F1">
        <w:rPr>
          <w:lang w:val="en-US"/>
        </w:rPr>
        <w:t xml:space="preserve">ering Group on </w:t>
      </w:r>
      <w:r w:rsidRPr="001B78F1">
        <w:rPr>
          <w:lang w:val="en-US"/>
        </w:rPr>
        <w:t>t</w:t>
      </w:r>
      <w:r w:rsidR="00AB75A4" w:rsidRPr="001B78F1">
        <w:rPr>
          <w:lang w:val="en-US"/>
        </w:rPr>
        <w:t>he Fair Funding Review</w:t>
      </w:r>
      <w:r w:rsidR="001B78F1">
        <w:rPr>
          <w:lang w:val="en-US"/>
        </w:rPr>
        <w:t>.</w:t>
      </w:r>
      <w:r w:rsidR="00AB75A4" w:rsidRPr="001B78F1">
        <w:rPr>
          <w:lang w:val="en-US"/>
        </w:rPr>
        <w:t xml:space="preserve"> </w:t>
      </w:r>
    </w:p>
    <w:p w:rsidR="002B55BA" w:rsidRPr="001B78F1" w:rsidRDefault="002B55BA" w:rsidP="001B78F1">
      <w:pPr>
        <w:rPr>
          <w:b/>
          <w:lang w:val="en-US"/>
        </w:rPr>
      </w:pPr>
      <w:r w:rsidRPr="001B78F1">
        <w:rPr>
          <w:b/>
          <w:lang w:val="en-US"/>
        </w:rPr>
        <w:t>Update since the election</w:t>
      </w:r>
    </w:p>
    <w:p w:rsidR="002B55BA" w:rsidRPr="00046C65" w:rsidRDefault="002B55BA" w:rsidP="002B55BA">
      <w:pPr>
        <w:numPr>
          <w:ilvl w:val="0"/>
          <w:numId w:val="1"/>
        </w:numPr>
        <w:rPr>
          <w:lang w:val="en-US"/>
        </w:rPr>
      </w:pPr>
      <w:r>
        <w:rPr>
          <w:lang w:val="en-US"/>
        </w:rPr>
        <w:t xml:space="preserve">Since the Queen’s </w:t>
      </w:r>
      <w:r w:rsidR="00AF5D54">
        <w:rPr>
          <w:lang w:val="en-US"/>
        </w:rPr>
        <w:t>S</w:t>
      </w:r>
      <w:r>
        <w:rPr>
          <w:lang w:val="en-US"/>
        </w:rPr>
        <w:t xml:space="preserve">peech, DCLG </w:t>
      </w:r>
      <w:r w:rsidR="001B78F1">
        <w:rPr>
          <w:lang w:val="en-US"/>
        </w:rPr>
        <w:t>M</w:t>
      </w:r>
      <w:r>
        <w:rPr>
          <w:lang w:val="en-US"/>
        </w:rPr>
        <w:t xml:space="preserve">inisters have pledged </w:t>
      </w:r>
      <w:r w:rsidRPr="00046C65">
        <w:rPr>
          <w:lang w:val="en-US"/>
        </w:rPr>
        <w:t>continu</w:t>
      </w:r>
      <w:r w:rsidR="001B78F1">
        <w:rPr>
          <w:lang w:val="en-US"/>
        </w:rPr>
        <w:t>ed</w:t>
      </w:r>
      <w:r w:rsidRPr="00046C65">
        <w:rPr>
          <w:lang w:val="en-US"/>
        </w:rPr>
        <w:t xml:space="preserve"> commitment to the Fair Funding Review to </w:t>
      </w:r>
      <w:r w:rsidR="00AB75A4">
        <w:rPr>
          <w:lang w:val="en-US"/>
        </w:rPr>
        <w:t>address</w:t>
      </w:r>
      <w:r w:rsidRPr="00046C65">
        <w:rPr>
          <w:lang w:val="en-US"/>
        </w:rPr>
        <w:t xml:space="preserve"> concerns about the current methodology for determining councils’ relative funding needs</w:t>
      </w:r>
      <w:r w:rsidR="001B78F1">
        <w:rPr>
          <w:lang w:val="en-US"/>
        </w:rPr>
        <w:t xml:space="preserve"> at LGF settlements</w:t>
      </w:r>
      <w:r w:rsidRPr="00046C65">
        <w:rPr>
          <w:lang w:val="en-US"/>
        </w:rPr>
        <w:t>. The Review’s outputs will not require legislation in order to be implemented.</w:t>
      </w:r>
    </w:p>
    <w:p w:rsidR="002B55BA" w:rsidRPr="0039684A" w:rsidRDefault="002B55BA" w:rsidP="002B55BA">
      <w:pPr>
        <w:pStyle w:val="ListParagraph"/>
        <w:numPr>
          <w:ilvl w:val="0"/>
          <w:numId w:val="1"/>
        </w:numPr>
        <w:rPr>
          <w:lang w:val="en-US"/>
        </w:rPr>
      </w:pPr>
      <w:r>
        <w:rPr>
          <w:lang w:val="en-US"/>
        </w:rPr>
        <w:t>After discussion with DCLG Ministers, t</w:t>
      </w:r>
      <w:r w:rsidRPr="0039684A">
        <w:rPr>
          <w:lang w:val="en-US"/>
        </w:rPr>
        <w:t>he Review is work</w:t>
      </w:r>
      <w:r w:rsidR="00AF5D54">
        <w:rPr>
          <w:lang w:val="en-US"/>
        </w:rPr>
        <w:t xml:space="preserve">ing to </w:t>
      </w:r>
      <w:r w:rsidRPr="00AF5D54">
        <w:rPr>
          <w:lang w:val="en-US"/>
        </w:rPr>
        <w:t>2020/21</w:t>
      </w:r>
      <w:r w:rsidR="00AF5D54">
        <w:rPr>
          <w:lang w:val="en-US"/>
        </w:rPr>
        <w:t xml:space="preserve"> as a potential date for implementation</w:t>
      </w:r>
      <w:r w:rsidRPr="0039684A">
        <w:rPr>
          <w:lang w:val="en-US"/>
        </w:rPr>
        <w:t xml:space="preserve">. </w:t>
      </w:r>
      <w:r w:rsidR="00AF5D54">
        <w:rPr>
          <w:lang w:val="en-US"/>
        </w:rPr>
        <w:t xml:space="preserve">Although still </w:t>
      </w:r>
      <w:r w:rsidR="007F6CE1">
        <w:rPr>
          <w:lang w:val="en-US"/>
        </w:rPr>
        <w:t>under consideration</w:t>
      </w:r>
      <w:r w:rsidR="00AF5D54">
        <w:rPr>
          <w:lang w:val="en-US"/>
        </w:rPr>
        <w:t>, t</w:t>
      </w:r>
      <w:r w:rsidRPr="0039684A">
        <w:rPr>
          <w:lang w:val="en-US"/>
        </w:rPr>
        <w:t xml:space="preserve">here </w:t>
      </w:r>
      <w:r w:rsidR="00AF5D54">
        <w:rPr>
          <w:lang w:val="en-US"/>
        </w:rPr>
        <w:t>would be</w:t>
      </w:r>
      <w:r w:rsidRPr="0039684A">
        <w:rPr>
          <w:lang w:val="en-US"/>
        </w:rPr>
        <w:t xml:space="preserve"> several reasons for</w:t>
      </w:r>
      <w:r w:rsidR="00AF5D54">
        <w:rPr>
          <w:lang w:val="en-US"/>
        </w:rPr>
        <w:t xml:space="preserve"> doing </w:t>
      </w:r>
      <w:r w:rsidR="007F6CE1">
        <w:rPr>
          <w:lang w:val="en-US"/>
        </w:rPr>
        <w:t>this</w:t>
      </w:r>
      <w:r w:rsidRPr="0039684A">
        <w:rPr>
          <w:lang w:val="en-US"/>
        </w:rPr>
        <w:t>:</w:t>
      </w:r>
    </w:p>
    <w:p w:rsidR="002B55BA" w:rsidRDefault="002B55BA" w:rsidP="002B55BA">
      <w:pPr>
        <w:numPr>
          <w:ilvl w:val="1"/>
          <w:numId w:val="5"/>
        </w:numPr>
      </w:pPr>
      <w:r>
        <w:t xml:space="preserve">The Review is exploring a single formula </w:t>
      </w:r>
      <w:r w:rsidR="00AB75A4">
        <w:t>approach</w:t>
      </w:r>
      <w:r>
        <w:t xml:space="preserve"> and a service-specific</w:t>
      </w:r>
      <w:r w:rsidR="00AB75A4">
        <w:t xml:space="preserve"> approach </w:t>
      </w:r>
      <w:r>
        <w:t xml:space="preserve">in tandem. 2020/21 would allow us to complete a research exercise </w:t>
      </w:r>
      <w:r w:rsidR="00AB75A4">
        <w:t>which would unlock</w:t>
      </w:r>
      <w:r>
        <w:t xml:space="preserve"> multi-level modelling </w:t>
      </w:r>
      <w:r w:rsidR="00AB75A4">
        <w:t>as a statistical technique for</w:t>
      </w:r>
      <w:r>
        <w:t xml:space="preserve"> measuring relative need for Children’s</w:t>
      </w:r>
      <w:r w:rsidR="00AB75A4">
        <w:t xml:space="preserve"> s</w:t>
      </w:r>
      <w:r>
        <w:t>ervices. This is discussed below.</w:t>
      </w:r>
    </w:p>
    <w:p w:rsidR="002B55BA" w:rsidRDefault="002B55BA" w:rsidP="002B55BA">
      <w:pPr>
        <w:numPr>
          <w:ilvl w:val="1"/>
          <w:numId w:val="5"/>
        </w:numPr>
      </w:pPr>
      <w:r>
        <w:t>The election has impacted the Review’s original timetable. 2020/21 allows for more time to consult with local government on certain key decisions, and ensure</w:t>
      </w:r>
      <w:r w:rsidR="00AB75A4">
        <w:t>s</w:t>
      </w:r>
      <w:r>
        <w:t xml:space="preserve"> the new methodology is informed by sufficient engagement with the sector.   </w:t>
      </w:r>
    </w:p>
    <w:p w:rsidR="002B55BA" w:rsidRPr="003D5328" w:rsidRDefault="002B55BA" w:rsidP="002B55BA">
      <w:pPr>
        <w:numPr>
          <w:ilvl w:val="1"/>
          <w:numId w:val="5"/>
        </w:numPr>
      </w:pPr>
      <w:r>
        <w:t xml:space="preserve">It may better align with the current Spending Review cycle including the current multi-year LGF settlement. </w:t>
      </w:r>
    </w:p>
    <w:p w:rsidR="002B55BA" w:rsidRDefault="002B55BA" w:rsidP="002B55BA">
      <w:pPr>
        <w:numPr>
          <w:ilvl w:val="1"/>
          <w:numId w:val="5"/>
        </w:numPr>
      </w:pPr>
      <w:r>
        <w:t xml:space="preserve">It would allow the Review to factor the latest data update to the Index of Multiple Deprivation, which may be the optimal way of adjusting funding allocations for relative levels of deprivation. </w:t>
      </w:r>
      <w:r w:rsidR="007F6CE1">
        <w:t>It is updated every few years and the</w:t>
      </w:r>
      <w:r w:rsidR="00AF5D54">
        <w:t xml:space="preserve"> next </w:t>
      </w:r>
      <w:r w:rsidR="007F6CE1">
        <w:t xml:space="preserve">is </w:t>
      </w:r>
      <w:r w:rsidR="00AF5D54">
        <w:t xml:space="preserve">due </w:t>
      </w:r>
      <w:r w:rsidR="007F6CE1">
        <w:t>in</w:t>
      </w:r>
      <w:r w:rsidR="00AF5D54">
        <w:t xml:space="preserve"> summer 2019.</w:t>
      </w:r>
    </w:p>
    <w:p w:rsidR="00DA7833" w:rsidRDefault="00DA7833" w:rsidP="00DA7833">
      <w:pPr>
        <w:numPr>
          <w:ilvl w:val="0"/>
          <w:numId w:val="5"/>
        </w:numPr>
      </w:pPr>
      <w:r>
        <w:t>A potential timeline to 2020/21 can be found at Annex A.</w:t>
      </w:r>
    </w:p>
    <w:p w:rsidR="00DA7833" w:rsidRDefault="00DA7833" w:rsidP="00C34CE0">
      <w:pPr>
        <w:rPr>
          <w:b/>
          <w:lang w:val="en-US"/>
        </w:rPr>
      </w:pPr>
    </w:p>
    <w:p w:rsidR="00C34CE0" w:rsidRPr="00C34CE0" w:rsidRDefault="00C34CE0" w:rsidP="00C34CE0">
      <w:pPr>
        <w:rPr>
          <w:b/>
          <w:lang w:val="en-US"/>
        </w:rPr>
      </w:pPr>
      <w:r>
        <w:rPr>
          <w:b/>
          <w:lang w:val="en-US"/>
        </w:rPr>
        <w:t xml:space="preserve">Progress since </w:t>
      </w:r>
      <w:r w:rsidR="006F7FDD">
        <w:rPr>
          <w:b/>
          <w:lang w:val="en-US"/>
        </w:rPr>
        <w:t>February</w:t>
      </w:r>
    </w:p>
    <w:p w:rsidR="00C34CE0" w:rsidRDefault="00C34CE0" w:rsidP="0039684A">
      <w:pPr>
        <w:pStyle w:val="ListParagraph"/>
        <w:numPr>
          <w:ilvl w:val="0"/>
          <w:numId w:val="1"/>
        </w:numPr>
        <w:rPr>
          <w:lang w:val="en-US"/>
        </w:rPr>
      </w:pPr>
      <w:r w:rsidRPr="0039684A">
        <w:rPr>
          <w:lang w:val="en-US"/>
        </w:rPr>
        <w:t>At the last update to the Steering Group</w:t>
      </w:r>
      <w:r w:rsidR="007F6CE1">
        <w:rPr>
          <w:lang w:val="en-US"/>
        </w:rPr>
        <w:t xml:space="preserve"> in February</w:t>
      </w:r>
      <w:r w:rsidR="006F7FDD">
        <w:rPr>
          <w:lang w:val="en-US"/>
        </w:rPr>
        <w:t xml:space="preserve"> </w:t>
      </w:r>
      <w:r w:rsidR="00A22BEC">
        <w:rPr>
          <w:lang w:val="en-US"/>
        </w:rPr>
        <w:t xml:space="preserve">we </w:t>
      </w:r>
      <w:proofErr w:type="spellStart"/>
      <w:r w:rsidR="00A22BEC">
        <w:rPr>
          <w:lang w:val="en-US"/>
        </w:rPr>
        <w:t>summarised</w:t>
      </w:r>
      <w:proofErr w:type="spellEnd"/>
      <w:r w:rsidR="006F7FDD">
        <w:rPr>
          <w:lang w:val="en-US"/>
        </w:rPr>
        <w:t xml:space="preserve"> </w:t>
      </w:r>
      <w:r w:rsidR="001B78F1">
        <w:rPr>
          <w:lang w:val="en-US"/>
        </w:rPr>
        <w:t>the responses to</w:t>
      </w:r>
      <w:r w:rsidR="006F7FDD">
        <w:rPr>
          <w:lang w:val="en-US"/>
        </w:rPr>
        <w:t xml:space="preserve"> last year’s </w:t>
      </w:r>
      <w:r w:rsidR="007F6CE1">
        <w:rPr>
          <w:lang w:val="en-US"/>
        </w:rPr>
        <w:t>C</w:t>
      </w:r>
      <w:r w:rsidR="006F7FDD">
        <w:rPr>
          <w:lang w:val="en-US"/>
        </w:rPr>
        <w:t xml:space="preserve">all for </w:t>
      </w:r>
      <w:r w:rsidR="007F6CE1">
        <w:rPr>
          <w:lang w:val="en-US"/>
        </w:rPr>
        <w:t>E</w:t>
      </w:r>
      <w:r w:rsidR="006F7FDD">
        <w:rPr>
          <w:lang w:val="en-US"/>
        </w:rPr>
        <w:t xml:space="preserve">vidence </w:t>
      </w:r>
      <w:r w:rsidR="00A22BEC">
        <w:rPr>
          <w:lang w:val="en-US"/>
        </w:rPr>
        <w:t>and</w:t>
      </w:r>
      <w:r w:rsidR="006F7FDD">
        <w:rPr>
          <w:lang w:val="en-US"/>
        </w:rPr>
        <w:t xml:space="preserve"> recap</w:t>
      </w:r>
      <w:r w:rsidR="00A22BEC">
        <w:rPr>
          <w:lang w:val="en-US"/>
        </w:rPr>
        <w:t>ped</w:t>
      </w:r>
      <w:r w:rsidR="006F7FDD">
        <w:rPr>
          <w:lang w:val="en-US"/>
        </w:rPr>
        <w:t xml:space="preserve"> recent </w:t>
      </w:r>
      <w:r w:rsidR="00275F9A">
        <w:rPr>
          <w:lang w:val="en-US"/>
        </w:rPr>
        <w:t>agenda items</w:t>
      </w:r>
      <w:r w:rsidR="00A22BEC">
        <w:rPr>
          <w:lang w:val="en-US"/>
        </w:rPr>
        <w:t xml:space="preserve"> from the </w:t>
      </w:r>
      <w:r w:rsidR="00C77F44">
        <w:rPr>
          <w:lang w:val="en-US"/>
        </w:rPr>
        <w:t xml:space="preserve">Needs and Redistribution </w:t>
      </w:r>
      <w:r w:rsidR="00A22BEC">
        <w:rPr>
          <w:lang w:val="en-US"/>
        </w:rPr>
        <w:t>technical working group</w:t>
      </w:r>
      <w:r w:rsidR="00275F9A">
        <w:rPr>
          <w:lang w:val="en-US"/>
        </w:rPr>
        <w:t xml:space="preserve"> </w:t>
      </w:r>
      <w:r w:rsidR="00C77F44">
        <w:rPr>
          <w:lang w:val="en-US"/>
        </w:rPr>
        <w:t>(TWG)</w:t>
      </w:r>
      <w:r w:rsidR="001B78F1">
        <w:rPr>
          <w:lang w:val="en-US"/>
        </w:rPr>
        <w:t>,</w:t>
      </w:r>
      <w:r w:rsidR="00C77F44">
        <w:rPr>
          <w:lang w:val="en-US"/>
        </w:rPr>
        <w:t xml:space="preserve"> </w:t>
      </w:r>
      <w:r w:rsidR="00EC223C">
        <w:rPr>
          <w:lang w:val="en-US"/>
        </w:rPr>
        <w:t xml:space="preserve">which </w:t>
      </w:r>
      <w:r w:rsidR="002B55BA">
        <w:rPr>
          <w:lang w:val="en-US"/>
        </w:rPr>
        <w:t xml:space="preserve">were based around </w:t>
      </w:r>
      <w:r w:rsidR="00EC223C">
        <w:rPr>
          <w:lang w:val="en-US"/>
        </w:rPr>
        <w:t>cost drivers and how to measure relative need</w:t>
      </w:r>
      <w:r w:rsidR="00C77F44">
        <w:rPr>
          <w:lang w:val="en-US"/>
        </w:rPr>
        <w:t>.</w:t>
      </w:r>
      <w:r w:rsidR="00EC223C">
        <w:rPr>
          <w:lang w:val="en-US"/>
        </w:rPr>
        <w:t xml:space="preserve"> </w:t>
      </w:r>
    </w:p>
    <w:p w:rsidR="0039684A" w:rsidRPr="0039684A" w:rsidRDefault="0039684A" w:rsidP="0039684A">
      <w:pPr>
        <w:pStyle w:val="ListParagraph"/>
        <w:ind w:left="360"/>
        <w:rPr>
          <w:lang w:val="en-US"/>
        </w:rPr>
      </w:pPr>
    </w:p>
    <w:p w:rsidR="00C34CE0" w:rsidRPr="0039684A" w:rsidRDefault="00C34CE0" w:rsidP="0039684A">
      <w:pPr>
        <w:pStyle w:val="ListParagraph"/>
        <w:numPr>
          <w:ilvl w:val="0"/>
          <w:numId w:val="1"/>
        </w:numPr>
        <w:rPr>
          <w:lang w:val="en-US"/>
        </w:rPr>
      </w:pPr>
      <w:r w:rsidRPr="0039684A">
        <w:rPr>
          <w:lang w:val="en-US"/>
        </w:rPr>
        <w:t>Since then the Review has</w:t>
      </w:r>
      <w:r w:rsidR="00A22BEC">
        <w:rPr>
          <w:lang w:val="en-US"/>
        </w:rPr>
        <w:t>:</w:t>
      </w:r>
    </w:p>
    <w:p w:rsidR="00A22BEC" w:rsidRDefault="00046C65" w:rsidP="00ED41E1">
      <w:pPr>
        <w:numPr>
          <w:ilvl w:val="0"/>
          <w:numId w:val="14"/>
        </w:numPr>
      </w:pPr>
      <w:r>
        <w:t>r</w:t>
      </w:r>
      <w:r w:rsidR="00EC223C">
        <w:t xml:space="preserve">esponded to representations made </w:t>
      </w:r>
      <w:r w:rsidR="001B78F1">
        <w:t>to</w:t>
      </w:r>
      <w:r w:rsidR="00EC223C">
        <w:t xml:space="preserve"> the </w:t>
      </w:r>
      <w:r w:rsidR="007F6CE1">
        <w:t>C</w:t>
      </w:r>
      <w:r w:rsidR="00EC223C">
        <w:t xml:space="preserve">all for </w:t>
      </w:r>
      <w:r w:rsidR="007F6CE1">
        <w:t>E</w:t>
      </w:r>
      <w:r w:rsidR="00EC223C">
        <w:t>vidence by confirming</w:t>
      </w:r>
      <w:r w:rsidR="00A22BEC">
        <w:t xml:space="preserve"> </w:t>
      </w:r>
      <w:r w:rsidR="00EC223C">
        <w:t>a set of</w:t>
      </w:r>
      <w:r w:rsidR="00A22BEC">
        <w:t xml:space="preserve"> </w:t>
      </w:r>
      <w:r w:rsidR="00EC223C">
        <w:t>principles</w:t>
      </w:r>
      <w:r>
        <w:t xml:space="preserve"> which will guide its work across three areas: measuring need, treatment of resources, and approach to transition,</w:t>
      </w:r>
    </w:p>
    <w:p w:rsidR="00E0556B" w:rsidRPr="00046C65" w:rsidRDefault="007F6CE1" w:rsidP="00ED41E1">
      <w:pPr>
        <w:numPr>
          <w:ilvl w:val="0"/>
          <w:numId w:val="14"/>
        </w:numPr>
        <w:rPr>
          <w:lang w:val="en-US"/>
        </w:rPr>
      </w:pPr>
      <w:r>
        <w:t>continued</w:t>
      </w:r>
      <w:r w:rsidR="00E0556B">
        <w:t xml:space="preserve"> engagement with local authorities to test ideas and opinions,   </w:t>
      </w:r>
    </w:p>
    <w:p w:rsidR="008E74D1" w:rsidRPr="00E0556B" w:rsidRDefault="008E74D1" w:rsidP="00ED41E1">
      <w:pPr>
        <w:numPr>
          <w:ilvl w:val="0"/>
          <w:numId w:val="14"/>
        </w:numPr>
        <w:rPr>
          <w:lang w:val="en-US"/>
        </w:rPr>
      </w:pPr>
      <w:r>
        <w:t xml:space="preserve">reengaged the </w:t>
      </w:r>
      <w:r w:rsidR="00C77F44">
        <w:t>TWG</w:t>
      </w:r>
      <w:r>
        <w:t xml:space="preserve"> to make progress on the ‘need’ and ‘resources’ </w:t>
      </w:r>
      <w:proofErr w:type="spellStart"/>
      <w:r>
        <w:t>workstreams</w:t>
      </w:r>
      <w:proofErr w:type="spellEnd"/>
      <w:r>
        <w:t>, including:</w:t>
      </w:r>
    </w:p>
    <w:p w:rsidR="008E74D1" w:rsidRPr="003F7B9B" w:rsidRDefault="008E74D1" w:rsidP="002B55BA">
      <w:pPr>
        <w:numPr>
          <w:ilvl w:val="1"/>
          <w:numId w:val="13"/>
        </w:numPr>
        <w:rPr>
          <w:lang w:val="en-US"/>
        </w:rPr>
      </w:pPr>
      <w:r>
        <w:t xml:space="preserve">a summary of the analytical options appraisals DCLG </w:t>
      </w:r>
      <w:r w:rsidR="007F6CE1">
        <w:t>is conducting</w:t>
      </w:r>
      <w:r>
        <w:t xml:space="preserve"> for developing a single formula approach as well as service specific approaches,</w:t>
      </w:r>
    </w:p>
    <w:p w:rsidR="008E74D1" w:rsidRDefault="007F6CE1" w:rsidP="002B55BA">
      <w:pPr>
        <w:numPr>
          <w:ilvl w:val="1"/>
          <w:numId w:val="13"/>
        </w:numPr>
        <w:rPr>
          <w:lang w:val="en-US"/>
        </w:rPr>
      </w:pPr>
      <w:r>
        <w:rPr>
          <w:lang w:val="en-US"/>
        </w:rPr>
        <w:t xml:space="preserve">the </w:t>
      </w:r>
      <w:r w:rsidR="008E74D1">
        <w:rPr>
          <w:lang w:val="en-US"/>
        </w:rPr>
        <w:t xml:space="preserve">methodologies available for adding an ‘Area Cost Adjustment’ to </w:t>
      </w:r>
      <w:r w:rsidR="00055E67">
        <w:rPr>
          <w:lang w:val="en-US"/>
        </w:rPr>
        <w:t xml:space="preserve">funding </w:t>
      </w:r>
      <w:r w:rsidR="008E74D1">
        <w:rPr>
          <w:lang w:val="en-US"/>
        </w:rPr>
        <w:t xml:space="preserve">allocations to reflect factors such as local </w:t>
      </w:r>
      <w:proofErr w:type="spellStart"/>
      <w:r w:rsidR="008E74D1">
        <w:rPr>
          <w:lang w:val="en-US"/>
        </w:rPr>
        <w:t>labour</w:t>
      </w:r>
      <w:proofErr w:type="spellEnd"/>
      <w:r w:rsidR="008E74D1">
        <w:rPr>
          <w:lang w:val="en-US"/>
        </w:rPr>
        <w:t xml:space="preserve"> costs,</w:t>
      </w:r>
    </w:p>
    <w:p w:rsidR="008E74D1" w:rsidRPr="003F7B9B" w:rsidRDefault="008E74D1" w:rsidP="002B55BA">
      <w:pPr>
        <w:numPr>
          <w:ilvl w:val="1"/>
          <w:numId w:val="13"/>
        </w:numPr>
        <w:rPr>
          <w:lang w:val="en-US"/>
        </w:rPr>
      </w:pPr>
      <w:r>
        <w:rPr>
          <w:lang w:val="en-US"/>
        </w:rPr>
        <w:t xml:space="preserve">papers on how to </w:t>
      </w:r>
      <w:r w:rsidR="00DA7833">
        <w:rPr>
          <w:lang w:val="en-US"/>
        </w:rPr>
        <w:t>factor</w:t>
      </w:r>
      <w:r>
        <w:rPr>
          <w:lang w:val="en-US"/>
        </w:rPr>
        <w:t xml:space="preserve"> rurality and deprivation in funding formulas,</w:t>
      </w:r>
      <w:r w:rsidR="00DA7833">
        <w:rPr>
          <w:lang w:val="en-US"/>
        </w:rPr>
        <w:t xml:space="preserve"> and</w:t>
      </w:r>
    </w:p>
    <w:p w:rsidR="008E74D1" w:rsidRPr="00ED41E1" w:rsidRDefault="008E74D1" w:rsidP="002B55BA">
      <w:pPr>
        <w:numPr>
          <w:ilvl w:val="1"/>
          <w:numId w:val="13"/>
        </w:numPr>
        <w:rPr>
          <w:lang w:val="en-US"/>
        </w:rPr>
      </w:pPr>
      <w:proofErr w:type="gramStart"/>
      <w:r>
        <w:t>a</w:t>
      </w:r>
      <w:proofErr w:type="gramEnd"/>
      <w:r>
        <w:t xml:space="preserve"> paper scoping the issues surrounding how to make a fair adjustment for relative abilit</w:t>
      </w:r>
      <w:r w:rsidR="00DA7833">
        <w:t>y</w:t>
      </w:r>
      <w:r>
        <w:t xml:space="preserve"> to raise income through council tax</w:t>
      </w:r>
      <w:r w:rsidR="00DA7833">
        <w:t xml:space="preserve"> and as well as </w:t>
      </w:r>
      <w:r>
        <w:t xml:space="preserve"> through sales, fees and charges. </w:t>
      </w:r>
    </w:p>
    <w:p w:rsidR="00ED41E1" w:rsidRPr="00E0556B" w:rsidRDefault="003C4539" w:rsidP="00ED41E1">
      <w:pPr>
        <w:pStyle w:val="ListParagraph"/>
        <w:numPr>
          <w:ilvl w:val="0"/>
          <w:numId w:val="1"/>
        </w:numPr>
        <w:rPr>
          <w:lang w:val="en-US"/>
        </w:rPr>
      </w:pPr>
      <w:r>
        <w:rPr>
          <w:lang w:val="en-US"/>
        </w:rPr>
        <w:t>The Review’s guiding principles can be found at Annex B.</w:t>
      </w:r>
    </w:p>
    <w:p w:rsidR="00157FA9" w:rsidRPr="00055E67" w:rsidRDefault="00055E67" w:rsidP="00157FA9">
      <w:pPr>
        <w:rPr>
          <w:b/>
        </w:rPr>
      </w:pPr>
      <w:r>
        <w:rPr>
          <w:i/>
        </w:rPr>
        <w:br/>
      </w:r>
      <w:r w:rsidR="006538EE" w:rsidRPr="00055E67">
        <w:rPr>
          <w:b/>
        </w:rPr>
        <w:t xml:space="preserve">Children’s </w:t>
      </w:r>
      <w:r w:rsidR="007F6CE1">
        <w:rPr>
          <w:b/>
        </w:rPr>
        <w:t>s</w:t>
      </w:r>
      <w:r w:rsidR="006538EE" w:rsidRPr="00055E67">
        <w:rPr>
          <w:b/>
        </w:rPr>
        <w:t xml:space="preserve">ervices research </w:t>
      </w:r>
    </w:p>
    <w:p w:rsidR="002E6D4D" w:rsidRPr="002E6D4D" w:rsidRDefault="007F6CE1" w:rsidP="0039684A">
      <w:pPr>
        <w:pStyle w:val="ListParagraph"/>
        <w:numPr>
          <w:ilvl w:val="0"/>
          <w:numId w:val="1"/>
        </w:numPr>
        <w:rPr>
          <w:i/>
        </w:rPr>
      </w:pPr>
      <w:r>
        <w:t>DCLG and the Department for Education</w:t>
      </w:r>
      <w:r w:rsidR="0039684A">
        <w:t xml:space="preserve"> are launching a project</w:t>
      </w:r>
      <w:r w:rsidR="008D0FC1">
        <w:t xml:space="preserve"> to carry out a</w:t>
      </w:r>
      <w:r w:rsidR="0039684A">
        <w:t xml:space="preserve"> large data collection exercise </w:t>
      </w:r>
      <w:r>
        <w:t xml:space="preserve">on Children’s services </w:t>
      </w:r>
      <w:r w:rsidR="0039684A">
        <w:t xml:space="preserve">at a low geographical level. </w:t>
      </w:r>
    </w:p>
    <w:p w:rsidR="002E6D4D" w:rsidRPr="002E6D4D" w:rsidRDefault="002E6D4D" w:rsidP="002E6D4D">
      <w:pPr>
        <w:pStyle w:val="ListParagraph"/>
        <w:ind w:left="360"/>
        <w:rPr>
          <w:i/>
        </w:rPr>
      </w:pPr>
    </w:p>
    <w:p w:rsidR="0039684A" w:rsidRPr="000E5366" w:rsidRDefault="0039684A" w:rsidP="0039684A">
      <w:pPr>
        <w:pStyle w:val="ListParagraph"/>
        <w:numPr>
          <w:ilvl w:val="0"/>
          <w:numId w:val="1"/>
        </w:numPr>
        <w:rPr>
          <w:i/>
        </w:rPr>
      </w:pPr>
      <w:r>
        <w:t>The aim is</w:t>
      </w:r>
      <w:r w:rsidR="002E6D4D">
        <w:t xml:space="preserve"> broadly</w:t>
      </w:r>
      <w:r>
        <w:t xml:space="preserve"> twofold: </w:t>
      </w:r>
      <w:r w:rsidR="000E5366">
        <w:t xml:space="preserve">to keep open the option of a service specific approach to Children’s </w:t>
      </w:r>
      <w:r w:rsidR="00055E67">
        <w:t>s</w:t>
      </w:r>
      <w:r w:rsidR="000E5366">
        <w:t xml:space="preserve">ervices which </w:t>
      </w:r>
      <w:r w:rsidR="000F156D">
        <w:t>deplo</w:t>
      </w:r>
      <w:r w:rsidR="002E6D4D">
        <w:t>ys multi-level modelling – possibly the most robust statistical technique available; and gather</w:t>
      </w:r>
      <w:r w:rsidR="00055E67">
        <w:t xml:space="preserve"> useful</w:t>
      </w:r>
      <w:r w:rsidR="002E6D4D">
        <w:t xml:space="preserve"> data </w:t>
      </w:r>
      <w:r w:rsidR="0084198B">
        <w:t xml:space="preserve">on cost and demand pressures </w:t>
      </w:r>
      <w:r w:rsidR="00055E67">
        <w:t>in the sector.</w:t>
      </w:r>
      <w:r w:rsidR="002E6D4D">
        <w:t xml:space="preserve"> </w:t>
      </w:r>
    </w:p>
    <w:p w:rsidR="000E5366" w:rsidRPr="000E5366" w:rsidRDefault="000E5366" w:rsidP="000E5366">
      <w:pPr>
        <w:pStyle w:val="ListParagraph"/>
        <w:ind w:left="360"/>
        <w:rPr>
          <w:i/>
        </w:rPr>
      </w:pPr>
    </w:p>
    <w:p w:rsidR="000F1E9E" w:rsidRDefault="0084198B" w:rsidP="0084198B">
      <w:pPr>
        <w:pStyle w:val="ListParagraph"/>
        <w:numPr>
          <w:ilvl w:val="0"/>
          <w:numId w:val="1"/>
        </w:numPr>
      </w:pPr>
      <w:r w:rsidRPr="0084198B">
        <w:t xml:space="preserve">The programme will be scoped in full once a provider is appointed; however our current expectation is that </w:t>
      </w:r>
      <w:r w:rsidR="00055E67">
        <w:t>it</w:t>
      </w:r>
      <w:r w:rsidRPr="0084198B">
        <w:t xml:space="preserve"> will be completed in the summer of 2019. </w:t>
      </w:r>
    </w:p>
    <w:p w:rsidR="000F1E9E" w:rsidRDefault="000F1E9E" w:rsidP="000F1E9E">
      <w:pPr>
        <w:pStyle w:val="ListParagraph"/>
        <w:ind w:left="360"/>
      </w:pPr>
    </w:p>
    <w:p w:rsidR="000E5366" w:rsidRDefault="000F1E9E" w:rsidP="0084198B">
      <w:pPr>
        <w:pStyle w:val="ListParagraph"/>
        <w:numPr>
          <w:ilvl w:val="0"/>
          <w:numId w:val="1"/>
        </w:numPr>
      </w:pPr>
      <w:r>
        <w:t xml:space="preserve">A multi-level model would </w:t>
      </w:r>
      <w:r w:rsidR="00FB7887">
        <w:t xml:space="preserve">address concerns that simple regression models using </w:t>
      </w:r>
      <w:r w:rsidR="008E32A3">
        <w:t xml:space="preserve">past </w:t>
      </w:r>
      <w:r w:rsidR="00FB7887">
        <w:t xml:space="preserve">expenditure data do not capture </w:t>
      </w:r>
      <w:r w:rsidR="00FD188A">
        <w:t xml:space="preserve">the </w:t>
      </w:r>
      <w:r w:rsidR="00FB7887">
        <w:t xml:space="preserve">underlying demand </w:t>
      </w:r>
      <w:r w:rsidR="00FD188A">
        <w:t xml:space="preserve">for certain services. </w:t>
      </w:r>
      <w:r w:rsidR="006857F5">
        <w:t>T</w:t>
      </w:r>
      <w:r w:rsidR="008E32A3">
        <w:t>his technique</w:t>
      </w:r>
      <w:r w:rsidR="00FD188A">
        <w:t xml:space="preserve"> </w:t>
      </w:r>
      <w:r w:rsidR="006857F5">
        <w:t xml:space="preserve">would use small area data to </w:t>
      </w:r>
      <w:r>
        <w:t xml:space="preserve">understand how </w:t>
      </w:r>
      <w:r w:rsidR="008E32A3">
        <w:t>different characteristics which drive the need to spend affect the amount spent on different areas</w:t>
      </w:r>
      <w:r w:rsidR="006D78A5" w:rsidRPr="006D78A5">
        <w:rPr>
          <w:i/>
        </w:rPr>
        <w:t xml:space="preserve"> </w:t>
      </w:r>
      <w:r w:rsidR="006D78A5" w:rsidRPr="00BE6110">
        <w:rPr>
          <w:i/>
        </w:rPr>
        <w:t>within</w:t>
      </w:r>
      <w:r w:rsidR="006D78A5">
        <w:t xml:space="preserve"> local authority boundaries</w:t>
      </w:r>
      <w:r>
        <w:t xml:space="preserve"> </w:t>
      </w:r>
      <w:r w:rsidR="008E32A3">
        <w:t xml:space="preserve">(such as rural or </w:t>
      </w:r>
      <w:r w:rsidR="006857F5">
        <w:t>non-rural</w:t>
      </w:r>
      <w:r w:rsidR="008E32A3">
        <w:t>)</w:t>
      </w:r>
      <w:r w:rsidR="006D78A5">
        <w:t>. It</w:t>
      </w:r>
      <w:r>
        <w:t xml:space="preserve"> there</w:t>
      </w:r>
      <w:r w:rsidR="006D78A5">
        <w:t>fore</w:t>
      </w:r>
      <w:r>
        <w:t xml:space="preserve"> </w:t>
      </w:r>
      <w:r w:rsidR="006D78A5">
        <w:lastRenderedPageBreak/>
        <w:t>determines the weightings of cost drivers and thus local authority allocations independent of the level of funding the authority has received in the past.</w:t>
      </w:r>
      <w:r>
        <w:t xml:space="preserve"> </w:t>
      </w:r>
      <w:r w:rsidR="0084198B" w:rsidRPr="0084198B">
        <w:t>We will circulate a summary note to the</w:t>
      </w:r>
      <w:r w:rsidR="0084198B">
        <w:t xml:space="preserve"> Needs and Redistribution technical working</w:t>
      </w:r>
      <w:r w:rsidR="0084198B" w:rsidRPr="0084198B">
        <w:t xml:space="preserve"> group </w:t>
      </w:r>
      <w:r w:rsidR="00335A49">
        <w:t>in due course</w:t>
      </w:r>
      <w:r w:rsidR="0084198B">
        <w:t>.</w:t>
      </w:r>
    </w:p>
    <w:p w:rsidR="00335A49" w:rsidRDefault="00335A49" w:rsidP="00335A49">
      <w:pPr>
        <w:pStyle w:val="ListParagraph"/>
        <w:ind w:left="360"/>
      </w:pPr>
    </w:p>
    <w:p w:rsidR="003D3FBD" w:rsidRPr="008D0FC1" w:rsidRDefault="00335A49" w:rsidP="008D0FC1">
      <w:pPr>
        <w:pStyle w:val="ListParagraph"/>
        <w:numPr>
          <w:ilvl w:val="0"/>
          <w:numId w:val="1"/>
        </w:numPr>
        <w:rPr>
          <w:i/>
        </w:rPr>
      </w:pPr>
      <w:r>
        <w:t xml:space="preserve">Once a provider is appointed, </w:t>
      </w:r>
      <w:r w:rsidR="006064A1">
        <w:t>we will assist them to</w:t>
      </w:r>
      <w:r>
        <w:t xml:space="preserve"> </w:t>
      </w:r>
      <w:r w:rsidR="006064A1">
        <w:t xml:space="preserve">develop an engagement plan to find a representative selection of local authorities to </w:t>
      </w:r>
      <w:r w:rsidR="00055E67">
        <w:t>be involved with</w:t>
      </w:r>
      <w:r w:rsidR="006064A1">
        <w:t xml:space="preserve"> the project. We would welcome </w:t>
      </w:r>
      <w:r w:rsidR="00055E67">
        <w:t>input</w:t>
      </w:r>
      <w:r w:rsidR="006064A1">
        <w:t xml:space="preserve"> from the </w:t>
      </w:r>
      <w:r w:rsidR="008D0FC1">
        <w:t>S</w:t>
      </w:r>
      <w:r w:rsidR="006064A1">
        <w:t xml:space="preserve">teering </w:t>
      </w:r>
      <w:r w:rsidR="008D0FC1">
        <w:t>Group and TWG to manage that process.</w:t>
      </w:r>
    </w:p>
    <w:p w:rsidR="00157FA9" w:rsidRPr="00157FA9" w:rsidRDefault="00157FA9"/>
    <w:p w:rsidR="0084198B" w:rsidRDefault="008D0FC1">
      <w:pPr>
        <w:rPr>
          <w:b/>
        </w:rPr>
      </w:pPr>
      <w:r>
        <w:rPr>
          <w:b/>
        </w:rPr>
        <w:t>Forward look</w:t>
      </w:r>
    </w:p>
    <w:p w:rsidR="00BF27F1" w:rsidRPr="00BF27F1" w:rsidRDefault="00BF27F1">
      <w:pPr>
        <w:rPr>
          <w:i/>
        </w:rPr>
      </w:pPr>
      <w:r w:rsidRPr="00BF27F1">
        <w:rPr>
          <w:i/>
        </w:rPr>
        <w:t>Consultation on relative need</w:t>
      </w:r>
    </w:p>
    <w:p w:rsidR="00897A94" w:rsidRDefault="00BF27F1" w:rsidP="00BF27F1">
      <w:pPr>
        <w:pStyle w:val="ListParagraph"/>
        <w:numPr>
          <w:ilvl w:val="0"/>
          <w:numId w:val="1"/>
        </w:numPr>
      </w:pPr>
      <w:r>
        <w:t>DCLG</w:t>
      </w:r>
      <w:r w:rsidR="00897A94">
        <w:t xml:space="preserve"> aim to publish a technical consultation on relative need later this autumn. </w:t>
      </w:r>
      <w:r w:rsidR="00D40483">
        <w:t>It will</w:t>
      </w:r>
      <w:r w:rsidR="00897A94">
        <w:t xml:space="preserve"> set out</w:t>
      </w:r>
      <w:r w:rsidR="00CB5AE4">
        <w:t xml:space="preserve"> principles and</w:t>
      </w:r>
      <w:r w:rsidR="00897A94">
        <w:t xml:space="preserve"> the framework for future progress</w:t>
      </w:r>
      <w:r w:rsidR="00CB5AE4">
        <w:t xml:space="preserve"> before</w:t>
      </w:r>
      <w:r w:rsidR="00897A94">
        <w:t xml:space="preserve"> seek</w:t>
      </w:r>
      <w:r w:rsidR="00CB5AE4">
        <w:t>ing</w:t>
      </w:r>
      <w:r w:rsidR="00897A94">
        <w:t xml:space="preserve"> sector </w:t>
      </w:r>
      <w:r w:rsidR="00CB5AE4">
        <w:t>response to questions on the following key areas:</w:t>
      </w:r>
    </w:p>
    <w:p w:rsidR="00CB5AE4" w:rsidRDefault="00CB5AE4" w:rsidP="00CB5AE4">
      <w:pPr>
        <w:pStyle w:val="ListParagraph"/>
        <w:ind w:left="360"/>
      </w:pPr>
    </w:p>
    <w:p w:rsidR="00CB5AE4" w:rsidRDefault="00CB5AE4" w:rsidP="009E771B">
      <w:pPr>
        <w:pStyle w:val="ListParagraph"/>
        <w:numPr>
          <w:ilvl w:val="0"/>
          <w:numId w:val="12"/>
        </w:numPr>
      </w:pPr>
      <w:r>
        <w:t>An overview of potential future approaches,</w:t>
      </w:r>
    </w:p>
    <w:p w:rsidR="00660931" w:rsidRPr="00CB5AE4" w:rsidRDefault="00CB5AE4" w:rsidP="009E771B">
      <w:pPr>
        <w:pStyle w:val="ListParagraph"/>
        <w:numPr>
          <w:ilvl w:val="0"/>
          <w:numId w:val="12"/>
        </w:numPr>
      </w:pPr>
      <w:r>
        <w:t>t</w:t>
      </w:r>
      <w:r w:rsidR="00D40483" w:rsidRPr="00CB5AE4">
        <w:t>he ‘common cost drivers’ for local government</w:t>
      </w:r>
      <w:r>
        <w:t>,</w:t>
      </w:r>
      <w:r w:rsidR="00D40483" w:rsidRPr="00CB5AE4">
        <w:t xml:space="preserve"> identified through earlier engagement with the</w:t>
      </w:r>
      <w:r>
        <w:t xml:space="preserve"> </w:t>
      </w:r>
      <w:r w:rsidR="006D78A5">
        <w:t>TWG</w:t>
      </w:r>
      <w:r w:rsidR="00D40483" w:rsidRPr="00CB5AE4">
        <w:t xml:space="preserve"> and wider sector,</w:t>
      </w:r>
      <w:r w:rsidR="006D78A5">
        <w:t xml:space="preserve"> as the basis for a foundation formula,</w:t>
      </w:r>
    </w:p>
    <w:p w:rsidR="00660931" w:rsidRPr="00CB5AE4" w:rsidRDefault="00CB5AE4" w:rsidP="009E771B">
      <w:pPr>
        <w:pStyle w:val="ListParagraph"/>
        <w:numPr>
          <w:ilvl w:val="0"/>
          <w:numId w:val="12"/>
        </w:numPr>
      </w:pPr>
      <w:r>
        <w:t>t</w:t>
      </w:r>
      <w:r w:rsidR="00D40483" w:rsidRPr="00CB5AE4">
        <w:t xml:space="preserve">he potential ‘service specific cost drivers’ for local government </w:t>
      </w:r>
      <w:r w:rsidR="006D78A5">
        <w:t>to supplement the foundation formula</w:t>
      </w:r>
      <w:r w:rsidR="00D40483" w:rsidRPr="00CB5AE4">
        <w:t>,</w:t>
      </w:r>
      <w:r w:rsidR="006D78A5">
        <w:t xml:space="preserve"> also identified through engagement with the sector</w:t>
      </w:r>
      <w:r w:rsidR="001E7282">
        <w:t xml:space="preserve"> as well as other Government departments</w:t>
      </w:r>
      <w:r w:rsidR="006D78A5">
        <w:t>,</w:t>
      </w:r>
      <w:r w:rsidR="00D40483" w:rsidRPr="00CB5AE4">
        <w:t xml:space="preserve"> and </w:t>
      </w:r>
    </w:p>
    <w:p w:rsidR="00660931" w:rsidRDefault="00CB5AE4" w:rsidP="009E771B">
      <w:pPr>
        <w:pStyle w:val="ListParagraph"/>
        <w:numPr>
          <w:ilvl w:val="0"/>
          <w:numId w:val="12"/>
        </w:numPr>
      </w:pPr>
      <w:r>
        <w:t>t</w:t>
      </w:r>
      <w:r w:rsidR="00D40483" w:rsidRPr="00CB5AE4">
        <w:t>he potential statistical methodologies that could be used to ‘weight’ funding formulas and cost drivers</w:t>
      </w:r>
      <w:r w:rsidR="007B738B">
        <w:t>, including expenditure-based regression, multi-level modelling and others.</w:t>
      </w:r>
    </w:p>
    <w:p w:rsidR="007B738B" w:rsidRDefault="007B738B" w:rsidP="007B738B">
      <w:pPr>
        <w:pStyle w:val="ListParagraph"/>
        <w:ind w:left="1080"/>
      </w:pPr>
    </w:p>
    <w:p w:rsidR="007B738B" w:rsidRDefault="007B738B" w:rsidP="00BF27F1">
      <w:pPr>
        <w:pStyle w:val="ListParagraph"/>
        <w:numPr>
          <w:ilvl w:val="0"/>
          <w:numId w:val="1"/>
        </w:numPr>
      </w:pPr>
      <w:r>
        <w:t>This is a</w:t>
      </w:r>
      <w:r w:rsidR="00D40483">
        <w:t xml:space="preserve">n </w:t>
      </w:r>
      <w:r>
        <w:t xml:space="preserve">opportunity for local government to tell us what </w:t>
      </w:r>
      <w:r w:rsidR="00BF27F1">
        <w:t>the biggest drivers of spending are which need to be reflected in future funding d</w:t>
      </w:r>
      <w:r w:rsidR="00D40483">
        <w:t>istributions, and we encourage</w:t>
      </w:r>
      <w:r w:rsidR="00BF27F1">
        <w:t xml:space="preserve"> authorities to ask service managers from across the organisation to input into a response. </w:t>
      </w:r>
    </w:p>
    <w:p w:rsidR="001F2EEC" w:rsidRDefault="008D0FC1" w:rsidP="00BF27F1">
      <w:pPr>
        <w:rPr>
          <w:i/>
        </w:rPr>
      </w:pPr>
      <w:r>
        <w:rPr>
          <w:i/>
        </w:rPr>
        <w:br/>
      </w:r>
      <w:r w:rsidR="001F2EEC">
        <w:rPr>
          <w:i/>
        </w:rPr>
        <w:t>Technical working group</w:t>
      </w:r>
    </w:p>
    <w:p w:rsidR="00323DE0" w:rsidRDefault="001F2EEC" w:rsidP="00323DE0">
      <w:pPr>
        <w:pStyle w:val="ListParagraph"/>
        <w:numPr>
          <w:ilvl w:val="0"/>
          <w:numId w:val="1"/>
        </w:numPr>
      </w:pPr>
      <w:r>
        <w:t xml:space="preserve">The TWG </w:t>
      </w:r>
      <w:r w:rsidR="00323DE0">
        <w:t>is due to discuss the following</w:t>
      </w:r>
      <w:r w:rsidR="00E5624D">
        <w:t xml:space="preserve"> DCLG</w:t>
      </w:r>
      <w:r w:rsidR="00323DE0">
        <w:t xml:space="preserve"> items over the next few months:</w:t>
      </w:r>
    </w:p>
    <w:p w:rsidR="00323DE0" w:rsidRDefault="00323DE0" w:rsidP="00323DE0">
      <w:pPr>
        <w:pStyle w:val="ListParagraph"/>
        <w:ind w:left="360"/>
      </w:pPr>
    </w:p>
    <w:p w:rsidR="00323DE0" w:rsidRDefault="00466A3B" w:rsidP="00466A3B">
      <w:pPr>
        <w:pStyle w:val="ListParagraph"/>
        <w:numPr>
          <w:ilvl w:val="0"/>
          <w:numId w:val="9"/>
        </w:numPr>
      </w:pPr>
      <w:r>
        <w:t>an options appraisal paper for how to develop a single or foundation formula,</w:t>
      </w:r>
    </w:p>
    <w:p w:rsidR="00466A3B" w:rsidRDefault="00466A3B" w:rsidP="00466A3B">
      <w:pPr>
        <w:pStyle w:val="ListParagraph"/>
        <w:numPr>
          <w:ilvl w:val="0"/>
          <w:numId w:val="9"/>
        </w:numPr>
      </w:pPr>
      <w:r>
        <w:t>an update on the Review’s progress on relative resources, including possible approaches to Local Council Tax Support, and</w:t>
      </w:r>
    </w:p>
    <w:p w:rsidR="00466A3B" w:rsidRDefault="00466A3B" w:rsidP="00466A3B">
      <w:pPr>
        <w:pStyle w:val="ListParagraph"/>
        <w:numPr>
          <w:ilvl w:val="0"/>
          <w:numId w:val="9"/>
        </w:numPr>
      </w:pPr>
      <w:r>
        <w:lastRenderedPageBreak/>
        <w:t>an overview of the findings of the Review’s smaller work strands looking at the best options for constructing formulas for certain specific services.</w:t>
      </w:r>
    </w:p>
    <w:p w:rsidR="00BF27F1" w:rsidRPr="00BF27F1" w:rsidRDefault="008D0FC1" w:rsidP="00BF27F1">
      <w:pPr>
        <w:rPr>
          <w:i/>
        </w:rPr>
      </w:pPr>
      <w:r>
        <w:br/>
      </w:r>
      <w:r w:rsidR="00323DE0">
        <w:t xml:space="preserve"> </w:t>
      </w:r>
      <w:r w:rsidR="001F2EEC">
        <w:rPr>
          <w:i/>
        </w:rPr>
        <w:t>Technical papers</w:t>
      </w:r>
    </w:p>
    <w:p w:rsidR="00A177E7" w:rsidRDefault="00BF27F1" w:rsidP="00A177E7">
      <w:pPr>
        <w:pStyle w:val="ListParagraph"/>
        <w:numPr>
          <w:ilvl w:val="0"/>
          <w:numId w:val="1"/>
        </w:numPr>
      </w:pPr>
      <w:r>
        <w:t xml:space="preserve"> Officials are continuing to update Ministers on </w:t>
      </w:r>
      <w:r w:rsidR="001F2EEC">
        <w:t>the Review’s progress</w:t>
      </w:r>
      <w:r w:rsidR="009E771B">
        <w:t>.</w:t>
      </w:r>
      <w:r w:rsidR="00CE694B">
        <w:t xml:space="preserve"> From Spring next year,</w:t>
      </w:r>
      <w:r w:rsidR="009E771B">
        <w:t xml:space="preserve"> </w:t>
      </w:r>
      <w:r w:rsidR="00CE694B">
        <w:t>t</w:t>
      </w:r>
      <w:r w:rsidR="009E771B">
        <w:t xml:space="preserve">his </w:t>
      </w:r>
      <w:r w:rsidR="001E7282">
        <w:t>will</w:t>
      </w:r>
      <w:r w:rsidR="009E771B">
        <w:t xml:space="preserve"> lead</w:t>
      </w:r>
      <w:r w:rsidR="00CE694B">
        <w:t xml:space="preserve"> </w:t>
      </w:r>
      <w:r w:rsidR="009E771B">
        <w:t>to</w:t>
      </w:r>
      <w:r w:rsidR="001E7282">
        <w:t xml:space="preserve"> a</w:t>
      </w:r>
      <w:r w:rsidR="00A177E7">
        <w:t xml:space="preserve"> </w:t>
      </w:r>
      <w:r w:rsidR="001E7282">
        <w:t xml:space="preserve">planned </w:t>
      </w:r>
      <w:r w:rsidR="00A177E7">
        <w:t>series of</w:t>
      </w:r>
      <w:r w:rsidR="009E771B">
        <w:t xml:space="preserve"> </w:t>
      </w:r>
      <w:r w:rsidR="00A177E7">
        <w:t xml:space="preserve">published </w:t>
      </w:r>
      <w:r w:rsidR="009E771B">
        <w:t xml:space="preserve">technical papers which </w:t>
      </w:r>
      <w:r w:rsidR="001E7282">
        <w:t xml:space="preserve">would </w:t>
      </w:r>
      <w:r w:rsidR="009E771B">
        <w:t xml:space="preserve">look in more detail at </w:t>
      </w:r>
      <w:r w:rsidR="00A177E7">
        <w:t>key issues</w:t>
      </w:r>
      <w:r w:rsidR="001E7282">
        <w:t xml:space="preserve"> of the Review</w:t>
      </w:r>
      <w:r w:rsidR="009E771B">
        <w:t xml:space="preserve"> for </w:t>
      </w:r>
      <w:r w:rsidR="00A177E7">
        <w:t xml:space="preserve">the wider </w:t>
      </w:r>
      <w:r w:rsidR="009E771B">
        <w:t xml:space="preserve">local government </w:t>
      </w:r>
      <w:r w:rsidR="00A177E7">
        <w:t>sector</w:t>
      </w:r>
      <w:r w:rsidR="00674E3C">
        <w:t>, and others,</w:t>
      </w:r>
      <w:r w:rsidR="00A177E7">
        <w:t xml:space="preserve"> </w:t>
      </w:r>
      <w:r w:rsidR="009E771B">
        <w:t>to respond to</w:t>
      </w:r>
      <w:r w:rsidR="00A177E7">
        <w:t>.</w:t>
      </w:r>
      <w:r w:rsidR="00323DE0">
        <w:t xml:space="preserve"> These </w:t>
      </w:r>
      <w:r w:rsidR="00CE694B">
        <w:t xml:space="preserve">papers </w:t>
      </w:r>
      <w:r w:rsidR="001E7282">
        <w:t>would</w:t>
      </w:r>
      <w:r w:rsidR="00CE694B">
        <w:t xml:space="preserve"> be</w:t>
      </w:r>
      <w:r w:rsidR="00323DE0">
        <w:t xml:space="preserve"> informed by</w:t>
      </w:r>
      <w:r w:rsidR="00CE694B">
        <w:t xml:space="preserve"> engagement with</w:t>
      </w:r>
      <w:r w:rsidR="00FE1414">
        <w:t xml:space="preserve"> the TWG, and we would seek to commission input from members</w:t>
      </w:r>
      <w:r w:rsidR="00323DE0">
        <w:t>.</w:t>
      </w:r>
      <w:r w:rsidR="00A177E7">
        <w:t xml:space="preserve"> Although still to be decided, they </w:t>
      </w:r>
      <w:r w:rsidR="004E0410">
        <w:t>could</w:t>
      </w:r>
      <w:r w:rsidR="00A177E7">
        <w:t xml:space="preserve"> </w:t>
      </w:r>
      <w:r w:rsidR="004E0410">
        <w:t>include</w:t>
      </w:r>
      <w:bookmarkStart w:id="0" w:name="_GoBack"/>
      <w:bookmarkEnd w:id="0"/>
      <w:r w:rsidR="00A177E7">
        <w:t>:</w:t>
      </w:r>
    </w:p>
    <w:p w:rsidR="009E771B" w:rsidRDefault="009E771B" w:rsidP="009E771B">
      <w:pPr>
        <w:pStyle w:val="ListParagraph"/>
        <w:ind w:left="360"/>
      </w:pPr>
    </w:p>
    <w:p w:rsidR="009E771B" w:rsidRDefault="004E0410" w:rsidP="009E771B">
      <w:pPr>
        <w:pStyle w:val="ListParagraph"/>
        <w:numPr>
          <w:ilvl w:val="0"/>
          <w:numId w:val="9"/>
        </w:numPr>
      </w:pPr>
      <w:r>
        <w:t>h</w:t>
      </w:r>
      <w:r w:rsidR="009E771B">
        <w:t>ow to adjust LGF settlement funding allocations for councils’ relative abilit</w:t>
      </w:r>
      <w:r w:rsidR="00CE694B">
        <w:t>y</w:t>
      </w:r>
      <w:r w:rsidR="009E771B">
        <w:t xml:space="preserve"> to raise local income, including council tax,</w:t>
      </w:r>
    </w:p>
    <w:p w:rsidR="009E771B" w:rsidRDefault="009E771B" w:rsidP="009E771B">
      <w:pPr>
        <w:pStyle w:val="ListParagraph"/>
        <w:numPr>
          <w:ilvl w:val="0"/>
          <w:numId w:val="9"/>
        </w:numPr>
      </w:pPr>
      <w:r>
        <w:t>principles and methodologies for how to transition to new funding baselines upon implementation,</w:t>
      </w:r>
      <w:r w:rsidR="004E0410">
        <w:t xml:space="preserve"> and</w:t>
      </w:r>
    </w:p>
    <w:p w:rsidR="009E771B" w:rsidRDefault="004E0410" w:rsidP="009E771B">
      <w:pPr>
        <w:pStyle w:val="ListParagraph"/>
        <w:numPr>
          <w:ilvl w:val="0"/>
          <w:numId w:val="9"/>
        </w:numPr>
      </w:pPr>
      <w:proofErr w:type="gramStart"/>
      <w:r>
        <w:t>aspects</w:t>
      </w:r>
      <w:proofErr w:type="gramEnd"/>
      <w:r>
        <w:t xml:space="preserve"> of measuring relative need such as the approach to deprivation or rurality.</w:t>
      </w:r>
    </w:p>
    <w:p w:rsidR="00E5624D" w:rsidRPr="00897A94" w:rsidRDefault="00E5624D" w:rsidP="00E5624D">
      <w:pPr>
        <w:pStyle w:val="ListParagraph"/>
      </w:pPr>
    </w:p>
    <w:p w:rsidR="0084198B" w:rsidRDefault="001F2EEC" w:rsidP="00E5624D">
      <w:pPr>
        <w:pStyle w:val="ListParagraph"/>
        <w:numPr>
          <w:ilvl w:val="0"/>
          <w:numId w:val="1"/>
        </w:numPr>
      </w:pPr>
      <w:r>
        <w:t xml:space="preserve">These papers will </w:t>
      </w:r>
      <w:r w:rsidR="00E5624D">
        <w:t xml:space="preserve">offer another </w:t>
      </w:r>
      <w:r w:rsidR="00CE694B">
        <w:t>way</w:t>
      </w:r>
      <w:r w:rsidR="00E5624D">
        <w:t xml:space="preserve"> for the sector</w:t>
      </w:r>
      <w:r w:rsidR="00674E3C">
        <w:t xml:space="preserve"> </w:t>
      </w:r>
      <w:r w:rsidR="00E5624D">
        <w:t xml:space="preserve">to shape the </w:t>
      </w:r>
      <w:r w:rsidR="00CE694B">
        <w:t>outcome</w:t>
      </w:r>
      <w:r w:rsidR="00E5624D">
        <w:t xml:space="preserve"> of the Review as we continue to target a fair and collaborative </w:t>
      </w:r>
      <w:r w:rsidR="00CE694B">
        <w:t>methodology</w:t>
      </w:r>
      <w:r w:rsidR="00E5624D">
        <w:t>.</w:t>
      </w:r>
    </w:p>
    <w:p w:rsidR="00DA7833" w:rsidRDefault="00DA7833" w:rsidP="00DA7833">
      <w:pPr>
        <w:pStyle w:val="ListParagraph"/>
        <w:ind w:left="360"/>
      </w:pPr>
    </w:p>
    <w:p w:rsidR="00DA7833" w:rsidRDefault="00DA7833" w:rsidP="00DA7833"/>
    <w:p w:rsidR="00DA7833" w:rsidRDefault="00DA7833">
      <w:pPr>
        <w:rPr>
          <w:i/>
        </w:rPr>
      </w:pPr>
      <w:r>
        <w:rPr>
          <w:i/>
        </w:rPr>
        <w:br w:type="page"/>
      </w:r>
    </w:p>
    <w:p w:rsidR="00DA7833" w:rsidRDefault="00DA7833" w:rsidP="00DA7833">
      <w:pPr>
        <w:rPr>
          <w:b/>
        </w:rPr>
      </w:pPr>
      <w:r w:rsidRPr="00DA7833">
        <w:rPr>
          <w:b/>
        </w:rPr>
        <w:lastRenderedPageBreak/>
        <w:t>Annex A - potential timetable to 2020/21 implementation</w:t>
      </w:r>
    </w:p>
    <w:p w:rsidR="00DA7833" w:rsidRPr="00DA7833" w:rsidRDefault="00DA7833" w:rsidP="00DA7833">
      <w:pPr>
        <w:rPr>
          <w:b/>
        </w:rPr>
      </w:pPr>
    </w:p>
    <w:p w:rsidR="00DA7833" w:rsidRPr="00DA7833" w:rsidRDefault="00DA7833" w:rsidP="00DA7833">
      <w:pPr>
        <w:rPr>
          <w:b/>
          <w:lang w:val="en-US"/>
        </w:rPr>
      </w:pPr>
      <w:r w:rsidRPr="00157FA9">
        <w:rPr>
          <w:noProof/>
          <w:lang w:eastAsia="en-GB"/>
        </w:rPr>
        <w:drawing>
          <wp:inline distT="0" distB="0" distL="0" distR="0" wp14:anchorId="7B4B8C99" wp14:editId="1C5DB9E7">
            <wp:extent cx="5703401" cy="56102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704" cy="5620360"/>
                    </a:xfrm>
                    <a:prstGeom prst="rect">
                      <a:avLst/>
                    </a:prstGeom>
                    <a:noFill/>
                    <a:ln>
                      <a:noFill/>
                    </a:ln>
                    <a:extLst/>
                  </pic:spPr>
                </pic:pic>
              </a:graphicData>
            </a:graphic>
          </wp:inline>
        </w:drawing>
      </w:r>
    </w:p>
    <w:p w:rsidR="00DA7833" w:rsidRDefault="00DA7833" w:rsidP="00DA7833">
      <w:pPr>
        <w:pStyle w:val="ListParagraph"/>
        <w:ind w:left="360"/>
        <w:rPr>
          <w:b/>
          <w:lang w:val="en-US"/>
        </w:rPr>
      </w:pPr>
    </w:p>
    <w:p w:rsidR="00DA7833" w:rsidRPr="00DA7833" w:rsidRDefault="00DA7833" w:rsidP="00DA7833">
      <w:pPr>
        <w:pStyle w:val="ListParagraph"/>
        <w:ind w:left="360"/>
        <w:rPr>
          <w:b/>
          <w:lang w:val="en-US"/>
        </w:rPr>
      </w:pPr>
    </w:p>
    <w:p w:rsidR="003C4539" w:rsidRDefault="003C4539">
      <w:r>
        <w:br w:type="page"/>
      </w:r>
    </w:p>
    <w:p w:rsidR="001E7282" w:rsidRPr="004B050E" w:rsidRDefault="001E7282" w:rsidP="001E7282">
      <w:pPr>
        <w:rPr>
          <w:b/>
          <w:sz w:val="20"/>
          <w:szCs w:val="20"/>
        </w:rPr>
      </w:pPr>
      <w:r w:rsidRPr="004B050E">
        <w:rPr>
          <w:b/>
          <w:sz w:val="20"/>
          <w:szCs w:val="20"/>
        </w:rPr>
        <w:lastRenderedPageBreak/>
        <w:t>Annex B - Guiding principles for the Fair Funding Review</w:t>
      </w:r>
    </w:p>
    <w:p w:rsidR="001E7282" w:rsidRPr="004B050E" w:rsidRDefault="001E7282" w:rsidP="001E7282">
      <w:pPr>
        <w:rPr>
          <w:sz w:val="20"/>
          <w:szCs w:val="20"/>
        </w:rPr>
      </w:pPr>
      <w:r w:rsidRPr="004B050E">
        <w:rPr>
          <w:sz w:val="20"/>
          <w:szCs w:val="20"/>
        </w:rPr>
        <w:t xml:space="preserve">Last year the Review published a Call for Evidence which received 209 responses including 179 from local authorities. It included 14 questions that were designed to explore respondents’ views on the key issues that the Fair Funding Review will need to address: how to measure relative needs, how resources should be taken into account, the approach to transition and the geographical level at which need should be assessed. </w:t>
      </w:r>
    </w:p>
    <w:p w:rsidR="001E7282" w:rsidRPr="004B050E" w:rsidRDefault="001E7282" w:rsidP="001E7282">
      <w:pPr>
        <w:rPr>
          <w:sz w:val="20"/>
          <w:szCs w:val="20"/>
        </w:rPr>
      </w:pPr>
      <w:r w:rsidRPr="004B050E">
        <w:rPr>
          <w:sz w:val="20"/>
          <w:szCs w:val="20"/>
        </w:rPr>
        <w:t>We received a wide range of views on these important questions. A summary of these responses and the Government’s response to these issues will be published alongside a further technical consultation.</w:t>
      </w:r>
    </w:p>
    <w:p w:rsidR="001E7282" w:rsidRPr="004B050E" w:rsidRDefault="001E7282" w:rsidP="001E7282">
      <w:pPr>
        <w:rPr>
          <w:sz w:val="20"/>
          <w:szCs w:val="20"/>
        </w:rPr>
      </w:pPr>
      <w:r w:rsidRPr="004B050E">
        <w:rPr>
          <w:sz w:val="20"/>
          <w:szCs w:val="20"/>
        </w:rPr>
        <w:t xml:space="preserve">Based on the responses received to this Call for Evidence the Government has identified a set of principles to guide the work of the Fair Funding Review. These represent the framework which the Government will use in designing a new relative needs assessment methodology, having considered the responses to this consultation: </w:t>
      </w:r>
      <w:r w:rsidRPr="004B050E">
        <w:rPr>
          <w:sz w:val="20"/>
          <w:szCs w:val="20"/>
        </w:rPr>
        <w:br/>
      </w:r>
    </w:p>
    <w:p w:rsidR="001E7282" w:rsidRPr="004B050E" w:rsidRDefault="001E7282" w:rsidP="001E7282">
      <w:pPr>
        <w:pStyle w:val="ListParagraph"/>
        <w:numPr>
          <w:ilvl w:val="0"/>
          <w:numId w:val="20"/>
        </w:numPr>
        <w:ind w:left="360"/>
        <w:rPr>
          <w:sz w:val="20"/>
          <w:szCs w:val="20"/>
        </w:rPr>
      </w:pPr>
      <w:r w:rsidRPr="004B050E">
        <w:rPr>
          <w:b/>
          <w:sz w:val="20"/>
          <w:szCs w:val="20"/>
        </w:rPr>
        <w:t>Simplicity</w:t>
      </w:r>
      <w:r w:rsidRPr="004B050E">
        <w:rPr>
          <w:sz w:val="20"/>
          <w:szCs w:val="20"/>
        </w:rPr>
        <w:t xml:space="preserve"> – the overall number of formulas used within the current methodology, along with the layers of complexity contained within them, means that they are little understood and may no longer hold the same relevance as when they were introduced. This Review is an opportunity for bold, clear thinking to identify the most important factors that drive the ‘need to spend’ on local services, and is aiming to produce a relative needs assessment that is as simple as is practicable, </w:t>
      </w:r>
    </w:p>
    <w:p w:rsidR="001E7282" w:rsidRPr="004B050E" w:rsidRDefault="001E7282" w:rsidP="001E7282">
      <w:pPr>
        <w:pStyle w:val="ListParagraph"/>
        <w:ind w:left="774"/>
        <w:rPr>
          <w:sz w:val="20"/>
          <w:szCs w:val="20"/>
        </w:rPr>
      </w:pPr>
    </w:p>
    <w:p w:rsidR="001E7282" w:rsidRPr="004B050E" w:rsidRDefault="001E7282" w:rsidP="001E7282">
      <w:pPr>
        <w:pStyle w:val="ListParagraph"/>
        <w:numPr>
          <w:ilvl w:val="0"/>
          <w:numId w:val="20"/>
        </w:numPr>
        <w:ind w:left="360"/>
        <w:rPr>
          <w:sz w:val="20"/>
          <w:szCs w:val="20"/>
        </w:rPr>
      </w:pPr>
      <w:r w:rsidRPr="004B050E">
        <w:rPr>
          <w:b/>
          <w:sz w:val="20"/>
          <w:szCs w:val="20"/>
        </w:rPr>
        <w:t>Transparency</w:t>
      </w:r>
      <w:r w:rsidRPr="004B050E">
        <w:rPr>
          <w:sz w:val="20"/>
          <w:szCs w:val="20"/>
        </w:rPr>
        <w:t xml:space="preserve"> – it should be straightforward for those affected by the relative needs assessment to understand what factors have influenced the levels of funding received by a local authority so that they can hold their local representatives to account for the decisions that they make. To support this we will make the link between local circumstances and funding allocations more visible,</w:t>
      </w:r>
    </w:p>
    <w:p w:rsidR="001E7282" w:rsidRPr="004B050E" w:rsidRDefault="001E7282" w:rsidP="001E7282">
      <w:pPr>
        <w:pStyle w:val="ListParagraph"/>
        <w:ind w:left="774"/>
        <w:rPr>
          <w:sz w:val="20"/>
          <w:szCs w:val="20"/>
        </w:rPr>
      </w:pPr>
    </w:p>
    <w:p w:rsidR="001E7282" w:rsidRPr="004B050E" w:rsidRDefault="001E7282" w:rsidP="001E7282">
      <w:pPr>
        <w:pStyle w:val="ListParagraph"/>
        <w:numPr>
          <w:ilvl w:val="0"/>
          <w:numId w:val="20"/>
        </w:numPr>
        <w:ind w:left="360"/>
        <w:rPr>
          <w:sz w:val="20"/>
          <w:szCs w:val="20"/>
        </w:rPr>
      </w:pPr>
      <w:r w:rsidRPr="004B050E">
        <w:rPr>
          <w:b/>
          <w:sz w:val="20"/>
          <w:szCs w:val="20"/>
        </w:rPr>
        <w:t>Contemporary</w:t>
      </w:r>
      <w:r w:rsidRPr="004B050E">
        <w:rPr>
          <w:sz w:val="20"/>
          <w:szCs w:val="20"/>
        </w:rPr>
        <w:t xml:space="preserve"> – the new relative needs assessment will be based on the most up-to-date data that is available. To facilitate more frequent updates, as far as practicable the funding formula will be based on data that can be regularly updated at planned intervals. If the collection of data or other technical requirements mean that desirable changes cannot be made when the Review is implemented, the Government will consider whether and how to phase these in at a later date whilst providing councils with financial certainty,</w:t>
      </w:r>
    </w:p>
    <w:p w:rsidR="001E7282" w:rsidRPr="004B050E" w:rsidRDefault="001E7282" w:rsidP="001E7282">
      <w:pPr>
        <w:pStyle w:val="ListParagraph"/>
        <w:ind w:left="774"/>
        <w:rPr>
          <w:sz w:val="20"/>
          <w:szCs w:val="20"/>
        </w:rPr>
      </w:pPr>
    </w:p>
    <w:p w:rsidR="001E7282" w:rsidRPr="004B050E" w:rsidRDefault="001E7282" w:rsidP="001E7282">
      <w:pPr>
        <w:pStyle w:val="ListParagraph"/>
        <w:numPr>
          <w:ilvl w:val="0"/>
          <w:numId w:val="20"/>
        </w:numPr>
        <w:ind w:left="360"/>
        <w:rPr>
          <w:color w:val="000000"/>
          <w:sz w:val="20"/>
          <w:szCs w:val="20"/>
        </w:rPr>
      </w:pPr>
      <w:r w:rsidRPr="004B050E">
        <w:rPr>
          <w:b/>
          <w:sz w:val="20"/>
          <w:szCs w:val="20"/>
        </w:rPr>
        <w:t>Sustainability</w:t>
      </w:r>
      <w:r w:rsidRPr="004B050E">
        <w:rPr>
          <w:sz w:val="20"/>
          <w:szCs w:val="20"/>
        </w:rPr>
        <w:t xml:space="preserve"> – an evidence-based approach will be deployed to identify the factors which drive costs for local authorities today </w:t>
      </w:r>
      <w:r w:rsidRPr="004B050E">
        <w:rPr>
          <w:i/>
          <w:sz w:val="20"/>
          <w:szCs w:val="20"/>
        </w:rPr>
        <w:t>and</w:t>
      </w:r>
      <w:r w:rsidRPr="004B050E">
        <w:rPr>
          <w:sz w:val="20"/>
          <w:szCs w:val="20"/>
        </w:rPr>
        <w:t xml:space="preserve"> in the future. The new funding formula must, as far as is practicable, anticipate future demand for services,</w:t>
      </w:r>
    </w:p>
    <w:p w:rsidR="001E7282" w:rsidRPr="004B050E" w:rsidRDefault="001E7282" w:rsidP="001E7282">
      <w:pPr>
        <w:pStyle w:val="ListParagraph"/>
        <w:ind w:left="774"/>
        <w:rPr>
          <w:color w:val="000000"/>
          <w:sz w:val="20"/>
          <w:szCs w:val="20"/>
        </w:rPr>
      </w:pPr>
    </w:p>
    <w:p w:rsidR="001E7282" w:rsidRPr="004B050E" w:rsidRDefault="001E7282" w:rsidP="001E7282">
      <w:pPr>
        <w:pStyle w:val="ListParagraph"/>
        <w:numPr>
          <w:ilvl w:val="0"/>
          <w:numId w:val="20"/>
        </w:numPr>
        <w:ind w:left="360"/>
        <w:rPr>
          <w:color w:val="000000"/>
          <w:sz w:val="20"/>
          <w:szCs w:val="20"/>
        </w:rPr>
      </w:pPr>
      <w:r w:rsidRPr="004B050E">
        <w:rPr>
          <w:b/>
          <w:color w:val="000000"/>
          <w:sz w:val="20"/>
          <w:szCs w:val="20"/>
        </w:rPr>
        <w:t>Robustness</w:t>
      </w:r>
      <w:r w:rsidRPr="004B050E">
        <w:rPr>
          <w:color w:val="000000"/>
          <w:sz w:val="20"/>
          <w:szCs w:val="20"/>
        </w:rPr>
        <w:t xml:space="preserve"> - the new funding formula should take into account the best possible objective analysis, and</w:t>
      </w:r>
    </w:p>
    <w:p w:rsidR="001E7282" w:rsidRPr="004B050E" w:rsidRDefault="001E7282" w:rsidP="001E7282">
      <w:pPr>
        <w:pStyle w:val="ListParagraph"/>
        <w:ind w:left="774"/>
        <w:rPr>
          <w:color w:val="000000"/>
          <w:sz w:val="20"/>
          <w:szCs w:val="20"/>
        </w:rPr>
      </w:pPr>
    </w:p>
    <w:p w:rsidR="001E7282" w:rsidRPr="004B050E" w:rsidRDefault="001E7282" w:rsidP="001E7282">
      <w:pPr>
        <w:pStyle w:val="ListParagraph"/>
        <w:numPr>
          <w:ilvl w:val="0"/>
          <w:numId w:val="20"/>
        </w:numPr>
        <w:ind w:left="360"/>
        <w:rPr>
          <w:sz w:val="20"/>
          <w:szCs w:val="20"/>
        </w:rPr>
      </w:pPr>
      <w:r w:rsidRPr="004B050E">
        <w:rPr>
          <w:b/>
          <w:sz w:val="20"/>
          <w:szCs w:val="20"/>
        </w:rPr>
        <w:t>Stability</w:t>
      </w:r>
      <w:r w:rsidRPr="004B050E">
        <w:rPr>
          <w:sz w:val="20"/>
          <w:szCs w:val="20"/>
        </w:rPr>
        <w:t xml:space="preserve"> – the funding formula should support predictable, long-term funding allocations as part of a multi-year settlement. Local authorities’ long-term financial planning and service delivery will also be assisted by temporary transitional arrangements to their new relative needs baseline to ensure there are no undue year-on-year changes in funding.</w:t>
      </w:r>
    </w:p>
    <w:p w:rsidR="00552A79" w:rsidRPr="004B050E" w:rsidRDefault="00552A79" w:rsidP="00DA7833">
      <w:pPr>
        <w:pStyle w:val="ListParagraph"/>
        <w:ind w:left="360"/>
        <w:rPr>
          <w:sz w:val="20"/>
          <w:szCs w:val="20"/>
        </w:rPr>
      </w:pPr>
    </w:p>
    <w:sectPr w:rsidR="00552A79" w:rsidRPr="004B05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BD" w:rsidRDefault="003D3FBD" w:rsidP="00056850">
      <w:pPr>
        <w:spacing w:after="0" w:line="240" w:lineRule="auto"/>
      </w:pPr>
      <w:r>
        <w:separator/>
      </w:r>
    </w:p>
  </w:endnote>
  <w:endnote w:type="continuationSeparator" w:id="0">
    <w:p w:rsidR="003D3FBD" w:rsidRDefault="003D3FBD"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BD" w:rsidRDefault="003D3FBD" w:rsidP="00056850">
      <w:pPr>
        <w:spacing w:after="0" w:line="240" w:lineRule="auto"/>
      </w:pPr>
      <w:r>
        <w:separator/>
      </w:r>
    </w:p>
  </w:footnote>
  <w:footnote w:type="continuationSeparator" w:id="0">
    <w:p w:rsidR="003D3FBD" w:rsidRDefault="003D3FBD"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BD" w:rsidRDefault="003D3FBD" w:rsidP="003D3FBD">
    <w:pPr>
      <w:pStyle w:val="Header"/>
    </w:pPr>
    <w:r>
      <w:t>POLICY DEVELOPMENT – NOT A STATEMENT OF GOVERNMENT POLICY</w:t>
    </w:r>
  </w:p>
  <w:p w:rsidR="00056850" w:rsidRDefault="0005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9D0"/>
    <w:multiLevelType w:val="multilevel"/>
    <w:tmpl w:val="22E876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u w:val="none"/>
      </w:rPr>
    </w:lvl>
    <w:lvl w:ilvl="2">
      <w:start w:val="1"/>
      <w:numFmt w:val="decimal"/>
      <w:isLgl/>
      <w:lvlText w:val="%1.%2.%3."/>
      <w:lvlJc w:val="left"/>
      <w:pPr>
        <w:ind w:left="502" w:hanging="720"/>
      </w:pPr>
      <w:rPr>
        <w:rFonts w:hint="default"/>
        <w:b w:val="0"/>
        <w:sz w:val="24"/>
        <w:szCs w:val="24"/>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2160" w:hanging="2160"/>
      </w:pPr>
      <w:rPr>
        <w:rFonts w:hint="default"/>
        <w:u w:val="none"/>
      </w:rPr>
    </w:lvl>
  </w:abstractNum>
  <w:abstractNum w:abstractNumId="1">
    <w:nsid w:val="078223F5"/>
    <w:multiLevelType w:val="hybridMultilevel"/>
    <w:tmpl w:val="23B41FDC"/>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D761E6"/>
    <w:multiLevelType w:val="hybridMultilevel"/>
    <w:tmpl w:val="DAACBCC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971BD1"/>
    <w:multiLevelType w:val="hybridMultilevel"/>
    <w:tmpl w:val="C05657FC"/>
    <w:lvl w:ilvl="0" w:tplc="BE4049B6">
      <w:start w:val="1"/>
      <w:numFmt w:val="bullet"/>
      <w:lvlText w:val="o"/>
      <w:lvlJc w:val="left"/>
      <w:pPr>
        <w:tabs>
          <w:tab w:val="num" w:pos="720"/>
        </w:tabs>
        <w:ind w:left="720" w:hanging="360"/>
      </w:pPr>
      <w:rPr>
        <w:rFonts w:ascii="Courier New" w:hAnsi="Courier New" w:hint="default"/>
      </w:rPr>
    </w:lvl>
    <w:lvl w:ilvl="1" w:tplc="46467FEA">
      <w:start w:val="1"/>
      <w:numFmt w:val="bullet"/>
      <w:lvlText w:val="o"/>
      <w:lvlJc w:val="left"/>
      <w:pPr>
        <w:tabs>
          <w:tab w:val="num" w:pos="1440"/>
        </w:tabs>
        <w:ind w:left="1440" w:hanging="360"/>
      </w:pPr>
      <w:rPr>
        <w:rFonts w:ascii="Courier New" w:hAnsi="Courier New" w:hint="default"/>
      </w:rPr>
    </w:lvl>
    <w:lvl w:ilvl="2" w:tplc="BA0CD2FE" w:tentative="1">
      <w:start w:val="1"/>
      <w:numFmt w:val="bullet"/>
      <w:lvlText w:val="o"/>
      <w:lvlJc w:val="left"/>
      <w:pPr>
        <w:tabs>
          <w:tab w:val="num" w:pos="2160"/>
        </w:tabs>
        <w:ind w:left="2160" w:hanging="360"/>
      </w:pPr>
      <w:rPr>
        <w:rFonts w:ascii="Courier New" w:hAnsi="Courier New" w:hint="default"/>
      </w:rPr>
    </w:lvl>
    <w:lvl w:ilvl="3" w:tplc="EC341790" w:tentative="1">
      <w:start w:val="1"/>
      <w:numFmt w:val="bullet"/>
      <w:lvlText w:val="o"/>
      <w:lvlJc w:val="left"/>
      <w:pPr>
        <w:tabs>
          <w:tab w:val="num" w:pos="2880"/>
        </w:tabs>
        <w:ind w:left="2880" w:hanging="360"/>
      </w:pPr>
      <w:rPr>
        <w:rFonts w:ascii="Courier New" w:hAnsi="Courier New" w:hint="default"/>
      </w:rPr>
    </w:lvl>
    <w:lvl w:ilvl="4" w:tplc="406015CE" w:tentative="1">
      <w:start w:val="1"/>
      <w:numFmt w:val="bullet"/>
      <w:lvlText w:val="o"/>
      <w:lvlJc w:val="left"/>
      <w:pPr>
        <w:tabs>
          <w:tab w:val="num" w:pos="3600"/>
        </w:tabs>
        <w:ind w:left="3600" w:hanging="360"/>
      </w:pPr>
      <w:rPr>
        <w:rFonts w:ascii="Courier New" w:hAnsi="Courier New" w:hint="default"/>
      </w:rPr>
    </w:lvl>
    <w:lvl w:ilvl="5" w:tplc="E2C8B294" w:tentative="1">
      <w:start w:val="1"/>
      <w:numFmt w:val="bullet"/>
      <w:lvlText w:val="o"/>
      <w:lvlJc w:val="left"/>
      <w:pPr>
        <w:tabs>
          <w:tab w:val="num" w:pos="4320"/>
        </w:tabs>
        <w:ind w:left="4320" w:hanging="360"/>
      </w:pPr>
      <w:rPr>
        <w:rFonts w:ascii="Courier New" w:hAnsi="Courier New" w:hint="default"/>
      </w:rPr>
    </w:lvl>
    <w:lvl w:ilvl="6" w:tplc="826A79BC" w:tentative="1">
      <w:start w:val="1"/>
      <w:numFmt w:val="bullet"/>
      <w:lvlText w:val="o"/>
      <w:lvlJc w:val="left"/>
      <w:pPr>
        <w:tabs>
          <w:tab w:val="num" w:pos="5040"/>
        </w:tabs>
        <w:ind w:left="5040" w:hanging="360"/>
      </w:pPr>
      <w:rPr>
        <w:rFonts w:ascii="Courier New" w:hAnsi="Courier New" w:hint="default"/>
      </w:rPr>
    </w:lvl>
    <w:lvl w:ilvl="7" w:tplc="BDC6E346" w:tentative="1">
      <w:start w:val="1"/>
      <w:numFmt w:val="bullet"/>
      <w:lvlText w:val="o"/>
      <w:lvlJc w:val="left"/>
      <w:pPr>
        <w:tabs>
          <w:tab w:val="num" w:pos="5760"/>
        </w:tabs>
        <w:ind w:left="5760" w:hanging="360"/>
      </w:pPr>
      <w:rPr>
        <w:rFonts w:ascii="Courier New" w:hAnsi="Courier New" w:hint="default"/>
      </w:rPr>
    </w:lvl>
    <w:lvl w:ilvl="8" w:tplc="7244313C" w:tentative="1">
      <w:start w:val="1"/>
      <w:numFmt w:val="bullet"/>
      <w:lvlText w:val="o"/>
      <w:lvlJc w:val="left"/>
      <w:pPr>
        <w:tabs>
          <w:tab w:val="num" w:pos="6480"/>
        </w:tabs>
        <w:ind w:left="6480" w:hanging="360"/>
      </w:pPr>
      <w:rPr>
        <w:rFonts w:ascii="Courier New" w:hAnsi="Courier New" w:hint="default"/>
      </w:rPr>
    </w:lvl>
  </w:abstractNum>
  <w:abstractNum w:abstractNumId="4">
    <w:nsid w:val="2282087E"/>
    <w:multiLevelType w:val="hybridMultilevel"/>
    <w:tmpl w:val="10A278C2"/>
    <w:lvl w:ilvl="0" w:tplc="227AE9A6">
      <w:start w:val="1"/>
      <w:numFmt w:val="bullet"/>
      <w:lvlText w:val="•"/>
      <w:lvlJc w:val="left"/>
      <w:pPr>
        <w:tabs>
          <w:tab w:val="num" w:pos="720"/>
        </w:tabs>
        <w:ind w:left="720" w:hanging="360"/>
      </w:pPr>
      <w:rPr>
        <w:rFonts w:ascii="Arial" w:hAnsi="Arial" w:hint="default"/>
      </w:rPr>
    </w:lvl>
    <w:lvl w:ilvl="1" w:tplc="47C60424" w:tentative="1">
      <w:start w:val="1"/>
      <w:numFmt w:val="bullet"/>
      <w:lvlText w:val="•"/>
      <w:lvlJc w:val="left"/>
      <w:pPr>
        <w:tabs>
          <w:tab w:val="num" w:pos="1440"/>
        </w:tabs>
        <w:ind w:left="1440" w:hanging="360"/>
      </w:pPr>
      <w:rPr>
        <w:rFonts w:ascii="Arial" w:hAnsi="Arial" w:hint="default"/>
      </w:rPr>
    </w:lvl>
    <w:lvl w:ilvl="2" w:tplc="4E2AF210" w:tentative="1">
      <w:start w:val="1"/>
      <w:numFmt w:val="bullet"/>
      <w:lvlText w:val="•"/>
      <w:lvlJc w:val="left"/>
      <w:pPr>
        <w:tabs>
          <w:tab w:val="num" w:pos="2160"/>
        </w:tabs>
        <w:ind w:left="2160" w:hanging="360"/>
      </w:pPr>
      <w:rPr>
        <w:rFonts w:ascii="Arial" w:hAnsi="Arial" w:hint="default"/>
      </w:rPr>
    </w:lvl>
    <w:lvl w:ilvl="3" w:tplc="057CA630" w:tentative="1">
      <w:start w:val="1"/>
      <w:numFmt w:val="bullet"/>
      <w:lvlText w:val="•"/>
      <w:lvlJc w:val="left"/>
      <w:pPr>
        <w:tabs>
          <w:tab w:val="num" w:pos="2880"/>
        </w:tabs>
        <w:ind w:left="2880" w:hanging="360"/>
      </w:pPr>
      <w:rPr>
        <w:rFonts w:ascii="Arial" w:hAnsi="Arial" w:hint="default"/>
      </w:rPr>
    </w:lvl>
    <w:lvl w:ilvl="4" w:tplc="3108570E" w:tentative="1">
      <w:start w:val="1"/>
      <w:numFmt w:val="bullet"/>
      <w:lvlText w:val="•"/>
      <w:lvlJc w:val="left"/>
      <w:pPr>
        <w:tabs>
          <w:tab w:val="num" w:pos="3600"/>
        </w:tabs>
        <w:ind w:left="3600" w:hanging="360"/>
      </w:pPr>
      <w:rPr>
        <w:rFonts w:ascii="Arial" w:hAnsi="Arial" w:hint="default"/>
      </w:rPr>
    </w:lvl>
    <w:lvl w:ilvl="5" w:tplc="4C1AD07A" w:tentative="1">
      <w:start w:val="1"/>
      <w:numFmt w:val="bullet"/>
      <w:lvlText w:val="•"/>
      <w:lvlJc w:val="left"/>
      <w:pPr>
        <w:tabs>
          <w:tab w:val="num" w:pos="4320"/>
        </w:tabs>
        <w:ind w:left="4320" w:hanging="360"/>
      </w:pPr>
      <w:rPr>
        <w:rFonts w:ascii="Arial" w:hAnsi="Arial" w:hint="default"/>
      </w:rPr>
    </w:lvl>
    <w:lvl w:ilvl="6" w:tplc="66DA1D22" w:tentative="1">
      <w:start w:val="1"/>
      <w:numFmt w:val="bullet"/>
      <w:lvlText w:val="•"/>
      <w:lvlJc w:val="left"/>
      <w:pPr>
        <w:tabs>
          <w:tab w:val="num" w:pos="5040"/>
        </w:tabs>
        <w:ind w:left="5040" w:hanging="360"/>
      </w:pPr>
      <w:rPr>
        <w:rFonts w:ascii="Arial" w:hAnsi="Arial" w:hint="default"/>
      </w:rPr>
    </w:lvl>
    <w:lvl w:ilvl="7" w:tplc="141E0902" w:tentative="1">
      <w:start w:val="1"/>
      <w:numFmt w:val="bullet"/>
      <w:lvlText w:val="•"/>
      <w:lvlJc w:val="left"/>
      <w:pPr>
        <w:tabs>
          <w:tab w:val="num" w:pos="5760"/>
        </w:tabs>
        <w:ind w:left="5760" w:hanging="360"/>
      </w:pPr>
      <w:rPr>
        <w:rFonts w:ascii="Arial" w:hAnsi="Arial" w:hint="default"/>
      </w:rPr>
    </w:lvl>
    <w:lvl w:ilvl="8" w:tplc="E670FEB0" w:tentative="1">
      <w:start w:val="1"/>
      <w:numFmt w:val="bullet"/>
      <w:lvlText w:val="•"/>
      <w:lvlJc w:val="left"/>
      <w:pPr>
        <w:tabs>
          <w:tab w:val="num" w:pos="6480"/>
        </w:tabs>
        <w:ind w:left="6480" w:hanging="360"/>
      </w:pPr>
      <w:rPr>
        <w:rFonts w:ascii="Arial" w:hAnsi="Arial" w:hint="default"/>
      </w:rPr>
    </w:lvl>
  </w:abstractNum>
  <w:abstractNum w:abstractNumId="5">
    <w:nsid w:val="2986333E"/>
    <w:multiLevelType w:val="hybridMultilevel"/>
    <w:tmpl w:val="0D18BD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C46A32"/>
    <w:multiLevelType w:val="hybridMultilevel"/>
    <w:tmpl w:val="9314F09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B02E7E"/>
    <w:multiLevelType w:val="hybridMultilevel"/>
    <w:tmpl w:val="97784738"/>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D257546"/>
    <w:multiLevelType w:val="hybridMultilevel"/>
    <w:tmpl w:val="96920BB2"/>
    <w:lvl w:ilvl="0" w:tplc="EBD29FBC">
      <w:start w:val="1"/>
      <w:numFmt w:val="bullet"/>
      <w:lvlText w:val="•"/>
      <w:lvlJc w:val="left"/>
      <w:pPr>
        <w:tabs>
          <w:tab w:val="num" w:pos="360"/>
        </w:tabs>
        <w:ind w:left="360" w:hanging="360"/>
      </w:pPr>
      <w:rPr>
        <w:rFonts w:ascii="Arial" w:hAnsi="Arial" w:hint="default"/>
      </w:rPr>
    </w:lvl>
    <w:lvl w:ilvl="1" w:tplc="79005C10" w:tentative="1">
      <w:start w:val="1"/>
      <w:numFmt w:val="bullet"/>
      <w:lvlText w:val="•"/>
      <w:lvlJc w:val="left"/>
      <w:pPr>
        <w:tabs>
          <w:tab w:val="num" w:pos="1080"/>
        </w:tabs>
        <w:ind w:left="1080" w:hanging="360"/>
      </w:pPr>
      <w:rPr>
        <w:rFonts w:ascii="Arial" w:hAnsi="Arial" w:hint="default"/>
      </w:rPr>
    </w:lvl>
    <w:lvl w:ilvl="2" w:tplc="257EAFFA" w:tentative="1">
      <w:start w:val="1"/>
      <w:numFmt w:val="bullet"/>
      <w:lvlText w:val="•"/>
      <w:lvlJc w:val="left"/>
      <w:pPr>
        <w:tabs>
          <w:tab w:val="num" w:pos="1800"/>
        </w:tabs>
        <w:ind w:left="1800" w:hanging="360"/>
      </w:pPr>
      <w:rPr>
        <w:rFonts w:ascii="Arial" w:hAnsi="Arial" w:hint="default"/>
      </w:rPr>
    </w:lvl>
    <w:lvl w:ilvl="3" w:tplc="BBCE6B14" w:tentative="1">
      <w:start w:val="1"/>
      <w:numFmt w:val="bullet"/>
      <w:lvlText w:val="•"/>
      <w:lvlJc w:val="left"/>
      <w:pPr>
        <w:tabs>
          <w:tab w:val="num" w:pos="2520"/>
        </w:tabs>
        <w:ind w:left="2520" w:hanging="360"/>
      </w:pPr>
      <w:rPr>
        <w:rFonts w:ascii="Arial" w:hAnsi="Arial" w:hint="default"/>
      </w:rPr>
    </w:lvl>
    <w:lvl w:ilvl="4" w:tplc="35BAAEAC" w:tentative="1">
      <w:start w:val="1"/>
      <w:numFmt w:val="bullet"/>
      <w:lvlText w:val="•"/>
      <w:lvlJc w:val="left"/>
      <w:pPr>
        <w:tabs>
          <w:tab w:val="num" w:pos="3240"/>
        </w:tabs>
        <w:ind w:left="3240" w:hanging="360"/>
      </w:pPr>
      <w:rPr>
        <w:rFonts w:ascii="Arial" w:hAnsi="Arial" w:hint="default"/>
      </w:rPr>
    </w:lvl>
    <w:lvl w:ilvl="5" w:tplc="AFE09878" w:tentative="1">
      <w:start w:val="1"/>
      <w:numFmt w:val="bullet"/>
      <w:lvlText w:val="•"/>
      <w:lvlJc w:val="left"/>
      <w:pPr>
        <w:tabs>
          <w:tab w:val="num" w:pos="3960"/>
        </w:tabs>
        <w:ind w:left="3960" w:hanging="360"/>
      </w:pPr>
      <w:rPr>
        <w:rFonts w:ascii="Arial" w:hAnsi="Arial" w:hint="default"/>
      </w:rPr>
    </w:lvl>
    <w:lvl w:ilvl="6" w:tplc="C4520E22" w:tentative="1">
      <w:start w:val="1"/>
      <w:numFmt w:val="bullet"/>
      <w:lvlText w:val="•"/>
      <w:lvlJc w:val="left"/>
      <w:pPr>
        <w:tabs>
          <w:tab w:val="num" w:pos="4680"/>
        </w:tabs>
        <w:ind w:left="4680" w:hanging="360"/>
      </w:pPr>
      <w:rPr>
        <w:rFonts w:ascii="Arial" w:hAnsi="Arial" w:hint="default"/>
      </w:rPr>
    </w:lvl>
    <w:lvl w:ilvl="7" w:tplc="8DA8DC7E" w:tentative="1">
      <w:start w:val="1"/>
      <w:numFmt w:val="bullet"/>
      <w:lvlText w:val="•"/>
      <w:lvlJc w:val="left"/>
      <w:pPr>
        <w:tabs>
          <w:tab w:val="num" w:pos="5400"/>
        </w:tabs>
        <w:ind w:left="5400" w:hanging="360"/>
      </w:pPr>
      <w:rPr>
        <w:rFonts w:ascii="Arial" w:hAnsi="Arial" w:hint="default"/>
      </w:rPr>
    </w:lvl>
    <w:lvl w:ilvl="8" w:tplc="7826D608" w:tentative="1">
      <w:start w:val="1"/>
      <w:numFmt w:val="bullet"/>
      <w:lvlText w:val="•"/>
      <w:lvlJc w:val="left"/>
      <w:pPr>
        <w:tabs>
          <w:tab w:val="num" w:pos="6120"/>
        </w:tabs>
        <w:ind w:left="6120" w:hanging="360"/>
      </w:pPr>
      <w:rPr>
        <w:rFonts w:ascii="Arial" w:hAnsi="Arial" w:hint="default"/>
      </w:rPr>
    </w:lvl>
  </w:abstractNum>
  <w:abstractNum w:abstractNumId="9">
    <w:nsid w:val="45CD0C48"/>
    <w:multiLevelType w:val="hybridMultilevel"/>
    <w:tmpl w:val="8BD871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5F0335"/>
    <w:multiLevelType w:val="hybridMultilevel"/>
    <w:tmpl w:val="8BE8D192"/>
    <w:lvl w:ilvl="0" w:tplc="8E444490">
      <w:start w:val="1"/>
      <w:numFmt w:val="bullet"/>
      <w:lvlText w:val="•"/>
      <w:lvlJc w:val="left"/>
      <w:pPr>
        <w:tabs>
          <w:tab w:val="num" w:pos="360"/>
        </w:tabs>
        <w:ind w:left="360" w:hanging="360"/>
      </w:pPr>
      <w:rPr>
        <w:rFonts w:ascii="Arial" w:hAnsi="Arial" w:hint="default"/>
      </w:rPr>
    </w:lvl>
    <w:lvl w:ilvl="1" w:tplc="A6CC4AF2" w:tentative="1">
      <w:start w:val="1"/>
      <w:numFmt w:val="bullet"/>
      <w:lvlText w:val="•"/>
      <w:lvlJc w:val="left"/>
      <w:pPr>
        <w:tabs>
          <w:tab w:val="num" w:pos="1080"/>
        </w:tabs>
        <w:ind w:left="1080" w:hanging="360"/>
      </w:pPr>
      <w:rPr>
        <w:rFonts w:ascii="Arial" w:hAnsi="Arial" w:hint="default"/>
      </w:rPr>
    </w:lvl>
    <w:lvl w:ilvl="2" w:tplc="8C7AAB4C" w:tentative="1">
      <w:start w:val="1"/>
      <w:numFmt w:val="bullet"/>
      <w:lvlText w:val="•"/>
      <w:lvlJc w:val="left"/>
      <w:pPr>
        <w:tabs>
          <w:tab w:val="num" w:pos="1800"/>
        </w:tabs>
        <w:ind w:left="1800" w:hanging="360"/>
      </w:pPr>
      <w:rPr>
        <w:rFonts w:ascii="Arial" w:hAnsi="Arial" w:hint="default"/>
      </w:rPr>
    </w:lvl>
    <w:lvl w:ilvl="3" w:tplc="0AC23856" w:tentative="1">
      <w:start w:val="1"/>
      <w:numFmt w:val="bullet"/>
      <w:lvlText w:val="•"/>
      <w:lvlJc w:val="left"/>
      <w:pPr>
        <w:tabs>
          <w:tab w:val="num" w:pos="2520"/>
        </w:tabs>
        <w:ind w:left="2520" w:hanging="360"/>
      </w:pPr>
      <w:rPr>
        <w:rFonts w:ascii="Arial" w:hAnsi="Arial" w:hint="default"/>
      </w:rPr>
    </w:lvl>
    <w:lvl w:ilvl="4" w:tplc="B1767256" w:tentative="1">
      <w:start w:val="1"/>
      <w:numFmt w:val="bullet"/>
      <w:lvlText w:val="•"/>
      <w:lvlJc w:val="left"/>
      <w:pPr>
        <w:tabs>
          <w:tab w:val="num" w:pos="3240"/>
        </w:tabs>
        <w:ind w:left="3240" w:hanging="360"/>
      </w:pPr>
      <w:rPr>
        <w:rFonts w:ascii="Arial" w:hAnsi="Arial" w:hint="default"/>
      </w:rPr>
    </w:lvl>
    <w:lvl w:ilvl="5" w:tplc="D39A6A68" w:tentative="1">
      <w:start w:val="1"/>
      <w:numFmt w:val="bullet"/>
      <w:lvlText w:val="•"/>
      <w:lvlJc w:val="left"/>
      <w:pPr>
        <w:tabs>
          <w:tab w:val="num" w:pos="3960"/>
        </w:tabs>
        <w:ind w:left="3960" w:hanging="360"/>
      </w:pPr>
      <w:rPr>
        <w:rFonts w:ascii="Arial" w:hAnsi="Arial" w:hint="default"/>
      </w:rPr>
    </w:lvl>
    <w:lvl w:ilvl="6" w:tplc="7C845320" w:tentative="1">
      <w:start w:val="1"/>
      <w:numFmt w:val="bullet"/>
      <w:lvlText w:val="•"/>
      <w:lvlJc w:val="left"/>
      <w:pPr>
        <w:tabs>
          <w:tab w:val="num" w:pos="4680"/>
        </w:tabs>
        <w:ind w:left="4680" w:hanging="360"/>
      </w:pPr>
      <w:rPr>
        <w:rFonts w:ascii="Arial" w:hAnsi="Arial" w:hint="default"/>
      </w:rPr>
    </w:lvl>
    <w:lvl w:ilvl="7" w:tplc="7F4297C2" w:tentative="1">
      <w:start w:val="1"/>
      <w:numFmt w:val="bullet"/>
      <w:lvlText w:val="•"/>
      <w:lvlJc w:val="left"/>
      <w:pPr>
        <w:tabs>
          <w:tab w:val="num" w:pos="5400"/>
        </w:tabs>
        <w:ind w:left="5400" w:hanging="360"/>
      </w:pPr>
      <w:rPr>
        <w:rFonts w:ascii="Arial" w:hAnsi="Arial" w:hint="default"/>
      </w:rPr>
    </w:lvl>
    <w:lvl w:ilvl="8" w:tplc="62C6CD9E" w:tentative="1">
      <w:start w:val="1"/>
      <w:numFmt w:val="bullet"/>
      <w:lvlText w:val="•"/>
      <w:lvlJc w:val="left"/>
      <w:pPr>
        <w:tabs>
          <w:tab w:val="num" w:pos="6120"/>
        </w:tabs>
        <w:ind w:left="6120" w:hanging="360"/>
      </w:pPr>
      <w:rPr>
        <w:rFonts w:ascii="Arial" w:hAnsi="Arial" w:hint="default"/>
      </w:rPr>
    </w:lvl>
  </w:abstractNum>
  <w:abstractNum w:abstractNumId="11">
    <w:nsid w:val="4ECD66DD"/>
    <w:multiLevelType w:val="hybridMultilevel"/>
    <w:tmpl w:val="04EAD9AC"/>
    <w:lvl w:ilvl="0" w:tplc="3C62DB48">
      <w:start w:val="1"/>
      <w:numFmt w:val="lowerRoman"/>
      <w:lvlText w:val="%1)"/>
      <w:lvlJc w:val="left"/>
      <w:pPr>
        <w:ind w:left="720" w:hanging="360"/>
      </w:pPr>
      <w:rPr>
        <w:rFonts w:ascii="Arial" w:eastAsiaTheme="minorHAnsi"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584520"/>
    <w:multiLevelType w:val="hybridMultilevel"/>
    <w:tmpl w:val="DA9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3D24FB"/>
    <w:multiLevelType w:val="hybridMultilevel"/>
    <w:tmpl w:val="BE5C64C8"/>
    <w:lvl w:ilvl="0" w:tplc="0809000F">
      <w:start w:val="1"/>
      <w:numFmt w:val="decimal"/>
      <w:lvlText w:val="%1."/>
      <w:lvlJc w:val="left"/>
      <w:pPr>
        <w:ind w:left="360" w:hanging="360"/>
      </w:pPr>
    </w:lvl>
    <w:lvl w:ilvl="1" w:tplc="08090013">
      <w:start w:val="1"/>
      <w:numFmt w:val="upp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3A6362A"/>
    <w:multiLevelType w:val="hybridMultilevel"/>
    <w:tmpl w:val="F0B62B40"/>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552B19"/>
    <w:multiLevelType w:val="hybridMultilevel"/>
    <w:tmpl w:val="100AA63C"/>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BDD4A70"/>
    <w:multiLevelType w:val="hybridMultilevel"/>
    <w:tmpl w:val="8766B404"/>
    <w:lvl w:ilvl="0" w:tplc="778CB4DE">
      <w:start w:val="1"/>
      <w:numFmt w:val="decimal"/>
      <w:lvlText w:val="%1."/>
      <w:lvlJc w:val="left"/>
      <w:pPr>
        <w:ind w:left="360" w:hanging="360"/>
      </w:pPr>
      <w:rPr>
        <w:rFonts w:ascii="Arial" w:hAnsi="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D5C319E"/>
    <w:multiLevelType w:val="hybridMultilevel"/>
    <w:tmpl w:val="62F0FA66"/>
    <w:lvl w:ilvl="0" w:tplc="BC74266E">
      <w:start w:val="1"/>
      <w:numFmt w:val="bullet"/>
      <w:lvlText w:val="•"/>
      <w:lvlJc w:val="left"/>
      <w:pPr>
        <w:tabs>
          <w:tab w:val="num" w:pos="720"/>
        </w:tabs>
        <w:ind w:left="720" w:hanging="360"/>
      </w:pPr>
      <w:rPr>
        <w:rFonts w:ascii="Arial" w:hAnsi="Arial" w:hint="default"/>
      </w:rPr>
    </w:lvl>
    <w:lvl w:ilvl="1" w:tplc="AA9A4764" w:tentative="1">
      <w:start w:val="1"/>
      <w:numFmt w:val="bullet"/>
      <w:lvlText w:val="•"/>
      <w:lvlJc w:val="left"/>
      <w:pPr>
        <w:tabs>
          <w:tab w:val="num" w:pos="1440"/>
        </w:tabs>
        <w:ind w:left="1440" w:hanging="360"/>
      </w:pPr>
      <w:rPr>
        <w:rFonts w:ascii="Arial" w:hAnsi="Arial" w:hint="default"/>
      </w:rPr>
    </w:lvl>
    <w:lvl w:ilvl="2" w:tplc="2C1A366C" w:tentative="1">
      <w:start w:val="1"/>
      <w:numFmt w:val="bullet"/>
      <w:lvlText w:val="•"/>
      <w:lvlJc w:val="left"/>
      <w:pPr>
        <w:tabs>
          <w:tab w:val="num" w:pos="2160"/>
        </w:tabs>
        <w:ind w:left="2160" w:hanging="360"/>
      </w:pPr>
      <w:rPr>
        <w:rFonts w:ascii="Arial" w:hAnsi="Arial" w:hint="default"/>
      </w:rPr>
    </w:lvl>
    <w:lvl w:ilvl="3" w:tplc="4C002614" w:tentative="1">
      <w:start w:val="1"/>
      <w:numFmt w:val="bullet"/>
      <w:lvlText w:val="•"/>
      <w:lvlJc w:val="left"/>
      <w:pPr>
        <w:tabs>
          <w:tab w:val="num" w:pos="2880"/>
        </w:tabs>
        <w:ind w:left="2880" w:hanging="360"/>
      </w:pPr>
      <w:rPr>
        <w:rFonts w:ascii="Arial" w:hAnsi="Arial" w:hint="default"/>
      </w:rPr>
    </w:lvl>
    <w:lvl w:ilvl="4" w:tplc="5900D4F6" w:tentative="1">
      <w:start w:val="1"/>
      <w:numFmt w:val="bullet"/>
      <w:lvlText w:val="•"/>
      <w:lvlJc w:val="left"/>
      <w:pPr>
        <w:tabs>
          <w:tab w:val="num" w:pos="3600"/>
        </w:tabs>
        <w:ind w:left="3600" w:hanging="360"/>
      </w:pPr>
      <w:rPr>
        <w:rFonts w:ascii="Arial" w:hAnsi="Arial" w:hint="default"/>
      </w:rPr>
    </w:lvl>
    <w:lvl w:ilvl="5" w:tplc="5FB40CE0" w:tentative="1">
      <w:start w:val="1"/>
      <w:numFmt w:val="bullet"/>
      <w:lvlText w:val="•"/>
      <w:lvlJc w:val="left"/>
      <w:pPr>
        <w:tabs>
          <w:tab w:val="num" w:pos="4320"/>
        </w:tabs>
        <w:ind w:left="4320" w:hanging="360"/>
      </w:pPr>
      <w:rPr>
        <w:rFonts w:ascii="Arial" w:hAnsi="Arial" w:hint="default"/>
      </w:rPr>
    </w:lvl>
    <w:lvl w:ilvl="6" w:tplc="42504A44" w:tentative="1">
      <w:start w:val="1"/>
      <w:numFmt w:val="bullet"/>
      <w:lvlText w:val="•"/>
      <w:lvlJc w:val="left"/>
      <w:pPr>
        <w:tabs>
          <w:tab w:val="num" w:pos="5040"/>
        </w:tabs>
        <w:ind w:left="5040" w:hanging="360"/>
      </w:pPr>
      <w:rPr>
        <w:rFonts w:ascii="Arial" w:hAnsi="Arial" w:hint="default"/>
      </w:rPr>
    </w:lvl>
    <w:lvl w:ilvl="7" w:tplc="75465D2E" w:tentative="1">
      <w:start w:val="1"/>
      <w:numFmt w:val="bullet"/>
      <w:lvlText w:val="•"/>
      <w:lvlJc w:val="left"/>
      <w:pPr>
        <w:tabs>
          <w:tab w:val="num" w:pos="5760"/>
        </w:tabs>
        <w:ind w:left="5760" w:hanging="360"/>
      </w:pPr>
      <w:rPr>
        <w:rFonts w:ascii="Arial" w:hAnsi="Arial" w:hint="default"/>
      </w:rPr>
    </w:lvl>
    <w:lvl w:ilvl="8" w:tplc="407C6540" w:tentative="1">
      <w:start w:val="1"/>
      <w:numFmt w:val="bullet"/>
      <w:lvlText w:val="•"/>
      <w:lvlJc w:val="left"/>
      <w:pPr>
        <w:tabs>
          <w:tab w:val="num" w:pos="6480"/>
        </w:tabs>
        <w:ind w:left="6480" w:hanging="360"/>
      </w:pPr>
      <w:rPr>
        <w:rFonts w:ascii="Arial" w:hAnsi="Arial" w:hint="default"/>
      </w:rPr>
    </w:lvl>
  </w:abstractNum>
  <w:abstractNum w:abstractNumId="18">
    <w:nsid w:val="72266ACF"/>
    <w:multiLevelType w:val="hybridMultilevel"/>
    <w:tmpl w:val="869C75BC"/>
    <w:lvl w:ilvl="0" w:tplc="27A082C2">
      <w:start w:val="1"/>
      <w:numFmt w:val="bullet"/>
      <w:lvlText w:val="•"/>
      <w:lvlJc w:val="left"/>
      <w:pPr>
        <w:tabs>
          <w:tab w:val="num" w:pos="360"/>
        </w:tabs>
        <w:ind w:left="360" w:hanging="360"/>
      </w:pPr>
      <w:rPr>
        <w:rFonts w:ascii="Arial" w:hAnsi="Arial" w:hint="default"/>
      </w:rPr>
    </w:lvl>
    <w:lvl w:ilvl="1" w:tplc="F438B30E" w:tentative="1">
      <w:start w:val="1"/>
      <w:numFmt w:val="bullet"/>
      <w:lvlText w:val="•"/>
      <w:lvlJc w:val="left"/>
      <w:pPr>
        <w:tabs>
          <w:tab w:val="num" w:pos="1080"/>
        </w:tabs>
        <w:ind w:left="1080" w:hanging="360"/>
      </w:pPr>
      <w:rPr>
        <w:rFonts w:ascii="Arial" w:hAnsi="Arial" w:hint="default"/>
      </w:rPr>
    </w:lvl>
    <w:lvl w:ilvl="2" w:tplc="B8E6CD7E" w:tentative="1">
      <w:start w:val="1"/>
      <w:numFmt w:val="bullet"/>
      <w:lvlText w:val="•"/>
      <w:lvlJc w:val="left"/>
      <w:pPr>
        <w:tabs>
          <w:tab w:val="num" w:pos="1800"/>
        </w:tabs>
        <w:ind w:left="1800" w:hanging="360"/>
      </w:pPr>
      <w:rPr>
        <w:rFonts w:ascii="Arial" w:hAnsi="Arial" w:hint="default"/>
      </w:rPr>
    </w:lvl>
    <w:lvl w:ilvl="3" w:tplc="F44A7546" w:tentative="1">
      <w:start w:val="1"/>
      <w:numFmt w:val="bullet"/>
      <w:lvlText w:val="•"/>
      <w:lvlJc w:val="left"/>
      <w:pPr>
        <w:tabs>
          <w:tab w:val="num" w:pos="2520"/>
        </w:tabs>
        <w:ind w:left="2520" w:hanging="360"/>
      </w:pPr>
      <w:rPr>
        <w:rFonts w:ascii="Arial" w:hAnsi="Arial" w:hint="default"/>
      </w:rPr>
    </w:lvl>
    <w:lvl w:ilvl="4" w:tplc="9BD47AE8" w:tentative="1">
      <w:start w:val="1"/>
      <w:numFmt w:val="bullet"/>
      <w:lvlText w:val="•"/>
      <w:lvlJc w:val="left"/>
      <w:pPr>
        <w:tabs>
          <w:tab w:val="num" w:pos="3240"/>
        </w:tabs>
        <w:ind w:left="3240" w:hanging="360"/>
      </w:pPr>
      <w:rPr>
        <w:rFonts w:ascii="Arial" w:hAnsi="Arial" w:hint="default"/>
      </w:rPr>
    </w:lvl>
    <w:lvl w:ilvl="5" w:tplc="91D2C1CE" w:tentative="1">
      <w:start w:val="1"/>
      <w:numFmt w:val="bullet"/>
      <w:lvlText w:val="•"/>
      <w:lvlJc w:val="left"/>
      <w:pPr>
        <w:tabs>
          <w:tab w:val="num" w:pos="3960"/>
        </w:tabs>
        <w:ind w:left="3960" w:hanging="360"/>
      </w:pPr>
      <w:rPr>
        <w:rFonts w:ascii="Arial" w:hAnsi="Arial" w:hint="default"/>
      </w:rPr>
    </w:lvl>
    <w:lvl w:ilvl="6" w:tplc="77F2F57A" w:tentative="1">
      <w:start w:val="1"/>
      <w:numFmt w:val="bullet"/>
      <w:lvlText w:val="•"/>
      <w:lvlJc w:val="left"/>
      <w:pPr>
        <w:tabs>
          <w:tab w:val="num" w:pos="4680"/>
        </w:tabs>
        <w:ind w:left="4680" w:hanging="360"/>
      </w:pPr>
      <w:rPr>
        <w:rFonts w:ascii="Arial" w:hAnsi="Arial" w:hint="default"/>
      </w:rPr>
    </w:lvl>
    <w:lvl w:ilvl="7" w:tplc="F3EC4884" w:tentative="1">
      <w:start w:val="1"/>
      <w:numFmt w:val="bullet"/>
      <w:lvlText w:val="•"/>
      <w:lvlJc w:val="left"/>
      <w:pPr>
        <w:tabs>
          <w:tab w:val="num" w:pos="5400"/>
        </w:tabs>
        <w:ind w:left="5400" w:hanging="360"/>
      </w:pPr>
      <w:rPr>
        <w:rFonts w:ascii="Arial" w:hAnsi="Arial" w:hint="default"/>
      </w:rPr>
    </w:lvl>
    <w:lvl w:ilvl="8" w:tplc="678AA6D2" w:tentative="1">
      <w:start w:val="1"/>
      <w:numFmt w:val="bullet"/>
      <w:lvlText w:val="•"/>
      <w:lvlJc w:val="left"/>
      <w:pPr>
        <w:tabs>
          <w:tab w:val="num" w:pos="6120"/>
        </w:tabs>
        <w:ind w:left="6120" w:hanging="360"/>
      </w:pPr>
      <w:rPr>
        <w:rFonts w:ascii="Arial" w:hAnsi="Arial" w:hint="default"/>
      </w:rPr>
    </w:lvl>
  </w:abstractNum>
  <w:abstractNum w:abstractNumId="19">
    <w:nsid w:val="7B8F6B43"/>
    <w:multiLevelType w:val="hybridMultilevel"/>
    <w:tmpl w:val="207C9688"/>
    <w:lvl w:ilvl="0" w:tplc="556A27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14"/>
  </w:num>
  <w:num w:numId="4">
    <w:abstractNumId w:val="19"/>
  </w:num>
  <w:num w:numId="5">
    <w:abstractNumId w:val="13"/>
  </w:num>
  <w:num w:numId="6">
    <w:abstractNumId w:val="15"/>
  </w:num>
  <w:num w:numId="7">
    <w:abstractNumId w:val="3"/>
  </w:num>
  <w:num w:numId="8">
    <w:abstractNumId w:val="5"/>
  </w:num>
  <w:num w:numId="9">
    <w:abstractNumId w:val="12"/>
  </w:num>
  <w:num w:numId="10">
    <w:abstractNumId w:val="7"/>
  </w:num>
  <w:num w:numId="11">
    <w:abstractNumId w:val="6"/>
  </w:num>
  <w:num w:numId="12">
    <w:abstractNumId w:val="9"/>
  </w:num>
  <w:num w:numId="13">
    <w:abstractNumId w:val="1"/>
  </w:num>
  <w:num w:numId="14">
    <w:abstractNumId w:val="2"/>
  </w:num>
  <w:num w:numId="15">
    <w:abstractNumId w:val="10"/>
  </w:num>
  <w:num w:numId="16">
    <w:abstractNumId w:val="18"/>
  </w:num>
  <w:num w:numId="17">
    <w:abstractNumId w:val="4"/>
  </w:num>
  <w:num w:numId="18">
    <w:abstractNumId w:val="17"/>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BD"/>
    <w:rsid w:val="00046C65"/>
    <w:rsid w:val="0005113B"/>
    <w:rsid w:val="00055970"/>
    <w:rsid w:val="00055E67"/>
    <w:rsid w:val="00056850"/>
    <w:rsid w:val="000E5366"/>
    <w:rsid w:val="000F156D"/>
    <w:rsid w:val="000F1E9E"/>
    <w:rsid w:val="00157FA9"/>
    <w:rsid w:val="001B78F1"/>
    <w:rsid w:val="001E7282"/>
    <w:rsid w:val="001F2EEC"/>
    <w:rsid w:val="00275F9A"/>
    <w:rsid w:val="002B55BA"/>
    <w:rsid w:val="002E6D4D"/>
    <w:rsid w:val="00323DE0"/>
    <w:rsid w:val="00335A49"/>
    <w:rsid w:val="0039684A"/>
    <w:rsid w:val="003C4539"/>
    <w:rsid w:val="003D3FBD"/>
    <w:rsid w:val="003D5328"/>
    <w:rsid w:val="003F7B9B"/>
    <w:rsid w:val="00466A3B"/>
    <w:rsid w:val="004B050E"/>
    <w:rsid w:val="004D2BF1"/>
    <w:rsid w:val="004E0410"/>
    <w:rsid w:val="00552A79"/>
    <w:rsid w:val="006064A1"/>
    <w:rsid w:val="006538EE"/>
    <w:rsid w:val="00660931"/>
    <w:rsid w:val="00674E3C"/>
    <w:rsid w:val="006857F5"/>
    <w:rsid w:val="006C7FF6"/>
    <w:rsid w:val="006D78A5"/>
    <w:rsid w:val="006F00A9"/>
    <w:rsid w:val="006F7FDD"/>
    <w:rsid w:val="00736E5F"/>
    <w:rsid w:val="007B596C"/>
    <w:rsid w:val="007B738B"/>
    <w:rsid w:val="007F6CE1"/>
    <w:rsid w:val="0084198B"/>
    <w:rsid w:val="00897A94"/>
    <w:rsid w:val="008A7372"/>
    <w:rsid w:val="008D0FC1"/>
    <w:rsid w:val="008D1CE3"/>
    <w:rsid w:val="008E32A3"/>
    <w:rsid w:val="008E74D1"/>
    <w:rsid w:val="00914946"/>
    <w:rsid w:val="00983D67"/>
    <w:rsid w:val="009E4E4C"/>
    <w:rsid w:val="009E771B"/>
    <w:rsid w:val="00A177E7"/>
    <w:rsid w:val="00A22BEC"/>
    <w:rsid w:val="00AB75A4"/>
    <w:rsid w:val="00AF5D54"/>
    <w:rsid w:val="00B16F45"/>
    <w:rsid w:val="00BE6110"/>
    <w:rsid w:val="00BF27F1"/>
    <w:rsid w:val="00C34CE0"/>
    <w:rsid w:val="00C77F44"/>
    <w:rsid w:val="00CB5AE4"/>
    <w:rsid w:val="00CE66F7"/>
    <w:rsid w:val="00CE694B"/>
    <w:rsid w:val="00D40483"/>
    <w:rsid w:val="00DA7833"/>
    <w:rsid w:val="00E0556B"/>
    <w:rsid w:val="00E332AD"/>
    <w:rsid w:val="00E551C5"/>
    <w:rsid w:val="00E5624D"/>
    <w:rsid w:val="00EC223C"/>
    <w:rsid w:val="00ED41E1"/>
    <w:rsid w:val="00FB7887"/>
    <w:rsid w:val="00FD188A"/>
    <w:rsid w:val="00FE1414"/>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ListParagraph">
    <w:name w:val="List Paragraph"/>
    <w:aliases w:val="OBC Bullet,List Paragraph11,List Paragrap,Colorful List - Accent 12,Bullet Styl,Bullet,No Spacing11,L,Párrafo de lista,Recommendation,Recommendati,Recommendatio,List Paragraph3,List Paragra,Maire,List Paragraph12,Normal numbered,Dot pt"/>
    <w:basedOn w:val="Normal"/>
    <w:link w:val="ListParagraphChar"/>
    <w:uiPriority w:val="34"/>
    <w:qFormat/>
    <w:rsid w:val="003D3FBD"/>
    <w:pPr>
      <w:ind w:left="720"/>
      <w:contextualSpacing/>
    </w:pPr>
  </w:style>
  <w:style w:type="character" w:styleId="CommentReference">
    <w:name w:val="annotation reference"/>
    <w:basedOn w:val="DefaultParagraphFont"/>
    <w:uiPriority w:val="99"/>
    <w:semiHidden/>
    <w:unhideWhenUsed/>
    <w:rsid w:val="003D5328"/>
    <w:rPr>
      <w:sz w:val="16"/>
      <w:szCs w:val="16"/>
    </w:rPr>
  </w:style>
  <w:style w:type="paragraph" w:styleId="CommentText">
    <w:name w:val="annotation text"/>
    <w:basedOn w:val="Normal"/>
    <w:link w:val="CommentTextChar"/>
    <w:uiPriority w:val="99"/>
    <w:semiHidden/>
    <w:unhideWhenUsed/>
    <w:rsid w:val="003D5328"/>
    <w:pPr>
      <w:spacing w:line="240" w:lineRule="auto"/>
    </w:pPr>
    <w:rPr>
      <w:sz w:val="20"/>
      <w:szCs w:val="20"/>
    </w:rPr>
  </w:style>
  <w:style w:type="character" w:customStyle="1" w:styleId="CommentTextChar">
    <w:name w:val="Comment Text Char"/>
    <w:basedOn w:val="DefaultParagraphFont"/>
    <w:link w:val="CommentText"/>
    <w:uiPriority w:val="99"/>
    <w:semiHidden/>
    <w:rsid w:val="003D5328"/>
    <w:rPr>
      <w:sz w:val="20"/>
      <w:szCs w:val="20"/>
    </w:rPr>
  </w:style>
  <w:style w:type="paragraph" w:styleId="CommentSubject">
    <w:name w:val="annotation subject"/>
    <w:basedOn w:val="CommentText"/>
    <w:next w:val="CommentText"/>
    <w:link w:val="CommentSubjectChar"/>
    <w:uiPriority w:val="99"/>
    <w:semiHidden/>
    <w:unhideWhenUsed/>
    <w:rsid w:val="003D5328"/>
    <w:rPr>
      <w:b/>
      <w:bCs/>
    </w:rPr>
  </w:style>
  <w:style w:type="character" w:customStyle="1" w:styleId="CommentSubjectChar">
    <w:name w:val="Comment Subject Char"/>
    <w:basedOn w:val="CommentTextChar"/>
    <w:link w:val="CommentSubject"/>
    <w:uiPriority w:val="99"/>
    <w:semiHidden/>
    <w:rsid w:val="003D5328"/>
    <w:rPr>
      <w:b/>
      <w:bCs/>
      <w:sz w:val="20"/>
      <w:szCs w:val="20"/>
    </w:rPr>
  </w:style>
  <w:style w:type="paragraph" w:styleId="BalloonText">
    <w:name w:val="Balloon Text"/>
    <w:basedOn w:val="Normal"/>
    <w:link w:val="BalloonTextChar"/>
    <w:uiPriority w:val="99"/>
    <w:semiHidden/>
    <w:unhideWhenUsed/>
    <w:rsid w:val="003D5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28"/>
    <w:rPr>
      <w:rFonts w:ascii="Tahoma" w:hAnsi="Tahoma" w:cs="Tahoma"/>
      <w:sz w:val="16"/>
      <w:szCs w:val="16"/>
    </w:rPr>
  </w:style>
  <w:style w:type="paragraph" w:styleId="NormalWeb">
    <w:name w:val="Normal (Web)"/>
    <w:basedOn w:val="Normal"/>
    <w:uiPriority w:val="99"/>
    <w:semiHidden/>
    <w:unhideWhenUsed/>
    <w:rsid w:val="00552A79"/>
    <w:pPr>
      <w:spacing w:before="100" w:beforeAutospacing="1" w:after="100" w:afterAutospacing="1" w:line="240" w:lineRule="auto"/>
    </w:pPr>
    <w:rPr>
      <w:rFonts w:ascii="Times New Roman" w:eastAsiaTheme="minorEastAsia" w:hAnsi="Times New Roman" w:cs="Times New Roman"/>
      <w:lang w:eastAsia="en-GB"/>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1E7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ListParagraph">
    <w:name w:val="List Paragraph"/>
    <w:aliases w:val="OBC Bullet,List Paragraph11,List Paragrap,Colorful List - Accent 12,Bullet Styl,Bullet,No Spacing11,L,Párrafo de lista,Recommendation,Recommendati,Recommendatio,List Paragraph3,List Paragra,Maire,List Paragraph12,Normal numbered,Dot pt"/>
    <w:basedOn w:val="Normal"/>
    <w:link w:val="ListParagraphChar"/>
    <w:uiPriority w:val="34"/>
    <w:qFormat/>
    <w:rsid w:val="003D3FBD"/>
    <w:pPr>
      <w:ind w:left="720"/>
      <w:contextualSpacing/>
    </w:pPr>
  </w:style>
  <w:style w:type="character" w:styleId="CommentReference">
    <w:name w:val="annotation reference"/>
    <w:basedOn w:val="DefaultParagraphFont"/>
    <w:uiPriority w:val="99"/>
    <w:semiHidden/>
    <w:unhideWhenUsed/>
    <w:rsid w:val="003D5328"/>
    <w:rPr>
      <w:sz w:val="16"/>
      <w:szCs w:val="16"/>
    </w:rPr>
  </w:style>
  <w:style w:type="paragraph" w:styleId="CommentText">
    <w:name w:val="annotation text"/>
    <w:basedOn w:val="Normal"/>
    <w:link w:val="CommentTextChar"/>
    <w:uiPriority w:val="99"/>
    <w:semiHidden/>
    <w:unhideWhenUsed/>
    <w:rsid w:val="003D5328"/>
    <w:pPr>
      <w:spacing w:line="240" w:lineRule="auto"/>
    </w:pPr>
    <w:rPr>
      <w:sz w:val="20"/>
      <w:szCs w:val="20"/>
    </w:rPr>
  </w:style>
  <w:style w:type="character" w:customStyle="1" w:styleId="CommentTextChar">
    <w:name w:val="Comment Text Char"/>
    <w:basedOn w:val="DefaultParagraphFont"/>
    <w:link w:val="CommentText"/>
    <w:uiPriority w:val="99"/>
    <w:semiHidden/>
    <w:rsid w:val="003D5328"/>
    <w:rPr>
      <w:sz w:val="20"/>
      <w:szCs w:val="20"/>
    </w:rPr>
  </w:style>
  <w:style w:type="paragraph" w:styleId="CommentSubject">
    <w:name w:val="annotation subject"/>
    <w:basedOn w:val="CommentText"/>
    <w:next w:val="CommentText"/>
    <w:link w:val="CommentSubjectChar"/>
    <w:uiPriority w:val="99"/>
    <w:semiHidden/>
    <w:unhideWhenUsed/>
    <w:rsid w:val="003D5328"/>
    <w:rPr>
      <w:b/>
      <w:bCs/>
    </w:rPr>
  </w:style>
  <w:style w:type="character" w:customStyle="1" w:styleId="CommentSubjectChar">
    <w:name w:val="Comment Subject Char"/>
    <w:basedOn w:val="CommentTextChar"/>
    <w:link w:val="CommentSubject"/>
    <w:uiPriority w:val="99"/>
    <w:semiHidden/>
    <w:rsid w:val="003D5328"/>
    <w:rPr>
      <w:b/>
      <w:bCs/>
      <w:sz w:val="20"/>
      <w:szCs w:val="20"/>
    </w:rPr>
  </w:style>
  <w:style w:type="paragraph" w:styleId="BalloonText">
    <w:name w:val="Balloon Text"/>
    <w:basedOn w:val="Normal"/>
    <w:link w:val="BalloonTextChar"/>
    <w:uiPriority w:val="99"/>
    <w:semiHidden/>
    <w:unhideWhenUsed/>
    <w:rsid w:val="003D5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28"/>
    <w:rPr>
      <w:rFonts w:ascii="Tahoma" w:hAnsi="Tahoma" w:cs="Tahoma"/>
      <w:sz w:val="16"/>
      <w:szCs w:val="16"/>
    </w:rPr>
  </w:style>
  <w:style w:type="paragraph" w:styleId="NormalWeb">
    <w:name w:val="Normal (Web)"/>
    <w:basedOn w:val="Normal"/>
    <w:uiPriority w:val="99"/>
    <w:semiHidden/>
    <w:unhideWhenUsed/>
    <w:rsid w:val="00552A79"/>
    <w:pPr>
      <w:spacing w:before="100" w:beforeAutospacing="1" w:after="100" w:afterAutospacing="1" w:line="240" w:lineRule="auto"/>
    </w:pPr>
    <w:rPr>
      <w:rFonts w:ascii="Times New Roman" w:eastAsiaTheme="minorEastAsia" w:hAnsi="Times New Roman" w:cs="Times New Roman"/>
      <w:lang w:eastAsia="en-GB"/>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1E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1150">
      <w:bodyDiv w:val="1"/>
      <w:marLeft w:val="0"/>
      <w:marRight w:val="0"/>
      <w:marTop w:val="0"/>
      <w:marBottom w:val="0"/>
      <w:divBdr>
        <w:top w:val="none" w:sz="0" w:space="0" w:color="auto"/>
        <w:left w:val="none" w:sz="0" w:space="0" w:color="auto"/>
        <w:bottom w:val="none" w:sz="0" w:space="0" w:color="auto"/>
        <w:right w:val="none" w:sz="0" w:space="0" w:color="auto"/>
      </w:divBdr>
      <w:divsChild>
        <w:div w:id="422915491">
          <w:marLeft w:val="1166"/>
          <w:marRight w:val="0"/>
          <w:marTop w:val="0"/>
          <w:marBottom w:val="0"/>
          <w:divBdr>
            <w:top w:val="none" w:sz="0" w:space="0" w:color="auto"/>
            <w:left w:val="none" w:sz="0" w:space="0" w:color="auto"/>
            <w:bottom w:val="none" w:sz="0" w:space="0" w:color="auto"/>
            <w:right w:val="none" w:sz="0" w:space="0" w:color="auto"/>
          </w:divBdr>
        </w:div>
        <w:div w:id="661617494">
          <w:marLeft w:val="1166"/>
          <w:marRight w:val="0"/>
          <w:marTop w:val="0"/>
          <w:marBottom w:val="0"/>
          <w:divBdr>
            <w:top w:val="none" w:sz="0" w:space="0" w:color="auto"/>
            <w:left w:val="none" w:sz="0" w:space="0" w:color="auto"/>
            <w:bottom w:val="none" w:sz="0" w:space="0" w:color="auto"/>
            <w:right w:val="none" w:sz="0" w:space="0" w:color="auto"/>
          </w:divBdr>
        </w:div>
        <w:div w:id="777140639">
          <w:marLeft w:val="1166"/>
          <w:marRight w:val="0"/>
          <w:marTop w:val="0"/>
          <w:marBottom w:val="0"/>
          <w:divBdr>
            <w:top w:val="none" w:sz="0" w:space="0" w:color="auto"/>
            <w:left w:val="none" w:sz="0" w:space="0" w:color="auto"/>
            <w:bottom w:val="none" w:sz="0" w:space="0" w:color="auto"/>
            <w:right w:val="none" w:sz="0" w:space="0" w:color="auto"/>
          </w:divBdr>
        </w:div>
        <w:div w:id="1791322250">
          <w:marLeft w:val="1166"/>
          <w:marRight w:val="0"/>
          <w:marTop w:val="0"/>
          <w:marBottom w:val="0"/>
          <w:divBdr>
            <w:top w:val="none" w:sz="0" w:space="0" w:color="auto"/>
            <w:left w:val="none" w:sz="0" w:space="0" w:color="auto"/>
            <w:bottom w:val="none" w:sz="0" w:space="0" w:color="auto"/>
            <w:right w:val="none" w:sz="0" w:space="0" w:color="auto"/>
          </w:divBdr>
        </w:div>
      </w:divsChild>
    </w:div>
    <w:div w:id="1543516984">
      <w:bodyDiv w:val="1"/>
      <w:marLeft w:val="0"/>
      <w:marRight w:val="0"/>
      <w:marTop w:val="0"/>
      <w:marBottom w:val="0"/>
      <w:divBdr>
        <w:top w:val="none" w:sz="0" w:space="0" w:color="auto"/>
        <w:left w:val="none" w:sz="0" w:space="0" w:color="auto"/>
        <w:bottom w:val="none" w:sz="0" w:space="0" w:color="auto"/>
        <w:right w:val="none" w:sz="0" w:space="0" w:color="auto"/>
      </w:divBdr>
      <w:divsChild>
        <w:div w:id="114342300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33D1B3EB-D97E-4803-B33F-1A20241BE33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Coleman</dc:creator>
  <cp:lastModifiedBy>Charlie Coleman</cp:lastModifiedBy>
  <cp:revision>2</cp:revision>
  <dcterms:created xsi:type="dcterms:W3CDTF">2017-09-26T16:05:00Z</dcterms:created>
  <dcterms:modified xsi:type="dcterms:W3CDTF">2017-09-26T16:05:00Z</dcterms:modified>
</cp:coreProperties>
</file>