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352C" w14:textId="77777777" w:rsidR="00AE7501" w:rsidRPr="00AD67ED" w:rsidRDefault="00AE7501" w:rsidP="00AE7501">
      <w:pPr>
        <w:spacing w:line="240" w:lineRule="auto"/>
        <w:ind w:left="-284"/>
        <w:contextualSpacing/>
        <w:rPr>
          <w:b/>
          <w:sz w:val="32"/>
        </w:rPr>
      </w:pPr>
      <w:r w:rsidRPr="00F14385">
        <w:rPr>
          <w:rFonts w:ascii="Times New Roman" w:eastAsia="Times New Roman" w:hAnsi="Times New Roman" w:cs="Times New Roman"/>
          <w:noProof/>
          <w:lang w:eastAsia="en-GB"/>
        </w:rPr>
        <w:drawing>
          <wp:inline distT="0" distB="0" distL="0" distR="0" wp14:anchorId="170C66E4" wp14:editId="51D40601">
            <wp:extent cx="1147782" cy="599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7782" cy="599086"/>
                    </a:xfrm>
                    <a:prstGeom prst="rect">
                      <a:avLst/>
                    </a:prstGeom>
                    <a:noFill/>
                    <a:ln>
                      <a:noFill/>
                    </a:ln>
                  </pic:spPr>
                </pic:pic>
              </a:graphicData>
            </a:graphic>
          </wp:inline>
        </w:drawing>
      </w:r>
      <w:r>
        <w:rPr>
          <w:b/>
          <w:sz w:val="32"/>
        </w:rPr>
        <w:t xml:space="preserve">                                                                 </w:t>
      </w:r>
      <w:r>
        <w:rPr>
          <w:noProof/>
          <w:sz w:val="44"/>
          <w:szCs w:val="44"/>
          <w:lang w:eastAsia="en-GB"/>
        </w:rPr>
        <w:drawing>
          <wp:inline distT="0" distB="0" distL="0" distR="0" wp14:anchorId="4DF731A6" wp14:editId="1F388C9E">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p>
    <w:p w14:paraId="4BF6918E" w14:textId="77777777" w:rsidR="00AE7501" w:rsidRDefault="00AE7501" w:rsidP="00AE7501">
      <w:pPr>
        <w:pBdr>
          <w:bottom w:val="single" w:sz="12" w:space="0" w:color="auto"/>
        </w:pBdr>
        <w:spacing w:line="240" w:lineRule="auto"/>
        <w:contextualSpacing/>
        <w:jc w:val="center"/>
        <w:rPr>
          <w:b/>
          <w:sz w:val="28"/>
          <w:szCs w:val="28"/>
        </w:rPr>
      </w:pPr>
    </w:p>
    <w:p w14:paraId="4D3AD3BF" w14:textId="77777777" w:rsidR="00AE7501" w:rsidRDefault="00AE7501" w:rsidP="00AE7501">
      <w:pPr>
        <w:pBdr>
          <w:bottom w:val="single" w:sz="12" w:space="0" w:color="auto"/>
        </w:pBdr>
        <w:spacing w:line="240" w:lineRule="auto"/>
        <w:contextualSpacing/>
        <w:jc w:val="center"/>
      </w:pPr>
      <w:r w:rsidRPr="00AA32CA">
        <w:rPr>
          <w:b/>
          <w:sz w:val="28"/>
          <w:szCs w:val="28"/>
        </w:rPr>
        <w:t xml:space="preserve">Summary Note – Meeting of </w:t>
      </w:r>
      <w:r w:rsidRPr="00C801F2">
        <w:rPr>
          <w:b/>
          <w:sz w:val="28"/>
          <w:szCs w:val="28"/>
        </w:rPr>
        <w:t>System Design</w:t>
      </w:r>
      <w:r w:rsidRPr="00AA32CA">
        <w:rPr>
          <w:b/>
          <w:sz w:val="28"/>
          <w:szCs w:val="28"/>
        </w:rPr>
        <w:t xml:space="preserve"> </w:t>
      </w:r>
      <w:r>
        <w:rPr>
          <w:b/>
          <w:sz w:val="28"/>
          <w:szCs w:val="28"/>
        </w:rPr>
        <w:t>and Implementation Working Group</w:t>
      </w:r>
      <w:r>
        <w:tab/>
      </w:r>
    </w:p>
    <w:p w14:paraId="64DA1416" w14:textId="77777777" w:rsidR="00AE7501" w:rsidRPr="00634744" w:rsidRDefault="00AE7501" w:rsidP="00AE7501">
      <w:pPr>
        <w:pBdr>
          <w:bottom w:val="single" w:sz="12" w:space="0" w:color="auto"/>
        </w:pBdr>
        <w:spacing w:line="240" w:lineRule="auto"/>
        <w:contextualSpacing/>
        <w:jc w:val="center"/>
        <w:rPr>
          <w:b/>
          <w:sz w:val="28"/>
          <w:szCs w:val="28"/>
        </w:rPr>
      </w:pPr>
      <w:r>
        <w:tab/>
      </w:r>
      <w:r>
        <w:tab/>
      </w:r>
      <w:r>
        <w:tab/>
      </w:r>
      <w:r>
        <w:tab/>
      </w:r>
      <w:r>
        <w:tab/>
      </w:r>
    </w:p>
    <w:p w14:paraId="1D4177B2" w14:textId="77777777" w:rsidR="00AE7501" w:rsidRDefault="00AE7501" w:rsidP="00AE7501">
      <w:pPr>
        <w:spacing w:line="360" w:lineRule="auto"/>
        <w:contextualSpacing/>
      </w:pPr>
    </w:p>
    <w:p w14:paraId="7399AA1F" w14:textId="77777777" w:rsidR="00AE7501" w:rsidRPr="008C37F1" w:rsidRDefault="00AE7501" w:rsidP="00AE7501">
      <w:pPr>
        <w:spacing w:line="360" w:lineRule="auto"/>
        <w:contextualSpacing/>
        <w:rPr>
          <w:b/>
          <w:szCs w:val="40"/>
        </w:rPr>
      </w:pPr>
      <w:r w:rsidRPr="00A50F7A">
        <w:t>Title:</w:t>
      </w:r>
      <w:r>
        <w:rPr>
          <w:b/>
        </w:rPr>
        <w:t xml:space="preserve">  </w:t>
      </w:r>
      <w:r>
        <w:rPr>
          <w:b/>
        </w:rPr>
        <w:tab/>
      </w:r>
      <w:r>
        <w:rPr>
          <w:b/>
        </w:rPr>
        <w:tab/>
      </w:r>
      <w:r>
        <w:rPr>
          <w:b/>
          <w:szCs w:val="40"/>
        </w:rPr>
        <w:t xml:space="preserve">System Design </w:t>
      </w:r>
      <w:r w:rsidRPr="00A50F7A">
        <w:rPr>
          <w:b/>
          <w:szCs w:val="40"/>
        </w:rPr>
        <w:t>Working Group</w:t>
      </w:r>
    </w:p>
    <w:p w14:paraId="69206BE2" w14:textId="77777777" w:rsidR="00AE7501" w:rsidRDefault="00AE7501" w:rsidP="00AE7501">
      <w:pPr>
        <w:spacing w:line="360" w:lineRule="auto"/>
        <w:contextualSpacing/>
        <w:rPr>
          <w:b/>
        </w:rPr>
      </w:pPr>
      <w:r w:rsidRPr="00A50F7A">
        <w:t>Date:</w:t>
      </w:r>
      <w:r>
        <w:rPr>
          <w:b/>
        </w:rPr>
        <w:t xml:space="preserve"> </w:t>
      </w:r>
      <w:r>
        <w:rPr>
          <w:b/>
        </w:rPr>
        <w:tab/>
      </w:r>
      <w:r>
        <w:rPr>
          <w:b/>
        </w:rPr>
        <w:tab/>
        <w:t>Wednesday 22</w:t>
      </w:r>
      <w:r w:rsidRPr="00A94C57">
        <w:rPr>
          <w:b/>
          <w:vertAlign w:val="superscript"/>
        </w:rPr>
        <w:t>nd</w:t>
      </w:r>
      <w:r>
        <w:rPr>
          <w:b/>
        </w:rPr>
        <w:t xml:space="preserve"> May 2019, 13:30 – 17:00</w:t>
      </w:r>
    </w:p>
    <w:p w14:paraId="1BD7AA6D" w14:textId="77777777" w:rsidR="00AE7501" w:rsidRPr="009A3335" w:rsidRDefault="00AE7501" w:rsidP="00AE7501">
      <w:pPr>
        <w:spacing w:line="360" w:lineRule="auto"/>
        <w:contextualSpacing/>
        <w:rPr>
          <w:b/>
        </w:rPr>
      </w:pPr>
      <w:r w:rsidRPr="00A50F7A">
        <w:t>Venue</w:t>
      </w:r>
      <w:r>
        <w:rPr>
          <w:b/>
        </w:rPr>
        <w:t xml:space="preserve">: </w:t>
      </w:r>
      <w:r>
        <w:rPr>
          <w:b/>
        </w:rPr>
        <w:tab/>
      </w:r>
      <w:r w:rsidRPr="00D05C4E">
        <w:rPr>
          <w:b/>
        </w:rPr>
        <w:t>LGA headquarters, 18 Smith Square, London, SW1P 3HZ</w:t>
      </w:r>
    </w:p>
    <w:p w14:paraId="3BB1CB99" w14:textId="77777777" w:rsidR="00AE7501" w:rsidRPr="00AD67ED" w:rsidRDefault="00AE7501" w:rsidP="00AE7501">
      <w:pPr>
        <w:pBdr>
          <w:bottom w:val="single" w:sz="12" w:space="1" w:color="auto"/>
        </w:pBdr>
        <w:spacing w:line="360" w:lineRule="auto"/>
        <w:contextualSpacing/>
      </w:pPr>
    </w:p>
    <w:p w14:paraId="2EDC88AC" w14:textId="77777777" w:rsidR="00AE7501" w:rsidRDefault="00AE7501" w:rsidP="00AE7501">
      <w:pPr>
        <w:spacing w:after="240" w:line="240" w:lineRule="auto"/>
        <w:rPr>
          <w:b/>
          <w:sz w:val="22"/>
          <w:szCs w:val="22"/>
        </w:rPr>
      </w:pPr>
    </w:p>
    <w:p w14:paraId="5D73EB06" w14:textId="3B1B5574" w:rsidR="00AE7501" w:rsidRPr="00A75249" w:rsidRDefault="00AE7501" w:rsidP="00A75249">
      <w:pPr>
        <w:pStyle w:val="ListParagraph"/>
        <w:numPr>
          <w:ilvl w:val="0"/>
          <w:numId w:val="1"/>
        </w:numPr>
        <w:rPr>
          <w:b/>
          <w:sz w:val="22"/>
          <w:szCs w:val="22"/>
        </w:rPr>
      </w:pPr>
      <w:r w:rsidRPr="00A75249">
        <w:rPr>
          <w:b/>
          <w:sz w:val="22"/>
          <w:szCs w:val="22"/>
        </w:rPr>
        <w:t>Attendance</w:t>
      </w:r>
    </w:p>
    <w:p w14:paraId="4775A1CB" w14:textId="7C807F54" w:rsidR="00AE7501" w:rsidRPr="00A75249" w:rsidRDefault="00AE7501" w:rsidP="00A75249">
      <w:pPr>
        <w:pStyle w:val="ListParagraph"/>
        <w:numPr>
          <w:ilvl w:val="0"/>
          <w:numId w:val="4"/>
        </w:numPr>
        <w:rPr>
          <w:sz w:val="22"/>
          <w:szCs w:val="22"/>
        </w:rPr>
      </w:pPr>
      <w:r w:rsidRPr="00A75249">
        <w:rPr>
          <w:sz w:val="22"/>
          <w:szCs w:val="22"/>
        </w:rPr>
        <w:t xml:space="preserve">An attendance list is attached to this note. Please see </w:t>
      </w:r>
      <w:r w:rsidRPr="00A75249">
        <w:rPr>
          <w:b/>
          <w:sz w:val="22"/>
          <w:szCs w:val="22"/>
          <w:u w:val="single"/>
        </w:rPr>
        <w:t>Annex A.</w:t>
      </w:r>
    </w:p>
    <w:p w14:paraId="68A1C4E1" w14:textId="77777777" w:rsidR="00A75249" w:rsidRPr="00A75249" w:rsidRDefault="00A75249" w:rsidP="00A75249">
      <w:pPr>
        <w:pStyle w:val="ListParagraph"/>
        <w:ind w:left="1080"/>
        <w:rPr>
          <w:sz w:val="22"/>
          <w:szCs w:val="22"/>
        </w:rPr>
      </w:pPr>
    </w:p>
    <w:p w14:paraId="06CCBDF2" w14:textId="4F9AEF23" w:rsidR="00AE7501" w:rsidRPr="00A75249" w:rsidRDefault="00AE7501" w:rsidP="00A75249">
      <w:pPr>
        <w:pStyle w:val="ListParagraph"/>
        <w:numPr>
          <w:ilvl w:val="0"/>
          <w:numId w:val="1"/>
        </w:numPr>
        <w:rPr>
          <w:b/>
          <w:sz w:val="22"/>
          <w:szCs w:val="22"/>
        </w:rPr>
      </w:pPr>
      <w:r w:rsidRPr="00A75249">
        <w:rPr>
          <w:b/>
          <w:sz w:val="22"/>
          <w:szCs w:val="22"/>
        </w:rPr>
        <w:t>Welcome and opening</w:t>
      </w:r>
    </w:p>
    <w:p w14:paraId="3F1E6D6D" w14:textId="4509771C" w:rsidR="00AE7501" w:rsidRDefault="00AE7501" w:rsidP="00AE7501">
      <w:pPr>
        <w:pStyle w:val="ListParagraph"/>
        <w:numPr>
          <w:ilvl w:val="0"/>
          <w:numId w:val="5"/>
        </w:numPr>
        <w:rPr>
          <w:sz w:val="22"/>
          <w:szCs w:val="22"/>
        </w:rPr>
      </w:pPr>
      <w:r w:rsidRPr="00A75249">
        <w:rPr>
          <w:sz w:val="22"/>
          <w:szCs w:val="22"/>
        </w:rPr>
        <w:t>The meeting was chaired by Leon Clement, who opened the meeting with introductions and welcomed attendees.</w:t>
      </w:r>
    </w:p>
    <w:p w14:paraId="172B4BF5" w14:textId="77777777" w:rsidR="00A75249" w:rsidRPr="00A75249" w:rsidRDefault="00A75249" w:rsidP="00A75249">
      <w:pPr>
        <w:pStyle w:val="ListParagraph"/>
        <w:ind w:left="1080"/>
        <w:rPr>
          <w:sz w:val="22"/>
          <w:szCs w:val="22"/>
        </w:rPr>
      </w:pPr>
    </w:p>
    <w:p w14:paraId="72A0D203" w14:textId="12B51A7D" w:rsidR="00A75249" w:rsidRPr="003132BB" w:rsidRDefault="00AE7501" w:rsidP="003132BB">
      <w:pPr>
        <w:pStyle w:val="ListParagraph"/>
        <w:numPr>
          <w:ilvl w:val="0"/>
          <w:numId w:val="1"/>
        </w:numPr>
        <w:rPr>
          <w:b/>
          <w:sz w:val="22"/>
          <w:szCs w:val="22"/>
        </w:rPr>
      </w:pPr>
      <w:r w:rsidRPr="00A75249">
        <w:rPr>
          <w:b/>
          <w:sz w:val="22"/>
          <w:szCs w:val="22"/>
        </w:rPr>
        <w:t xml:space="preserve">Brief summary of the BRR consultation responses: (SG summary </w:t>
      </w:r>
      <w:r w:rsidRPr="00A75249">
        <w:rPr>
          <w:b/>
          <w:bCs/>
          <w:sz w:val="22"/>
          <w:szCs w:val="22"/>
        </w:rPr>
        <w:t>attached</w:t>
      </w:r>
      <w:r w:rsidRPr="00A75249">
        <w:rPr>
          <w:b/>
          <w:sz w:val="22"/>
          <w:szCs w:val="22"/>
        </w:rPr>
        <w:t xml:space="preserve"> (22-5) 1-01) </w:t>
      </w:r>
    </w:p>
    <w:p w14:paraId="39EC9E9A" w14:textId="6E14C6AE" w:rsidR="00A75249" w:rsidRDefault="00313860" w:rsidP="00A75249">
      <w:pPr>
        <w:pStyle w:val="ListParagraph"/>
        <w:numPr>
          <w:ilvl w:val="0"/>
          <w:numId w:val="6"/>
        </w:numPr>
        <w:rPr>
          <w:sz w:val="22"/>
          <w:szCs w:val="22"/>
        </w:rPr>
      </w:pPr>
      <w:r>
        <w:rPr>
          <w:sz w:val="22"/>
          <w:szCs w:val="22"/>
        </w:rPr>
        <w:t>Tahmina Adan</w:t>
      </w:r>
      <w:r w:rsidR="00AE7501" w:rsidRPr="008509F8">
        <w:rPr>
          <w:sz w:val="22"/>
          <w:szCs w:val="22"/>
        </w:rPr>
        <w:t xml:space="preserve"> </w:t>
      </w:r>
      <w:r w:rsidR="00A75249">
        <w:rPr>
          <w:sz w:val="22"/>
          <w:szCs w:val="22"/>
        </w:rPr>
        <w:t>presented the paper.</w:t>
      </w:r>
    </w:p>
    <w:p w14:paraId="2E16E9BD" w14:textId="75182F60" w:rsidR="003A7C68" w:rsidRDefault="003A23CA" w:rsidP="00A75249">
      <w:pPr>
        <w:pStyle w:val="ListParagraph"/>
        <w:numPr>
          <w:ilvl w:val="0"/>
          <w:numId w:val="6"/>
        </w:numPr>
        <w:rPr>
          <w:sz w:val="22"/>
          <w:szCs w:val="22"/>
        </w:rPr>
      </w:pPr>
      <w:r>
        <w:rPr>
          <w:sz w:val="22"/>
          <w:szCs w:val="22"/>
        </w:rPr>
        <w:t xml:space="preserve">A request was </w:t>
      </w:r>
      <w:proofErr w:type="gramStart"/>
      <w:r>
        <w:rPr>
          <w:sz w:val="22"/>
          <w:szCs w:val="22"/>
        </w:rPr>
        <w:t>made  that</w:t>
      </w:r>
      <w:proofErr w:type="gramEnd"/>
      <w:r>
        <w:rPr>
          <w:sz w:val="22"/>
          <w:szCs w:val="22"/>
        </w:rPr>
        <w:t xml:space="preserve"> in any Government response to the consultation,  further detail be provided as to differences in answers provided by different types of local authority (tier etc). </w:t>
      </w:r>
    </w:p>
    <w:p w14:paraId="5F145AC4" w14:textId="06206FC1" w:rsidR="00AE7501" w:rsidRPr="00152DD4" w:rsidRDefault="00AE7501" w:rsidP="00705123">
      <w:pPr>
        <w:pStyle w:val="ListParagraph"/>
        <w:numPr>
          <w:ilvl w:val="0"/>
          <w:numId w:val="6"/>
        </w:numPr>
        <w:rPr>
          <w:sz w:val="22"/>
          <w:szCs w:val="22"/>
        </w:rPr>
      </w:pPr>
      <w:r w:rsidRPr="00152DD4">
        <w:rPr>
          <w:sz w:val="22"/>
          <w:szCs w:val="22"/>
        </w:rPr>
        <w:t>The following questions were received</w:t>
      </w:r>
      <w:r w:rsidR="003454FA">
        <w:rPr>
          <w:sz w:val="22"/>
          <w:szCs w:val="22"/>
        </w:rPr>
        <w:t>:</w:t>
      </w:r>
    </w:p>
    <w:p w14:paraId="2AEAF921" w14:textId="7E8BFE99" w:rsidR="00AE7501" w:rsidRPr="008509F8" w:rsidRDefault="00AE7501" w:rsidP="00917BF5">
      <w:pPr>
        <w:pStyle w:val="ListParagraph"/>
        <w:numPr>
          <w:ilvl w:val="0"/>
          <w:numId w:val="7"/>
        </w:numPr>
        <w:rPr>
          <w:sz w:val="22"/>
          <w:szCs w:val="22"/>
        </w:rPr>
      </w:pPr>
      <w:r w:rsidRPr="008509F8">
        <w:rPr>
          <w:b/>
          <w:sz w:val="22"/>
          <w:szCs w:val="22"/>
        </w:rPr>
        <w:t xml:space="preserve">Does MHCLG have an update on </w:t>
      </w:r>
      <w:r w:rsidR="003A23CA">
        <w:rPr>
          <w:b/>
          <w:sz w:val="22"/>
          <w:szCs w:val="22"/>
        </w:rPr>
        <w:t>potential changes to the</w:t>
      </w:r>
      <w:r w:rsidRPr="008509F8">
        <w:rPr>
          <w:b/>
          <w:sz w:val="22"/>
          <w:szCs w:val="22"/>
        </w:rPr>
        <w:t xml:space="preserve"> central list, </w:t>
      </w:r>
      <w:r w:rsidR="003A23CA">
        <w:rPr>
          <w:b/>
          <w:sz w:val="22"/>
          <w:szCs w:val="22"/>
        </w:rPr>
        <w:t xml:space="preserve">as </w:t>
      </w:r>
      <w:r w:rsidRPr="008509F8">
        <w:rPr>
          <w:b/>
          <w:sz w:val="22"/>
          <w:szCs w:val="22"/>
        </w:rPr>
        <w:t>this was something that was discussed at the last SG meeting?</w:t>
      </w:r>
      <w:r w:rsidRPr="008509F8">
        <w:rPr>
          <w:sz w:val="22"/>
          <w:szCs w:val="22"/>
        </w:rPr>
        <w:t xml:space="preserve"> </w:t>
      </w:r>
      <w:r w:rsidR="00600E08">
        <w:rPr>
          <w:sz w:val="22"/>
          <w:szCs w:val="22"/>
        </w:rPr>
        <w:t>We are considering the responses from the consultation</w:t>
      </w:r>
      <w:r w:rsidRPr="008509F8">
        <w:rPr>
          <w:sz w:val="22"/>
          <w:szCs w:val="22"/>
        </w:rPr>
        <w:t>.</w:t>
      </w:r>
    </w:p>
    <w:p w14:paraId="471CC95C" w14:textId="0567A2D6" w:rsidR="00917BF5" w:rsidRPr="00917BF5" w:rsidRDefault="00AE7501" w:rsidP="00917BF5">
      <w:pPr>
        <w:pStyle w:val="ListParagraph"/>
        <w:numPr>
          <w:ilvl w:val="0"/>
          <w:numId w:val="7"/>
        </w:numPr>
        <w:rPr>
          <w:b/>
          <w:sz w:val="22"/>
          <w:szCs w:val="22"/>
        </w:rPr>
      </w:pPr>
      <w:r w:rsidRPr="008509F8">
        <w:rPr>
          <w:b/>
          <w:sz w:val="22"/>
          <w:szCs w:val="22"/>
        </w:rPr>
        <w:t xml:space="preserve">Can MHCLG provide any more detail on </w:t>
      </w:r>
      <w:r w:rsidR="00600E08">
        <w:rPr>
          <w:b/>
          <w:sz w:val="22"/>
          <w:szCs w:val="22"/>
        </w:rPr>
        <w:t xml:space="preserve">how they are considering </w:t>
      </w:r>
      <w:proofErr w:type="gramStart"/>
      <w:r w:rsidR="00600E08">
        <w:rPr>
          <w:b/>
          <w:sz w:val="22"/>
          <w:szCs w:val="22"/>
        </w:rPr>
        <w:t xml:space="preserve">provisions </w:t>
      </w:r>
      <w:r w:rsidRPr="008509F8">
        <w:rPr>
          <w:b/>
          <w:sz w:val="22"/>
          <w:szCs w:val="22"/>
        </w:rPr>
        <w:t xml:space="preserve"> to</w:t>
      </w:r>
      <w:proofErr w:type="gramEnd"/>
      <w:r w:rsidRPr="008509F8">
        <w:rPr>
          <w:b/>
          <w:sz w:val="22"/>
          <w:szCs w:val="22"/>
        </w:rPr>
        <w:t xml:space="preserve"> prevent gaming? </w:t>
      </w:r>
      <w:r w:rsidR="00600E08">
        <w:rPr>
          <w:sz w:val="22"/>
          <w:szCs w:val="22"/>
        </w:rPr>
        <w:t xml:space="preserve"> It is an aim for potential reforms to limit any gaming in the BRR system. We plan to discuss this further with the WG when we discuss transitioning between the current and reformed systems.</w:t>
      </w:r>
    </w:p>
    <w:p w14:paraId="0AE0E9B3" w14:textId="66B2F37E" w:rsidR="00973893" w:rsidRPr="00917BF5" w:rsidRDefault="00AE7501" w:rsidP="00917BF5">
      <w:pPr>
        <w:pStyle w:val="ListParagraph"/>
        <w:numPr>
          <w:ilvl w:val="0"/>
          <w:numId w:val="7"/>
        </w:numPr>
        <w:rPr>
          <w:b/>
          <w:sz w:val="22"/>
          <w:szCs w:val="22"/>
        </w:rPr>
      </w:pPr>
      <w:r w:rsidRPr="00917BF5">
        <w:rPr>
          <w:b/>
          <w:sz w:val="22"/>
          <w:szCs w:val="22"/>
        </w:rPr>
        <w:t xml:space="preserve">Is the Government still </w:t>
      </w:r>
      <w:r w:rsidR="00600E08">
        <w:rPr>
          <w:b/>
          <w:sz w:val="22"/>
          <w:szCs w:val="22"/>
        </w:rPr>
        <w:t>aiming</w:t>
      </w:r>
      <w:r w:rsidRPr="00917BF5">
        <w:rPr>
          <w:b/>
          <w:sz w:val="22"/>
          <w:szCs w:val="22"/>
        </w:rPr>
        <w:t xml:space="preserve"> to implementing reforms in 2020? </w:t>
      </w:r>
      <w:r w:rsidR="009509CB" w:rsidRPr="00917BF5">
        <w:rPr>
          <w:sz w:val="22"/>
          <w:szCs w:val="22"/>
        </w:rPr>
        <w:t>Yes,</w:t>
      </w:r>
      <w:r w:rsidR="00600E08">
        <w:rPr>
          <w:sz w:val="22"/>
          <w:szCs w:val="22"/>
        </w:rPr>
        <w:t xml:space="preserve"> this remains an aim and</w:t>
      </w:r>
      <w:r w:rsidR="009509CB">
        <w:rPr>
          <w:sz w:val="22"/>
          <w:szCs w:val="22"/>
        </w:rPr>
        <w:t xml:space="preserve"> </w:t>
      </w:r>
      <w:r w:rsidR="00021BF5">
        <w:rPr>
          <w:sz w:val="22"/>
          <w:szCs w:val="22"/>
        </w:rPr>
        <w:t>is something we continue</w:t>
      </w:r>
      <w:r w:rsidR="00973893" w:rsidRPr="00917BF5">
        <w:rPr>
          <w:sz w:val="22"/>
          <w:szCs w:val="22"/>
        </w:rPr>
        <w:t xml:space="preserve"> to discuss this with </w:t>
      </w:r>
      <w:r w:rsidR="00785F37" w:rsidRPr="00917BF5">
        <w:rPr>
          <w:sz w:val="22"/>
          <w:szCs w:val="22"/>
        </w:rPr>
        <w:t>M</w:t>
      </w:r>
      <w:r w:rsidR="00973893" w:rsidRPr="00917BF5">
        <w:rPr>
          <w:sz w:val="22"/>
          <w:szCs w:val="22"/>
        </w:rPr>
        <w:t xml:space="preserve">inisters.  </w:t>
      </w:r>
    </w:p>
    <w:p w14:paraId="4F88CF4D" w14:textId="437C3079" w:rsidR="00917BF5" w:rsidRDefault="00AE7501" w:rsidP="00917BF5">
      <w:pPr>
        <w:pStyle w:val="ListParagraph"/>
        <w:numPr>
          <w:ilvl w:val="0"/>
          <w:numId w:val="7"/>
        </w:numPr>
        <w:rPr>
          <w:sz w:val="22"/>
          <w:szCs w:val="22"/>
        </w:rPr>
      </w:pPr>
      <w:r w:rsidRPr="008509F8">
        <w:rPr>
          <w:b/>
          <w:sz w:val="22"/>
          <w:szCs w:val="22"/>
        </w:rPr>
        <w:t>Did you receive the consultation responses you expected?</w:t>
      </w:r>
      <w:r w:rsidRPr="008509F8">
        <w:rPr>
          <w:sz w:val="22"/>
          <w:szCs w:val="22"/>
        </w:rPr>
        <w:t xml:space="preserve"> Yes, most responses were in line with </w:t>
      </w:r>
      <w:r w:rsidR="00600E08">
        <w:rPr>
          <w:sz w:val="22"/>
          <w:szCs w:val="22"/>
        </w:rPr>
        <w:t>views</w:t>
      </w:r>
      <w:r w:rsidRPr="008509F8">
        <w:rPr>
          <w:sz w:val="22"/>
          <w:szCs w:val="22"/>
        </w:rPr>
        <w:t xml:space="preserve"> expressed in WGs and SGs</w:t>
      </w:r>
      <w:r w:rsidR="00600E08">
        <w:rPr>
          <w:sz w:val="22"/>
          <w:szCs w:val="22"/>
        </w:rPr>
        <w:t>. There was greater support from local authorities in two tier areas</w:t>
      </w:r>
      <w:r w:rsidR="009509CB">
        <w:rPr>
          <w:sz w:val="22"/>
          <w:szCs w:val="22"/>
        </w:rPr>
        <w:t xml:space="preserve"> </w:t>
      </w:r>
      <w:r w:rsidRPr="008509F8">
        <w:rPr>
          <w:sz w:val="22"/>
          <w:szCs w:val="22"/>
        </w:rPr>
        <w:t>in setting tier splits locally</w:t>
      </w:r>
      <w:r w:rsidR="00600E08">
        <w:rPr>
          <w:sz w:val="22"/>
          <w:szCs w:val="22"/>
        </w:rPr>
        <w:t xml:space="preserve"> than</w:t>
      </w:r>
      <w:r w:rsidR="00B61B4E">
        <w:rPr>
          <w:sz w:val="22"/>
          <w:szCs w:val="22"/>
        </w:rPr>
        <w:t xml:space="preserve"> was</w:t>
      </w:r>
      <w:r w:rsidR="00600E08">
        <w:rPr>
          <w:sz w:val="22"/>
          <w:szCs w:val="22"/>
        </w:rPr>
        <w:t xml:space="preserve"> expressed at </w:t>
      </w:r>
      <w:r w:rsidR="00B61B4E">
        <w:rPr>
          <w:sz w:val="22"/>
          <w:szCs w:val="22"/>
        </w:rPr>
        <w:t>previous</w:t>
      </w:r>
      <w:r w:rsidR="00600E08">
        <w:rPr>
          <w:sz w:val="22"/>
          <w:szCs w:val="22"/>
        </w:rPr>
        <w:t xml:space="preserve"> SG and WG</w:t>
      </w:r>
      <w:r w:rsidR="00B61B4E">
        <w:rPr>
          <w:sz w:val="22"/>
          <w:szCs w:val="22"/>
        </w:rPr>
        <w:t xml:space="preserve"> meetings</w:t>
      </w:r>
      <w:r w:rsidR="00600E08">
        <w:rPr>
          <w:sz w:val="22"/>
          <w:szCs w:val="22"/>
        </w:rPr>
        <w:t>.</w:t>
      </w:r>
    </w:p>
    <w:p w14:paraId="20BD122C" w14:textId="77777777" w:rsidR="00917BF5" w:rsidRPr="008509F8" w:rsidRDefault="00917BF5" w:rsidP="00917BF5">
      <w:pPr>
        <w:pStyle w:val="ListParagraph"/>
        <w:ind w:left="1080"/>
        <w:rPr>
          <w:sz w:val="22"/>
          <w:szCs w:val="22"/>
        </w:rPr>
      </w:pPr>
    </w:p>
    <w:p w14:paraId="177C8B5C" w14:textId="28A4CE90" w:rsidR="006623B8" w:rsidRDefault="00AE7501" w:rsidP="006623B8">
      <w:pPr>
        <w:pStyle w:val="ListParagraph"/>
        <w:numPr>
          <w:ilvl w:val="0"/>
          <w:numId w:val="1"/>
        </w:numPr>
        <w:rPr>
          <w:b/>
          <w:sz w:val="22"/>
          <w:szCs w:val="22"/>
        </w:rPr>
      </w:pPr>
      <w:r w:rsidRPr="00917BF5">
        <w:rPr>
          <w:b/>
          <w:sz w:val="22"/>
          <w:szCs w:val="22"/>
        </w:rPr>
        <w:t xml:space="preserve">Building on the work of the </w:t>
      </w:r>
      <w:r w:rsidR="006623B8">
        <w:rPr>
          <w:b/>
          <w:sz w:val="22"/>
          <w:szCs w:val="22"/>
        </w:rPr>
        <w:t>S</w:t>
      </w:r>
      <w:r w:rsidRPr="00917BF5">
        <w:rPr>
          <w:b/>
          <w:sz w:val="22"/>
          <w:szCs w:val="22"/>
        </w:rPr>
        <w:t xml:space="preserve">teering </w:t>
      </w:r>
      <w:r w:rsidR="006623B8">
        <w:rPr>
          <w:b/>
          <w:sz w:val="22"/>
          <w:szCs w:val="22"/>
        </w:rPr>
        <w:t>G</w:t>
      </w:r>
      <w:r w:rsidRPr="00917BF5">
        <w:rPr>
          <w:b/>
          <w:sz w:val="22"/>
          <w:szCs w:val="22"/>
        </w:rPr>
        <w:t xml:space="preserve">roup </w:t>
      </w:r>
      <w:r w:rsidR="006623B8">
        <w:rPr>
          <w:b/>
          <w:sz w:val="22"/>
          <w:szCs w:val="22"/>
        </w:rPr>
        <w:t>T</w:t>
      </w:r>
      <w:r w:rsidRPr="00917BF5">
        <w:rPr>
          <w:b/>
          <w:sz w:val="22"/>
          <w:szCs w:val="22"/>
        </w:rPr>
        <w:t>echnical</w:t>
      </w:r>
      <w:r w:rsidR="006623B8">
        <w:rPr>
          <w:b/>
          <w:sz w:val="22"/>
          <w:szCs w:val="22"/>
        </w:rPr>
        <w:t xml:space="preserve"> P</w:t>
      </w:r>
      <w:r w:rsidRPr="00917BF5">
        <w:rPr>
          <w:b/>
          <w:sz w:val="22"/>
          <w:szCs w:val="22"/>
        </w:rPr>
        <w:t>aper from the 9th of April 2019</w:t>
      </w:r>
    </w:p>
    <w:p w14:paraId="3B2F298D" w14:textId="55B0AD48" w:rsidR="0030797A" w:rsidRPr="00E32414" w:rsidRDefault="0030797A" w:rsidP="00E32414">
      <w:pPr>
        <w:pStyle w:val="ListParagraph"/>
        <w:numPr>
          <w:ilvl w:val="0"/>
          <w:numId w:val="8"/>
        </w:numPr>
        <w:rPr>
          <w:b/>
          <w:sz w:val="22"/>
          <w:szCs w:val="22"/>
        </w:rPr>
      </w:pPr>
      <w:r>
        <w:rPr>
          <w:sz w:val="22"/>
          <w:szCs w:val="22"/>
        </w:rPr>
        <w:t>Leon Clement presented the paper</w:t>
      </w:r>
      <w:r w:rsidR="00B61B4E">
        <w:rPr>
          <w:sz w:val="22"/>
          <w:szCs w:val="22"/>
        </w:rPr>
        <w:t xml:space="preserve"> that was presented to the SG</w:t>
      </w:r>
      <w:r>
        <w:rPr>
          <w:sz w:val="22"/>
          <w:szCs w:val="22"/>
        </w:rPr>
        <w:t xml:space="preserve"> and explain</w:t>
      </w:r>
      <w:r w:rsidR="00B61B4E">
        <w:rPr>
          <w:sz w:val="22"/>
          <w:szCs w:val="22"/>
        </w:rPr>
        <w:t>ed</w:t>
      </w:r>
      <w:r>
        <w:rPr>
          <w:sz w:val="22"/>
          <w:szCs w:val="22"/>
        </w:rPr>
        <w:t xml:space="preserve"> that there are two options to calculate growth</w:t>
      </w:r>
      <w:r w:rsidR="00600E08">
        <w:rPr>
          <w:sz w:val="22"/>
          <w:szCs w:val="22"/>
        </w:rPr>
        <w:t xml:space="preserve"> that are being developed</w:t>
      </w:r>
      <w:r w:rsidR="00B61B4E">
        <w:rPr>
          <w:sz w:val="22"/>
          <w:szCs w:val="22"/>
        </w:rPr>
        <w:t xml:space="preserve"> and which we wish to test further with the </w:t>
      </w:r>
      <w:proofErr w:type="gramStart"/>
      <w:r w:rsidR="00B61B4E">
        <w:rPr>
          <w:sz w:val="22"/>
          <w:szCs w:val="22"/>
        </w:rPr>
        <w:t>WG .</w:t>
      </w:r>
      <w:proofErr w:type="gramEnd"/>
    </w:p>
    <w:p w14:paraId="48D547D8" w14:textId="75F48263" w:rsidR="005C7654" w:rsidRDefault="00B61B4E" w:rsidP="005C7654">
      <w:pPr>
        <w:pStyle w:val="ListParagraph"/>
        <w:numPr>
          <w:ilvl w:val="0"/>
          <w:numId w:val="8"/>
        </w:numPr>
        <w:spacing w:after="160" w:line="259" w:lineRule="auto"/>
        <w:rPr>
          <w:sz w:val="22"/>
        </w:rPr>
      </w:pPr>
      <w:r>
        <w:rPr>
          <w:sz w:val="22"/>
        </w:rPr>
        <w:t>Nicola Morton</w:t>
      </w:r>
      <w:r w:rsidR="005C7654" w:rsidRPr="005C7654">
        <w:rPr>
          <w:sz w:val="22"/>
        </w:rPr>
        <w:t xml:space="preserve"> explained that</w:t>
      </w:r>
      <w:r w:rsidR="005C7654">
        <w:rPr>
          <w:sz w:val="22"/>
        </w:rPr>
        <w:t xml:space="preserve"> the</w:t>
      </w:r>
      <w:r w:rsidR="005C7654" w:rsidRPr="005C7654">
        <w:rPr>
          <w:sz w:val="22"/>
        </w:rPr>
        <w:t xml:space="preserve"> SG was content for the WG to explore the more technical elements of the paper.</w:t>
      </w:r>
    </w:p>
    <w:p w14:paraId="33F07D98" w14:textId="401F47B0" w:rsidR="00B61B4E" w:rsidRPr="005C7654" w:rsidRDefault="00B61B4E" w:rsidP="005C7654">
      <w:pPr>
        <w:pStyle w:val="ListParagraph"/>
        <w:numPr>
          <w:ilvl w:val="0"/>
          <w:numId w:val="8"/>
        </w:numPr>
        <w:spacing w:after="160" w:line="259" w:lineRule="auto"/>
        <w:rPr>
          <w:sz w:val="22"/>
        </w:rPr>
      </w:pPr>
      <w:r>
        <w:rPr>
          <w:sz w:val="22"/>
        </w:rPr>
        <w:t>Leon Clement explained that the two papers at the WG meeting will build on the SG paper in more detail.</w:t>
      </w:r>
    </w:p>
    <w:p w14:paraId="09EA04CA" w14:textId="2F897EE1" w:rsidR="00E32414" w:rsidRPr="00E32414" w:rsidRDefault="00E32414" w:rsidP="005C7654">
      <w:pPr>
        <w:pStyle w:val="ListParagraph"/>
        <w:ind w:left="1080"/>
        <w:rPr>
          <w:b/>
          <w:sz w:val="22"/>
          <w:szCs w:val="22"/>
        </w:rPr>
      </w:pPr>
    </w:p>
    <w:p w14:paraId="2EB18BCE" w14:textId="26C4BC06" w:rsidR="003E7996" w:rsidRPr="00347731" w:rsidRDefault="00AE7501" w:rsidP="00347731">
      <w:pPr>
        <w:pStyle w:val="ListParagraph"/>
        <w:numPr>
          <w:ilvl w:val="0"/>
          <w:numId w:val="1"/>
        </w:numPr>
        <w:spacing w:after="240" w:line="240" w:lineRule="auto"/>
        <w:rPr>
          <w:rFonts w:eastAsia="Times New Roman"/>
          <w:b/>
          <w:sz w:val="20"/>
          <w:szCs w:val="22"/>
          <w:u w:val="single"/>
        </w:rPr>
      </w:pPr>
      <w:r w:rsidRPr="003E7996">
        <w:rPr>
          <w:b/>
          <w:sz w:val="22"/>
        </w:rPr>
        <w:t>Options on measuring growth in the alternative model: (Paper: WG (22-5) 1-03)</w:t>
      </w:r>
    </w:p>
    <w:p w14:paraId="25661E06" w14:textId="3421BC5E" w:rsidR="00B354EC" w:rsidRDefault="00347731" w:rsidP="00B354EC">
      <w:pPr>
        <w:pStyle w:val="ListParagraph"/>
        <w:numPr>
          <w:ilvl w:val="0"/>
          <w:numId w:val="10"/>
        </w:numPr>
        <w:spacing w:after="240" w:line="240" w:lineRule="auto"/>
        <w:rPr>
          <w:rFonts w:eastAsia="Times New Roman"/>
          <w:sz w:val="22"/>
          <w:szCs w:val="22"/>
        </w:rPr>
      </w:pPr>
      <w:r w:rsidRPr="00347731">
        <w:rPr>
          <w:rFonts w:eastAsia="Times New Roman"/>
          <w:sz w:val="22"/>
          <w:szCs w:val="22"/>
        </w:rPr>
        <w:t xml:space="preserve">James Caddick presented the paper, which </w:t>
      </w:r>
      <w:r w:rsidR="00B61B4E">
        <w:rPr>
          <w:rFonts w:eastAsia="Times New Roman"/>
          <w:sz w:val="22"/>
          <w:szCs w:val="22"/>
        </w:rPr>
        <w:t>covered a proposal for how the alternative model would deal with appeals</w:t>
      </w:r>
      <w:r w:rsidR="003C6F92">
        <w:rPr>
          <w:rFonts w:eastAsia="Times New Roman"/>
          <w:sz w:val="22"/>
          <w:szCs w:val="22"/>
        </w:rPr>
        <w:t xml:space="preserve">, </w:t>
      </w:r>
      <w:r w:rsidR="00B61B4E">
        <w:rPr>
          <w:rFonts w:eastAsia="Times New Roman"/>
          <w:sz w:val="22"/>
          <w:szCs w:val="22"/>
        </w:rPr>
        <w:t>resets</w:t>
      </w:r>
      <w:r w:rsidR="003C6F92">
        <w:rPr>
          <w:rFonts w:eastAsia="Times New Roman"/>
          <w:sz w:val="22"/>
          <w:szCs w:val="22"/>
        </w:rPr>
        <w:t xml:space="preserve"> and revaluations</w:t>
      </w:r>
      <w:r w:rsidR="00AE7501" w:rsidRPr="00347731">
        <w:rPr>
          <w:rFonts w:eastAsia="Times New Roman"/>
          <w:sz w:val="22"/>
          <w:szCs w:val="22"/>
        </w:rPr>
        <w:t xml:space="preserve">. </w:t>
      </w:r>
    </w:p>
    <w:p w14:paraId="436144EB" w14:textId="0D971514" w:rsidR="003C6F92" w:rsidRDefault="003C6F92" w:rsidP="00E4293A">
      <w:pPr>
        <w:pStyle w:val="ListParagraph"/>
        <w:numPr>
          <w:ilvl w:val="0"/>
          <w:numId w:val="10"/>
        </w:numPr>
        <w:spacing w:after="240" w:line="240" w:lineRule="auto"/>
        <w:rPr>
          <w:rFonts w:eastAsia="Times New Roman"/>
          <w:sz w:val="22"/>
          <w:szCs w:val="22"/>
        </w:rPr>
      </w:pPr>
      <w:r>
        <w:rPr>
          <w:rFonts w:eastAsia="Times New Roman"/>
          <w:sz w:val="22"/>
          <w:szCs w:val="22"/>
        </w:rPr>
        <w:t>The WG expressed that they would like to understand further the implication of the alternative model on collection fund balances and the timing of growth coming through the system</w:t>
      </w:r>
    </w:p>
    <w:p w14:paraId="69FF7347" w14:textId="08265057" w:rsidR="00E4293A"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 xml:space="preserve">MHCLG responded that the above has been scoped as a possible paper for </w:t>
      </w:r>
      <w:r w:rsidR="00DE1846" w:rsidRPr="00E4293A">
        <w:rPr>
          <w:rFonts w:eastAsia="Times New Roman"/>
          <w:sz w:val="22"/>
          <w:szCs w:val="22"/>
        </w:rPr>
        <w:t>a</w:t>
      </w:r>
      <w:r w:rsidR="003C6F92">
        <w:rPr>
          <w:rFonts w:eastAsia="Times New Roman"/>
          <w:sz w:val="22"/>
          <w:szCs w:val="22"/>
        </w:rPr>
        <w:t xml:space="preserve"> future </w:t>
      </w:r>
      <w:r w:rsidRPr="00E4293A">
        <w:rPr>
          <w:rFonts w:eastAsia="Times New Roman"/>
          <w:sz w:val="22"/>
          <w:szCs w:val="22"/>
        </w:rPr>
        <w:t>working group</w:t>
      </w:r>
      <w:r w:rsidR="00F859DB" w:rsidRPr="00E4293A">
        <w:rPr>
          <w:rFonts w:eastAsia="Times New Roman"/>
          <w:sz w:val="22"/>
          <w:szCs w:val="22"/>
        </w:rPr>
        <w:t xml:space="preserve"> meeting</w:t>
      </w:r>
      <w:r w:rsidRPr="00E4293A">
        <w:rPr>
          <w:rFonts w:eastAsia="Times New Roman"/>
          <w:sz w:val="22"/>
          <w:szCs w:val="22"/>
        </w:rPr>
        <w:t xml:space="preserve">. </w:t>
      </w:r>
      <w:r w:rsidRPr="00E4293A">
        <w:rPr>
          <w:rFonts w:eastAsia="Times New Roman"/>
          <w:i/>
          <w:sz w:val="22"/>
          <w:szCs w:val="22"/>
        </w:rPr>
        <w:t>See</w:t>
      </w:r>
      <w:r w:rsidRPr="00E4293A">
        <w:rPr>
          <w:rFonts w:eastAsia="Times New Roman"/>
          <w:sz w:val="22"/>
          <w:szCs w:val="22"/>
        </w:rPr>
        <w:t xml:space="preserve"> </w:t>
      </w:r>
      <w:r w:rsidRPr="00E4293A">
        <w:rPr>
          <w:rFonts w:eastAsia="Times New Roman"/>
          <w:b/>
          <w:sz w:val="22"/>
          <w:szCs w:val="22"/>
        </w:rPr>
        <w:t>action 1</w:t>
      </w:r>
      <w:r w:rsidRPr="00E4293A">
        <w:rPr>
          <w:rFonts w:eastAsia="Times New Roman"/>
          <w:sz w:val="22"/>
          <w:szCs w:val="22"/>
        </w:rPr>
        <w:t>.</w:t>
      </w:r>
    </w:p>
    <w:p w14:paraId="699442C6" w14:textId="2E8F6ECB" w:rsidR="00E4293A" w:rsidRPr="00E4293A"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There was then some confusion over timings on one of the papers’ diagrams in relation to reconciling the lag from basing growth measurement on NNDR data (</w:t>
      </w:r>
      <w:r w:rsidR="002D3571" w:rsidRPr="00E4293A">
        <w:rPr>
          <w:rFonts w:eastAsia="Times New Roman"/>
          <w:sz w:val="22"/>
          <w:szCs w:val="22"/>
        </w:rPr>
        <w:t>e.g.</w:t>
      </w:r>
      <w:r w:rsidRPr="00E4293A">
        <w:rPr>
          <w:rFonts w:eastAsia="Times New Roman"/>
          <w:sz w:val="22"/>
          <w:szCs w:val="22"/>
        </w:rPr>
        <w:t xml:space="preserve"> having to reconcile year 1 in year 3). This was explained, but MHCLG were asked to make this clear on the diagram in question. </w:t>
      </w:r>
      <w:r w:rsidRPr="00E4293A">
        <w:rPr>
          <w:rFonts w:eastAsia="Times New Roman"/>
          <w:i/>
          <w:sz w:val="22"/>
          <w:szCs w:val="22"/>
        </w:rPr>
        <w:t>See</w:t>
      </w:r>
      <w:r w:rsidRPr="00E4293A">
        <w:rPr>
          <w:rFonts w:eastAsia="Times New Roman"/>
          <w:b/>
          <w:sz w:val="22"/>
          <w:szCs w:val="22"/>
        </w:rPr>
        <w:t xml:space="preserve"> action 2.</w:t>
      </w:r>
    </w:p>
    <w:p w14:paraId="2D9AD90F" w14:textId="77777777" w:rsidR="00E4293A"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There was consensus that the alternative model protects block 1 funding effectively, although money from growth (block 2) remains unpredictable due to appeals.</w:t>
      </w:r>
    </w:p>
    <w:p w14:paraId="570D7CB1" w14:textId="1FB365A4" w:rsidR="00E4293A"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The</w:t>
      </w:r>
      <w:r w:rsidR="00482EB7">
        <w:rPr>
          <w:rFonts w:eastAsia="Times New Roman"/>
          <w:sz w:val="22"/>
          <w:szCs w:val="22"/>
        </w:rPr>
        <w:t xml:space="preserve"> WG expressed that </w:t>
      </w:r>
      <w:r w:rsidR="009509CB">
        <w:rPr>
          <w:rFonts w:eastAsia="Times New Roman"/>
          <w:sz w:val="22"/>
          <w:szCs w:val="22"/>
        </w:rPr>
        <w:t>a</w:t>
      </w:r>
      <w:r w:rsidR="00482EB7">
        <w:rPr>
          <w:rFonts w:eastAsia="Times New Roman"/>
          <w:sz w:val="22"/>
          <w:szCs w:val="22"/>
        </w:rPr>
        <w:t xml:space="preserve"> potential issue to explore further was whether LAs could</w:t>
      </w:r>
      <w:r w:rsidRPr="00E4293A">
        <w:rPr>
          <w:rFonts w:eastAsia="Times New Roman"/>
          <w:sz w:val="22"/>
          <w:szCs w:val="22"/>
        </w:rPr>
        <w:t xml:space="preserve"> over-estima</w:t>
      </w:r>
      <w:r w:rsidR="00482EB7">
        <w:rPr>
          <w:rFonts w:eastAsia="Times New Roman"/>
          <w:sz w:val="22"/>
          <w:szCs w:val="22"/>
        </w:rPr>
        <w:t>te</w:t>
      </w:r>
      <w:r w:rsidRPr="00E4293A">
        <w:rPr>
          <w:rFonts w:eastAsia="Times New Roman"/>
          <w:sz w:val="22"/>
          <w:szCs w:val="22"/>
        </w:rPr>
        <w:t xml:space="preserve"> growth in the first year, and whether this would </w:t>
      </w:r>
      <w:r w:rsidR="00482EB7">
        <w:rPr>
          <w:rFonts w:eastAsia="Times New Roman"/>
          <w:sz w:val="22"/>
          <w:szCs w:val="22"/>
        </w:rPr>
        <w:t>be a way of</w:t>
      </w:r>
      <w:r w:rsidRPr="00E4293A">
        <w:rPr>
          <w:rFonts w:eastAsia="Times New Roman"/>
          <w:sz w:val="22"/>
          <w:szCs w:val="22"/>
        </w:rPr>
        <w:t xml:space="preserve"> </w:t>
      </w:r>
      <w:r w:rsidR="00482EB7">
        <w:rPr>
          <w:rFonts w:eastAsia="Times New Roman"/>
          <w:sz w:val="22"/>
          <w:szCs w:val="22"/>
        </w:rPr>
        <w:t>‘</w:t>
      </w:r>
      <w:r w:rsidRPr="00E4293A">
        <w:rPr>
          <w:rFonts w:eastAsia="Times New Roman"/>
          <w:sz w:val="22"/>
          <w:szCs w:val="22"/>
        </w:rPr>
        <w:t>gaming</w:t>
      </w:r>
      <w:r w:rsidR="00482EB7">
        <w:rPr>
          <w:rFonts w:eastAsia="Times New Roman"/>
          <w:sz w:val="22"/>
          <w:szCs w:val="22"/>
        </w:rPr>
        <w:t>’ the system</w:t>
      </w:r>
      <w:r w:rsidRPr="00E4293A">
        <w:rPr>
          <w:rFonts w:eastAsia="Times New Roman"/>
          <w:sz w:val="22"/>
          <w:szCs w:val="22"/>
        </w:rPr>
        <w:t xml:space="preserve">. It was agreed that the system in place needs to encourage ‘prudent’ forecasting. </w:t>
      </w:r>
    </w:p>
    <w:p w14:paraId="355E3148" w14:textId="62FB84DC" w:rsidR="00E4293A"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 xml:space="preserve">The </w:t>
      </w:r>
      <w:r w:rsidR="00482EB7">
        <w:rPr>
          <w:rFonts w:eastAsia="Times New Roman"/>
          <w:sz w:val="22"/>
          <w:szCs w:val="22"/>
        </w:rPr>
        <w:t>consensus from the WF</w:t>
      </w:r>
      <w:r w:rsidRPr="00E4293A">
        <w:rPr>
          <w:rFonts w:eastAsia="Times New Roman"/>
          <w:sz w:val="22"/>
          <w:szCs w:val="22"/>
        </w:rPr>
        <w:t xml:space="preserve"> was that there’s a </w:t>
      </w:r>
      <w:r w:rsidR="001A17B8" w:rsidRPr="00E4293A">
        <w:rPr>
          <w:rFonts w:eastAsia="Times New Roman"/>
          <w:sz w:val="22"/>
          <w:szCs w:val="22"/>
        </w:rPr>
        <w:t>trade-off</w:t>
      </w:r>
      <w:r w:rsidRPr="00E4293A">
        <w:rPr>
          <w:rFonts w:eastAsia="Times New Roman"/>
          <w:sz w:val="22"/>
          <w:szCs w:val="22"/>
        </w:rPr>
        <w:t xml:space="preserve"> between </w:t>
      </w:r>
      <w:r w:rsidR="00482EB7">
        <w:rPr>
          <w:rFonts w:eastAsia="Times New Roman"/>
          <w:sz w:val="22"/>
          <w:szCs w:val="22"/>
        </w:rPr>
        <w:t>simplicity</w:t>
      </w:r>
      <w:r w:rsidRPr="00E4293A">
        <w:rPr>
          <w:rFonts w:eastAsia="Times New Roman"/>
          <w:sz w:val="22"/>
          <w:szCs w:val="22"/>
        </w:rPr>
        <w:t xml:space="preserve"> and </w:t>
      </w:r>
      <w:r w:rsidR="00482EB7">
        <w:rPr>
          <w:rFonts w:eastAsia="Times New Roman"/>
          <w:sz w:val="22"/>
          <w:szCs w:val="22"/>
        </w:rPr>
        <w:t xml:space="preserve">absolute accuracy or </w:t>
      </w:r>
      <w:r w:rsidRPr="00E4293A">
        <w:rPr>
          <w:rFonts w:eastAsia="Times New Roman"/>
          <w:sz w:val="22"/>
          <w:szCs w:val="22"/>
        </w:rPr>
        <w:t xml:space="preserve">fairness, and </w:t>
      </w:r>
      <w:r w:rsidR="00482EB7">
        <w:rPr>
          <w:rFonts w:eastAsia="Times New Roman"/>
          <w:sz w:val="22"/>
          <w:szCs w:val="22"/>
        </w:rPr>
        <w:t xml:space="preserve">that focusing on </w:t>
      </w:r>
      <w:r w:rsidRPr="00E4293A">
        <w:rPr>
          <w:rFonts w:eastAsia="Times New Roman"/>
          <w:sz w:val="22"/>
          <w:szCs w:val="22"/>
        </w:rPr>
        <w:lastRenderedPageBreak/>
        <w:t xml:space="preserve">simplicity </w:t>
      </w:r>
      <w:r w:rsidR="00482EB7">
        <w:rPr>
          <w:rFonts w:eastAsia="Times New Roman"/>
          <w:sz w:val="22"/>
          <w:szCs w:val="22"/>
        </w:rPr>
        <w:t xml:space="preserve">may </w:t>
      </w:r>
      <w:proofErr w:type="gramStart"/>
      <w:r w:rsidR="00482EB7">
        <w:rPr>
          <w:rFonts w:eastAsia="Times New Roman"/>
          <w:sz w:val="22"/>
          <w:szCs w:val="22"/>
        </w:rPr>
        <w:t xml:space="preserve">be </w:t>
      </w:r>
      <w:r w:rsidR="003C4D80">
        <w:rPr>
          <w:rFonts w:eastAsia="Times New Roman"/>
          <w:sz w:val="22"/>
          <w:szCs w:val="22"/>
        </w:rPr>
        <w:t xml:space="preserve"> to</w:t>
      </w:r>
      <w:proofErr w:type="gramEnd"/>
      <w:r w:rsidR="003C4D80">
        <w:rPr>
          <w:rFonts w:eastAsia="Times New Roman"/>
          <w:sz w:val="22"/>
          <w:szCs w:val="22"/>
        </w:rPr>
        <w:t xml:space="preserve"> get sector support for the alternative model</w:t>
      </w:r>
      <w:r w:rsidRPr="00E4293A">
        <w:rPr>
          <w:rFonts w:eastAsia="Times New Roman"/>
          <w:sz w:val="22"/>
          <w:szCs w:val="22"/>
        </w:rPr>
        <w:t xml:space="preserve">.  </w:t>
      </w:r>
    </w:p>
    <w:p w14:paraId="7D9230A5" w14:textId="77777777" w:rsidR="00E4293A"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Comprehension is also key in terms of securing sector support. It was suggested that a good way to increase this would be the addition of some simple calculations to compare funding under the current and alternative model. The response from MHCLG was that they are cautious of comparing like to like given the benefits of the alternative model that could not be shown in these simple calculations, increased certainty being the most notable.</w:t>
      </w:r>
    </w:p>
    <w:p w14:paraId="3F6914B4" w14:textId="5233BDA3" w:rsidR="00AE7501" w:rsidRDefault="00AE7501" w:rsidP="00E4293A">
      <w:pPr>
        <w:pStyle w:val="ListParagraph"/>
        <w:numPr>
          <w:ilvl w:val="0"/>
          <w:numId w:val="10"/>
        </w:numPr>
        <w:spacing w:after="240" w:line="240" w:lineRule="auto"/>
        <w:rPr>
          <w:rFonts w:eastAsia="Times New Roman"/>
          <w:sz w:val="22"/>
          <w:szCs w:val="22"/>
        </w:rPr>
      </w:pPr>
      <w:r w:rsidRPr="00E4293A">
        <w:rPr>
          <w:rFonts w:eastAsia="Times New Roman"/>
          <w:sz w:val="22"/>
          <w:szCs w:val="22"/>
        </w:rPr>
        <w:t xml:space="preserve">The conclusion was that MHCLG would take away this feedback and work on their presentation of the alternative model. </w:t>
      </w:r>
      <w:r w:rsidRPr="00E4293A">
        <w:rPr>
          <w:rFonts w:eastAsia="Times New Roman"/>
          <w:i/>
          <w:sz w:val="22"/>
          <w:szCs w:val="22"/>
        </w:rPr>
        <w:t>See</w:t>
      </w:r>
      <w:r w:rsidRPr="00E4293A">
        <w:rPr>
          <w:rFonts w:eastAsia="Times New Roman"/>
          <w:b/>
          <w:sz w:val="22"/>
          <w:szCs w:val="22"/>
        </w:rPr>
        <w:t xml:space="preserve"> action </w:t>
      </w:r>
      <w:r w:rsidR="000A255A" w:rsidRPr="00E4293A">
        <w:rPr>
          <w:rFonts w:eastAsia="Times New Roman"/>
          <w:b/>
          <w:sz w:val="22"/>
          <w:szCs w:val="22"/>
        </w:rPr>
        <w:t>3</w:t>
      </w:r>
      <w:r w:rsidRPr="00E4293A">
        <w:rPr>
          <w:rFonts w:eastAsia="Times New Roman"/>
          <w:sz w:val="22"/>
          <w:szCs w:val="22"/>
        </w:rPr>
        <w:t>.</w:t>
      </w:r>
    </w:p>
    <w:p w14:paraId="25FF032A" w14:textId="77777777" w:rsidR="004E54AA" w:rsidRPr="00E4293A" w:rsidRDefault="004E54AA" w:rsidP="004E54AA">
      <w:pPr>
        <w:pStyle w:val="ListParagraph"/>
        <w:spacing w:after="240" w:line="240" w:lineRule="auto"/>
        <w:ind w:left="1080"/>
        <w:rPr>
          <w:rFonts w:eastAsia="Times New Roman"/>
          <w:sz w:val="22"/>
          <w:szCs w:val="22"/>
        </w:rPr>
      </w:pPr>
    </w:p>
    <w:p w14:paraId="3D4C07A5" w14:textId="010B2F09" w:rsidR="00AE7501" w:rsidRPr="004E54AA" w:rsidRDefault="00AE7501" w:rsidP="004E54AA">
      <w:pPr>
        <w:pStyle w:val="ListParagraph"/>
        <w:numPr>
          <w:ilvl w:val="0"/>
          <w:numId w:val="1"/>
        </w:numPr>
        <w:spacing w:after="240" w:line="240" w:lineRule="auto"/>
        <w:rPr>
          <w:rFonts w:eastAsia="Times New Roman"/>
          <w:b/>
          <w:sz w:val="20"/>
          <w:szCs w:val="22"/>
          <w:u w:val="single"/>
        </w:rPr>
      </w:pPr>
      <w:r w:rsidRPr="004E54AA">
        <w:rPr>
          <w:b/>
          <w:sz w:val="22"/>
        </w:rPr>
        <w:t>Options on measuring growth in the alternative model: (Paper: WG (22-5) 1-03)</w:t>
      </w:r>
    </w:p>
    <w:p w14:paraId="28CE1F02" w14:textId="5E1746E3" w:rsidR="00AE7501" w:rsidRPr="00845181" w:rsidRDefault="007D3315" w:rsidP="00C52CE8">
      <w:pPr>
        <w:pStyle w:val="ListParagraph"/>
        <w:numPr>
          <w:ilvl w:val="0"/>
          <w:numId w:val="12"/>
        </w:numPr>
        <w:spacing w:after="240" w:line="240" w:lineRule="auto"/>
        <w:rPr>
          <w:rFonts w:eastAsia="Times New Roman"/>
          <w:sz w:val="22"/>
          <w:szCs w:val="22"/>
        </w:rPr>
      </w:pPr>
      <w:r>
        <w:rPr>
          <w:rFonts w:eastAsia="Times New Roman"/>
          <w:sz w:val="22"/>
          <w:szCs w:val="22"/>
        </w:rPr>
        <w:t>Leon Clement</w:t>
      </w:r>
      <w:r w:rsidR="00C52CE8">
        <w:rPr>
          <w:rFonts w:eastAsia="Times New Roman"/>
          <w:sz w:val="22"/>
          <w:szCs w:val="22"/>
        </w:rPr>
        <w:t xml:space="preserve"> presented the paper and provided</w:t>
      </w:r>
      <w:r w:rsidR="00AE7501" w:rsidRPr="00845181">
        <w:rPr>
          <w:rFonts w:eastAsia="Times New Roman"/>
          <w:sz w:val="22"/>
          <w:szCs w:val="22"/>
        </w:rPr>
        <w:t xml:space="preserve"> an overview of the two main options for measuring growth under the AM. These are:</w:t>
      </w:r>
    </w:p>
    <w:p w14:paraId="5E5173B6" w14:textId="77777777" w:rsidR="00C52CE8" w:rsidRDefault="00AE7501" w:rsidP="00C52CE8">
      <w:pPr>
        <w:pStyle w:val="ListParagraph"/>
        <w:numPr>
          <w:ilvl w:val="0"/>
          <w:numId w:val="13"/>
        </w:numPr>
        <w:spacing w:after="240" w:line="240" w:lineRule="auto"/>
        <w:rPr>
          <w:rFonts w:eastAsia="Times New Roman"/>
          <w:sz w:val="22"/>
          <w:szCs w:val="22"/>
        </w:rPr>
      </w:pPr>
      <w:r w:rsidRPr="00845181">
        <w:rPr>
          <w:rFonts w:eastAsia="Times New Roman"/>
          <w:sz w:val="22"/>
          <w:szCs w:val="22"/>
        </w:rPr>
        <w:t>Use of NNDR data</w:t>
      </w:r>
    </w:p>
    <w:p w14:paraId="366F9D94" w14:textId="23646A5F" w:rsidR="00AE7501" w:rsidRPr="00C52CE8" w:rsidRDefault="00AE7501" w:rsidP="00C52CE8">
      <w:pPr>
        <w:pStyle w:val="ListParagraph"/>
        <w:numPr>
          <w:ilvl w:val="0"/>
          <w:numId w:val="13"/>
        </w:numPr>
        <w:spacing w:after="240" w:line="240" w:lineRule="auto"/>
        <w:rPr>
          <w:rFonts w:eastAsia="Times New Roman"/>
          <w:sz w:val="22"/>
          <w:szCs w:val="22"/>
        </w:rPr>
      </w:pPr>
      <w:r w:rsidRPr="00C52CE8">
        <w:rPr>
          <w:rFonts w:eastAsia="Times New Roman"/>
          <w:sz w:val="22"/>
          <w:szCs w:val="22"/>
        </w:rPr>
        <w:t>Use of RV data provided by VOA</w:t>
      </w:r>
      <w:r w:rsidRPr="00C52CE8">
        <w:rPr>
          <w:rFonts w:eastAsia="Times New Roman"/>
          <w:sz w:val="22"/>
          <w:szCs w:val="22"/>
        </w:rPr>
        <w:br/>
      </w:r>
    </w:p>
    <w:p w14:paraId="55C97D23" w14:textId="77777777" w:rsidR="007E7E62" w:rsidRPr="007E7E62" w:rsidRDefault="007E7E62" w:rsidP="007E7E62">
      <w:pPr>
        <w:pStyle w:val="ListParagraph"/>
        <w:spacing w:after="240" w:line="240" w:lineRule="auto"/>
        <w:ind w:left="1440"/>
        <w:rPr>
          <w:rFonts w:eastAsia="Times New Roman"/>
          <w:sz w:val="22"/>
          <w:szCs w:val="22"/>
        </w:rPr>
      </w:pPr>
    </w:p>
    <w:p w14:paraId="656A6A67" w14:textId="77777777" w:rsidR="00CD04C1" w:rsidRDefault="00AE7501" w:rsidP="00CD04C1">
      <w:pPr>
        <w:pStyle w:val="ListParagraph"/>
        <w:numPr>
          <w:ilvl w:val="0"/>
          <w:numId w:val="12"/>
        </w:numPr>
        <w:spacing w:after="240" w:line="240" w:lineRule="auto"/>
        <w:rPr>
          <w:rFonts w:eastAsia="Times New Roman"/>
          <w:sz w:val="22"/>
          <w:szCs w:val="22"/>
        </w:rPr>
      </w:pPr>
      <w:r w:rsidRPr="001C7CB9">
        <w:rPr>
          <w:rFonts w:eastAsia="Times New Roman"/>
          <w:sz w:val="22"/>
          <w:szCs w:val="22"/>
        </w:rPr>
        <w:t>Given that the use of RV data would involve the VOA, there was some discussion and concern expressed at the accessibility of this information:</w:t>
      </w:r>
    </w:p>
    <w:p w14:paraId="426ABE22" w14:textId="77777777" w:rsidR="00CD04C1" w:rsidRDefault="00AE7501" w:rsidP="00CD04C1">
      <w:pPr>
        <w:pStyle w:val="ListParagraph"/>
        <w:numPr>
          <w:ilvl w:val="2"/>
          <w:numId w:val="15"/>
        </w:numPr>
        <w:spacing w:after="240" w:line="240" w:lineRule="auto"/>
        <w:rPr>
          <w:rFonts w:eastAsia="Times New Roman"/>
          <w:sz w:val="22"/>
          <w:szCs w:val="22"/>
        </w:rPr>
      </w:pPr>
      <w:r w:rsidRPr="00CD04C1">
        <w:rPr>
          <w:rFonts w:eastAsia="Times New Roman"/>
          <w:sz w:val="22"/>
          <w:szCs w:val="22"/>
        </w:rPr>
        <w:t>The VOA have previously not been forthcoming in providing access to    information.</w:t>
      </w:r>
    </w:p>
    <w:p w14:paraId="0FC363F9" w14:textId="0B8AADFB" w:rsidR="00CD04C1" w:rsidRDefault="00AE7501" w:rsidP="00CD04C1">
      <w:pPr>
        <w:pStyle w:val="ListParagraph"/>
        <w:numPr>
          <w:ilvl w:val="2"/>
          <w:numId w:val="15"/>
        </w:numPr>
        <w:spacing w:after="240" w:line="240" w:lineRule="auto"/>
        <w:rPr>
          <w:rFonts w:eastAsia="Times New Roman"/>
          <w:sz w:val="22"/>
          <w:szCs w:val="22"/>
        </w:rPr>
      </w:pPr>
      <w:r w:rsidRPr="00CD04C1">
        <w:rPr>
          <w:rFonts w:eastAsia="Times New Roman"/>
          <w:sz w:val="22"/>
          <w:szCs w:val="22"/>
        </w:rPr>
        <w:t xml:space="preserve">Can the different LA data software capture the information </w:t>
      </w:r>
      <w:proofErr w:type="gramStart"/>
      <w:r w:rsidRPr="00CD04C1">
        <w:rPr>
          <w:rFonts w:eastAsia="Times New Roman"/>
          <w:sz w:val="22"/>
          <w:szCs w:val="22"/>
        </w:rPr>
        <w:t>required</w:t>
      </w:r>
      <w:r w:rsidR="009509CB">
        <w:rPr>
          <w:rFonts w:eastAsia="Times New Roman"/>
          <w:sz w:val="22"/>
          <w:szCs w:val="22"/>
        </w:rPr>
        <w:t>.</w:t>
      </w:r>
      <w:proofErr w:type="gramEnd"/>
    </w:p>
    <w:p w14:paraId="2FAC46FC" w14:textId="77777777" w:rsidR="007E7E62" w:rsidRDefault="007E7E62" w:rsidP="007E7E62">
      <w:pPr>
        <w:pStyle w:val="ListParagraph"/>
        <w:spacing w:after="240" w:line="240" w:lineRule="auto"/>
        <w:ind w:left="1457"/>
        <w:rPr>
          <w:rFonts w:eastAsia="Times New Roman"/>
          <w:sz w:val="22"/>
          <w:szCs w:val="22"/>
        </w:rPr>
      </w:pPr>
    </w:p>
    <w:p w14:paraId="095658BB" w14:textId="77777777" w:rsidR="009E7CD2" w:rsidRDefault="00AE7501" w:rsidP="009E7CD2">
      <w:pPr>
        <w:pStyle w:val="ListParagraph"/>
        <w:numPr>
          <w:ilvl w:val="0"/>
          <w:numId w:val="12"/>
        </w:numPr>
        <w:spacing w:after="240" w:line="240" w:lineRule="auto"/>
        <w:rPr>
          <w:rFonts w:eastAsia="Times New Roman"/>
          <w:sz w:val="22"/>
          <w:szCs w:val="22"/>
        </w:rPr>
      </w:pPr>
      <w:r w:rsidRPr="00CD04C1">
        <w:rPr>
          <w:rFonts w:eastAsia="Times New Roman"/>
          <w:sz w:val="22"/>
          <w:szCs w:val="22"/>
        </w:rPr>
        <w:t>In light of the above point, it was suggested that a piece of work is commissioned to investigate:</w:t>
      </w:r>
    </w:p>
    <w:p w14:paraId="14641E2B" w14:textId="1314CC9B" w:rsidR="009E7CD2" w:rsidRPr="009E7CD2" w:rsidRDefault="00AE7501" w:rsidP="009E7CD2">
      <w:pPr>
        <w:pStyle w:val="ListParagraph"/>
        <w:numPr>
          <w:ilvl w:val="0"/>
          <w:numId w:val="16"/>
        </w:numPr>
        <w:spacing w:after="240" w:line="240" w:lineRule="auto"/>
        <w:rPr>
          <w:rFonts w:eastAsia="Times New Roman"/>
          <w:sz w:val="22"/>
          <w:szCs w:val="22"/>
        </w:rPr>
      </w:pPr>
      <w:r w:rsidRPr="009E7CD2">
        <w:rPr>
          <w:rFonts w:eastAsia="Times New Roman"/>
          <w:sz w:val="22"/>
          <w:szCs w:val="22"/>
        </w:rPr>
        <w:t>What software are LA’s using?</w:t>
      </w:r>
    </w:p>
    <w:p w14:paraId="095C6441" w14:textId="6E5AF1DB" w:rsidR="00AE7501" w:rsidRDefault="00AE7501" w:rsidP="007E7E62">
      <w:pPr>
        <w:pStyle w:val="ListParagraph"/>
        <w:numPr>
          <w:ilvl w:val="0"/>
          <w:numId w:val="16"/>
        </w:numPr>
        <w:spacing w:after="240" w:line="240" w:lineRule="auto"/>
        <w:rPr>
          <w:rFonts w:eastAsia="Times New Roman"/>
          <w:sz w:val="22"/>
          <w:szCs w:val="22"/>
        </w:rPr>
      </w:pPr>
      <w:r w:rsidRPr="009E7CD2">
        <w:rPr>
          <w:rFonts w:eastAsia="Times New Roman"/>
          <w:sz w:val="22"/>
          <w:szCs w:val="22"/>
        </w:rPr>
        <w:t xml:space="preserve">Can the main players (Northgate and Capita) capture the information required? </w:t>
      </w:r>
      <w:r w:rsidRPr="009E7CD2">
        <w:rPr>
          <w:rFonts w:eastAsia="Times New Roman"/>
          <w:i/>
          <w:sz w:val="22"/>
          <w:szCs w:val="22"/>
        </w:rPr>
        <w:t xml:space="preserve">See </w:t>
      </w:r>
      <w:r w:rsidRPr="009E7CD2">
        <w:rPr>
          <w:rFonts w:eastAsia="Times New Roman"/>
          <w:b/>
          <w:sz w:val="22"/>
          <w:szCs w:val="22"/>
        </w:rPr>
        <w:t xml:space="preserve">action </w:t>
      </w:r>
      <w:r w:rsidR="000A255A" w:rsidRPr="009E7CD2">
        <w:rPr>
          <w:rFonts w:eastAsia="Times New Roman"/>
          <w:b/>
          <w:sz w:val="22"/>
          <w:szCs w:val="22"/>
        </w:rPr>
        <w:t>4</w:t>
      </w:r>
      <w:r w:rsidRPr="009E7CD2">
        <w:rPr>
          <w:rFonts w:eastAsia="Times New Roman"/>
          <w:sz w:val="22"/>
          <w:szCs w:val="22"/>
        </w:rPr>
        <w:t>.</w:t>
      </w:r>
    </w:p>
    <w:p w14:paraId="31FD4776" w14:textId="77777777" w:rsidR="007E7E62" w:rsidRPr="007E7E62" w:rsidRDefault="007E7E62" w:rsidP="007E7E62">
      <w:pPr>
        <w:pStyle w:val="ListParagraph"/>
        <w:spacing w:after="240" w:line="240" w:lineRule="auto"/>
        <w:ind w:left="1800"/>
        <w:rPr>
          <w:rFonts w:eastAsia="Times New Roman"/>
          <w:sz w:val="22"/>
          <w:szCs w:val="22"/>
        </w:rPr>
      </w:pPr>
    </w:p>
    <w:p w14:paraId="74A35AC5" w14:textId="62411F78" w:rsidR="00AE7501" w:rsidRPr="007E7E62" w:rsidRDefault="00AE7501" w:rsidP="007E7E62">
      <w:pPr>
        <w:pStyle w:val="ListParagraph"/>
        <w:numPr>
          <w:ilvl w:val="0"/>
          <w:numId w:val="12"/>
        </w:numPr>
        <w:spacing w:after="240" w:line="240" w:lineRule="auto"/>
        <w:rPr>
          <w:rFonts w:eastAsia="Times New Roman"/>
          <w:sz w:val="22"/>
          <w:szCs w:val="22"/>
        </w:rPr>
      </w:pPr>
      <w:r w:rsidRPr="009E7CD2">
        <w:rPr>
          <w:rFonts w:eastAsia="Times New Roman"/>
          <w:sz w:val="22"/>
          <w:szCs w:val="22"/>
        </w:rPr>
        <w:t xml:space="preserve">It was </w:t>
      </w:r>
      <w:r w:rsidRPr="007E7E62">
        <w:rPr>
          <w:rFonts w:eastAsia="Times New Roman"/>
          <w:sz w:val="22"/>
          <w:szCs w:val="22"/>
        </w:rPr>
        <w:t xml:space="preserve">mentioned that if the government are pushing for 2020 implementation, and the RV method is chosen, these discussions with software companies need to happen </w:t>
      </w:r>
      <w:r w:rsidR="00B6397B">
        <w:rPr>
          <w:rFonts w:eastAsia="Times New Roman"/>
          <w:sz w:val="22"/>
          <w:szCs w:val="22"/>
        </w:rPr>
        <w:t xml:space="preserve">very </w:t>
      </w:r>
      <w:proofErr w:type="gramStart"/>
      <w:r w:rsidR="00B6397B">
        <w:rPr>
          <w:rFonts w:eastAsia="Times New Roman"/>
          <w:sz w:val="22"/>
          <w:szCs w:val="22"/>
        </w:rPr>
        <w:t>soon.</w:t>
      </w:r>
      <w:r w:rsidRPr="007E7E62">
        <w:rPr>
          <w:rFonts w:eastAsia="Times New Roman"/>
          <w:sz w:val="22"/>
          <w:szCs w:val="22"/>
        </w:rPr>
        <w:t>.</w:t>
      </w:r>
      <w:proofErr w:type="gramEnd"/>
      <w:r w:rsidRPr="007E7E62">
        <w:rPr>
          <w:rFonts w:eastAsia="Times New Roman"/>
          <w:sz w:val="22"/>
          <w:szCs w:val="22"/>
        </w:rPr>
        <w:t xml:space="preserve">  </w:t>
      </w:r>
    </w:p>
    <w:p w14:paraId="39DE3EBD" w14:textId="38E0938A" w:rsidR="00AE7501" w:rsidRPr="007E7E62" w:rsidRDefault="00AE7501" w:rsidP="007E7E62">
      <w:pPr>
        <w:pStyle w:val="ListParagraph"/>
        <w:numPr>
          <w:ilvl w:val="0"/>
          <w:numId w:val="12"/>
        </w:numPr>
        <w:spacing w:after="240" w:line="240" w:lineRule="auto"/>
        <w:rPr>
          <w:rFonts w:eastAsia="Times New Roman"/>
          <w:sz w:val="22"/>
          <w:szCs w:val="22"/>
        </w:rPr>
      </w:pPr>
      <w:r w:rsidRPr="007E7E62">
        <w:rPr>
          <w:rFonts w:eastAsia="Times New Roman"/>
          <w:sz w:val="22"/>
          <w:szCs w:val="22"/>
        </w:rPr>
        <w:t>The discussion then moved on to adjustment factors, and the fact that these would need to be applied if the RV method was chosen</w:t>
      </w:r>
      <w:r w:rsidR="00B6397B">
        <w:rPr>
          <w:rFonts w:eastAsia="Times New Roman"/>
          <w:sz w:val="22"/>
          <w:szCs w:val="22"/>
        </w:rPr>
        <w:t xml:space="preserve"> (adjustment factors </w:t>
      </w:r>
      <w:proofErr w:type="spellStart"/>
      <w:r w:rsidR="00B6397B">
        <w:rPr>
          <w:rFonts w:eastAsia="Times New Roman"/>
          <w:sz w:val="22"/>
          <w:szCs w:val="22"/>
        </w:rPr>
        <w:t>eare</w:t>
      </w:r>
      <w:proofErr w:type="spellEnd"/>
      <w:r w:rsidR="00B6397B">
        <w:rPr>
          <w:rFonts w:eastAsia="Times New Roman"/>
          <w:sz w:val="22"/>
          <w:szCs w:val="22"/>
        </w:rPr>
        <w:t xml:space="preserve"> explained in more detail in the paper)</w:t>
      </w:r>
      <w:r w:rsidRPr="007E7E62">
        <w:rPr>
          <w:rFonts w:eastAsia="Times New Roman"/>
          <w:sz w:val="22"/>
          <w:szCs w:val="22"/>
        </w:rPr>
        <w:t>. The consensus was that although an adjustment factor would be required, the RV method was still the simpler of the two. Other points raised included the fact that discretionary and mandatory reliefs need to be considered, as does collection</w:t>
      </w:r>
      <w:r w:rsidR="00B6397B">
        <w:rPr>
          <w:rFonts w:eastAsia="Times New Roman"/>
          <w:sz w:val="22"/>
          <w:szCs w:val="22"/>
        </w:rPr>
        <w:t xml:space="preserve"> rates</w:t>
      </w:r>
      <w:r w:rsidRPr="007E7E62">
        <w:rPr>
          <w:rFonts w:eastAsia="Times New Roman"/>
          <w:sz w:val="22"/>
          <w:szCs w:val="22"/>
        </w:rPr>
        <w:t xml:space="preserve">. </w:t>
      </w:r>
    </w:p>
    <w:p w14:paraId="6CA9B006" w14:textId="77777777" w:rsidR="007E7E62" w:rsidRDefault="00AE7501" w:rsidP="007E7E62">
      <w:pPr>
        <w:pStyle w:val="ListParagraph"/>
        <w:numPr>
          <w:ilvl w:val="0"/>
          <w:numId w:val="12"/>
        </w:numPr>
        <w:spacing w:after="240" w:line="240" w:lineRule="auto"/>
        <w:rPr>
          <w:rFonts w:eastAsia="Times New Roman"/>
          <w:sz w:val="22"/>
          <w:szCs w:val="22"/>
        </w:rPr>
      </w:pPr>
      <w:r>
        <w:rPr>
          <w:rFonts w:eastAsia="Times New Roman"/>
          <w:sz w:val="22"/>
          <w:szCs w:val="22"/>
        </w:rPr>
        <w:t>The discussion returned to adjustment factors, from an MHCLG perspective, m</w:t>
      </w:r>
      <w:r w:rsidRPr="005C36BA">
        <w:rPr>
          <w:rFonts w:eastAsia="Times New Roman"/>
          <w:sz w:val="22"/>
          <w:szCs w:val="22"/>
        </w:rPr>
        <w:t xml:space="preserve">odelling </w:t>
      </w:r>
      <w:r>
        <w:rPr>
          <w:rFonts w:eastAsia="Times New Roman"/>
          <w:sz w:val="22"/>
          <w:szCs w:val="22"/>
        </w:rPr>
        <w:t>is</w:t>
      </w:r>
      <w:r w:rsidRPr="005C36BA">
        <w:rPr>
          <w:rFonts w:eastAsia="Times New Roman"/>
          <w:sz w:val="22"/>
          <w:szCs w:val="22"/>
        </w:rPr>
        <w:t xml:space="preserve"> ongoing regarding adjustment factor options based on past LA data, looking at different scaling factors and different years.</w:t>
      </w:r>
    </w:p>
    <w:p w14:paraId="5F5C9196" w14:textId="77777777" w:rsidR="007E7E62" w:rsidRDefault="00AE7501" w:rsidP="007E7E62">
      <w:pPr>
        <w:pStyle w:val="ListParagraph"/>
        <w:numPr>
          <w:ilvl w:val="0"/>
          <w:numId w:val="12"/>
        </w:numPr>
        <w:spacing w:after="240" w:line="240" w:lineRule="auto"/>
        <w:rPr>
          <w:rFonts w:eastAsia="Times New Roman"/>
          <w:sz w:val="22"/>
          <w:szCs w:val="22"/>
        </w:rPr>
      </w:pPr>
      <w:r w:rsidRPr="007E7E62">
        <w:rPr>
          <w:rFonts w:eastAsia="Times New Roman"/>
          <w:sz w:val="22"/>
          <w:szCs w:val="22"/>
        </w:rPr>
        <w:t>There was some conversation over lag in the context of NNDR vs RV, and how this works in the context of transition to a new system. MHCLG’s response was that a consultation would have to take place in order to establish what transitional arrangements would look like.</w:t>
      </w:r>
    </w:p>
    <w:p w14:paraId="792E5D4D" w14:textId="6B7AC65B" w:rsidR="00AE7501" w:rsidRDefault="00AE7501" w:rsidP="007E7E62">
      <w:pPr>
        <w:pStyle w:val="ListParagraph"/>
        <w:numPr>
          <w:ilvl w:val="0"/>
          <w:numId w:val="12"/>
        </w:numPr>
        <w:spacing w:after="240" w:line="240" w:lineRule="auto"/>
        <w:rPr>
          <w:rFonts w:eastAsia="Times New Roman"/>
          <w:sz w:val="22"/>
          <w:szCs w:val="22"/>
        </w:rPr>
      </w:pPr>
      <w:r w:rsidRPr="007E7E62">
        <w:rPr>
          <w:rFonts w:eastAsia="Times New Roman"/>
          <w:sz w:val="22"/>
          <w:szCs w:val="22"/>
        </w:rPr>
        <w:t>The final point of conversation was</w:t>
      </w:r>
      <w:r w:rsidR="00B6397B">
        <w:rPr>
          <w:rFonts w:eastAsia="Times New Roman"/>
          <w:sz w:val="22"/>
          <w:szCs w:val="22"/>
        </w:rPr>
        <w:t xml:space="preserve"> whether there could be other outcomes that the BRR system could ‘reward’ other than growth in business rates. </w:t>
      </w:r>
      <w:r w:rsidRPr="007E7E62">
        <w:rPr>
          <w:rFonts w:eastAsia="Times New Roman"/>
          <w:sz w:val="22"/>
          <w:szCs w:val="22"/>
        </w:rPr>
        <w:t xml:space="preserve"> </w:t>
      </w:r>
      <w:r w:rsidR="00B6397B">
        <w:rPr>
          <w:rFonts w:eastAsia="Times New Roman"/>
          <w:sz w:val="22"/>
          <w:szCs w:val="22"/>
        </w:rPr>
        <w:t xml:space="preserve">This could be specific </w:t>
      </w:r>
      <w:r w:rsidR="00B6397B">
        <w:rPr>
          <w:rFonts w:eastAsia="Times New Roman"/>
          <w:sz w:val="22"/>
          <w:szCs w:val="22"/>
        </w:rPr>
        <w:lastRenderedPageBreak/>
        <w:t>measures such as an increase</w:t>
      </w:r>
      <w:r w:rsidR="009509CB">
        <w:rPr>
          <w:rFonts w:eastAsia="Times New Roman"/>
          <w:sz w:val="22"/>
          <w:szCs w:val="22"/>
        </w:rPr>
        <w:t xml:space="preserve"> </w:t>
      </w:r>
      <w:bookmarkStart w:id="0" w:name="_GoBack"/>
      <w:bookmarkEnd w:id="0"/>
      <w:r w:rsidRPr="007E7E62">
        <w:rPr>
          <w:rFonts w:eastAsia="Times New Roman"/>
          <w:sz w:val="22"/>
          <w:szCs w:val="22"/>
        </w:rPr>
        <w:t>in business rates collection</w:t>
      </w:r>
      <w:r w:rsidR="00B6397B">
        <w:rPr>
          <w:rFonts w:eastAsia="Times New Roman"/>
          <w:sz w:val="22"/>
          <w:szCs w:val="22"/>
        </w:rPr>
        <w:t xml:space="preserve"> rate</w:t>
      </w:r>
      <w:r w:rsidRPr="007E7E62">
        <w:rPr>
          <w:rFonts w:eastAsia="Times New Roman"/>
          <w:sz w:val="22"/>
          <w:szCs w:val="22"/>
        </w:rPr>
        <w:t xml:space="preserve"> or wider economic growth. MHCLG’s response was that </w:t>
      </w:r>
      <w:r w:rsidR="00B6397B">
        <w:rPr>
          <w:rFonts w:eastAsia="Times New Roman"/>
          <w:sz w:val="22"/>
          <w:szCs w:val="22"/>
        </w:rPr>
        <w:t xml:space="preserve">at the moment </w:t>
      </w:r>
      <w:r w:rsidRPr="007E7E62">
        <w:rPr>
          <w:rFonts w:eastAsia="Times New Roman"/>
          <w:sz w:val="22"/>
          <w:szCs w:val="22"/>
        </w:rPr>
        <w:t xml:space="preserve">the </w:t>
      </w:r>
      <w:r w:rsidR="00B6397B">
        <w:rPr>
          <w:rFonts w:eastAsia="Times New Roman"/>
          <w:sz w:val="22"/>
          <w:szCs w:val="22"/>
        </w:rPr>
        <w:t>way that growth is rewarded is working and there were no plans to overhaul what is rewarded through the BRR system.</w:t>
      </w:r>
    </w:p>
    <w:p w14:paraId="06AEA799" w14:textId="77777777" w:rsidR="006B1C47" w:rsidRPr="007E7E62" w:rsidRDefault="006B1C47" w:rsidP="006B1C47">
      <w:pPr>
        <w:pStyle w:val="ListParagraph"/>
        <w:spacing w:after="240" w:line="240" w:lineRule="auto"/>
        <w:ind w:left="1080"/>
        <w:rPr>
          <w:rFonts w:eastAsia="Times New Roman"/>
          <w:sz w:val="22"/>
          <w:szCs w:val="22"/>
        </w:rPr>
      </w:pPr>
    </w:p>
    <w:p w14:paraId="02BE56DA" w14:textId="207EB14C" w:rsidR="00AE7501" w:rsidRPr="006B1C47" w:rsidRDefault="00AE7501" w:rsidP="006B1C47">
      <w:pPr>
        <w:pStyle w:val="ListParagraph"/>
        <w:numPr>
          <w:ilvl w:val="0"/>
          <w:numId w:val="1"/>
        </w:numPr>
        <w:spacing w:after="240" w:line="240" w:lineRule="auto"/>
        <w:rPr>
          <w:rFonts w:eastAsia="Times New Roman"/>
          <w:b/>
          <w:sz w:val="22"/>
          <w:szCs w:val="22"/>
        </w:rPr>
      </w:pPr>
      <w:r w:rsidRPr="006B1C47">
        <w:rPr>
          <w:rFonts w:eastAsia="Times New Roman"/>
          <w:b/>
          <w:sz w:val="22"/>
          <w:szCs w:val="22"/>
        </w:rPr>
        <w:t>Actions</w:t>
      </w:r>
    </w:p>
    <w:p w14:paraId="53EF5E2A" w14:textId="73CC7D58" w:rsidR="003132BB" w:rsidRPr="006B1C47" w:rsidRDefault="00AE7501" w:rsidP="006B1C47">
      <w:pPr>
        <w:pStyle w:val="ListParagraph"/>
        <w:numPr>
          <w:ilvl w:val="0"/>
          <w:numId w:val="17"/>
        </w:numPr>
        <w:spacing w:after="240" w:line="240" w:lineRule="auto"/>
        <w:rPr>
          <w:rFonts w:eastAsia="Times New Roman"/>
          <w:sz w:val="22"/>
          <w:szCs w:val="22"/>
        </w:rPr>
      </w:pPr>
      <w:r w:rsidRPr="006B1C47">
        <w:rPr>
          <w:rFonts w:eastAsia="Times New Roman"/>
          <w:sz w:val="22"/>
          <w:szCs w:val="22"/>
        </w:rPr>
        <w:t>The following actions were agreed:</w:t>
      </w:r>
    </w:p>
    <w:p w14:paraId="6092746A" w14:textId="56AF2FC4" w:rsidR="00AE7501" w:rsidRDefault="00AE7501" w:rsidP="006B1C47">
      <w:pPr>
        <w:pStyle w:val="ListParagraph"/>
        <w:numPr>
          <w:ilvl w:val="0"/>
          <w:numId w:val="18"/>
        </w:numPr>
        <w:spacing w:after="240" w:line="240" w:lineRule="auto"/>
        <w:rPr>
          <w:rFonts w:eastAsia="Times New Roman"/>
          <w:sz w:val="22"/>
          <w:szCs w:val="22"/>
        </w:rPr>
      </w:pPr>
      <w:r w:rsidRPr="003D7FDA">
        <w:rPr>
          <w:rFonts w:eastAsia="Times New Roman"/>
          <w:sz w:val="22"/>
          <w:szCs w:val="22"/>
        </w:rPr>
        <w:t xml:space="preserve">Scope out the possibility of a joint paper on system surplus between MHCLG and CIPFA </w:t>
      </w:r>
      <w:r w:rsidR="000A255A">
        <w:rPr>
          <w:rFonts w:eastAsia="Times New Roman"/>
          <w:sz w:val="22"/>
          <w:szCs w:val="22"/>
        </w:rPr>
        <w:t>(</w:t>
      </w:r>
      <w:r w:rsidRPr="004600E3">
        <w:rPr>
          <w:rFonts w:eastAsia="Times New Roman"/>
          <w:b/>
          <w:sz w:val="22"/>
          <w:szCs w:val="22"/>
        </w:rPr>
        <w:t>1)</w:t>
      </w:r>
    </w:p>
    <w:p w14:paraId="6D8902D0" w14:textId="77777777" w:rsidR="00AE7501" w:rsidRDefault="00AE7501" w:rsidP="006B1C47">
      <w:pPr>
        <w:pStyle w:val="ListParagraph"/>
        <w:numPr>
          <w:ilvl w:val="0"/>
          <w:numId w:val="18"/>
        </w:numPr>
        <w:spacing w:after="240" w:line="240" w:lineRule="auto"/>
        <w:rPr>
          <w:rFonts w:eastAsia="Times New Roman"/>
          <w:sz w:val="22"/>
          <w:szCs w:val="22"/>
        </w:rPr>
      </w:pPr>
      <w:r>
        <w:rPr>
          <w:rFonts w:eastAsia="Times New Roman"/>
          <w:sz w:val="22"/>
          <w:szCs w:val="22"/>
        </w:rPr>
        <w:t xml:space="preserve">Relabel the chart in the second paper which caused confusion with regards to NNDR lag. </w:t>
      </w:r>
      <w:r w:rsidRPr="004600E3">
        <w:rPr>
          <w:rFonts w:eastAsia="Times New Roman"/>
          <w:b/>
          <w:sz w:val="22"/>
          <w:szCs w:val="22"/>
        </w:rPr>
        <w:t>(2)</w:t>
      </w:r>
    </w:p>
    <w:p w14:paraId="29DBAD9C" w14:textId="378C8BF7" w:rsidR="00AE7501" w:rsidRDefault="00AE7501" w:rsidP="006B1C47">
      <w:pPr>
        <w:pStyle w:val="ListParagraph"/>
        <w:numPr>
          <w:ilvl w:val="0"/>
          <w:numId w:val="18"/>
        </w:numPr>
        <w:spacing w:after="240" w:line="240" w:lineRule="auto"/>
        <w:rPr>
          <w:rFonts w:eastAsia="Times New Roman"/>
          <w:b/>
          <w:sz w:val="22"/>
          <w:szCs w:val="22"/>
        </w:rPr>
      </w:pPr>
      <w:r>
        <w:rPr>
          <w:rFonts w:eastAsia="Times New Roman"/>
          <w:sz w:val="22"/>
          <w:szCs w:val="22"/>
        </w:rPr>
        <w:t xml:space="preserve">For MHCLG to continue making ease of comprehension the primary aim of their presentation material. </w:t>
      </w:r>
      <w:r w:rsidRPr="007A4222">
        <w:rPr>
          <w:rFonts w:eastAsia="Times New Roman"/>
          <w:b/>
          <w:sz w:val="22"/>
          <w:szCs w:val="22"/>
        </w:rPr>
        <w:t>(</w:t>
      </w:r>
      <w:r w:rsidR="000A255A">
        <w:rPr>
          <w:rFonts w:eastAsia="Times New Roman"/>
          <w:b/>
          <w:sz w:val="22"/>
          <w:szCs w:val="22"/>
        </w:rPr>
        <w:t>3</w:t>
      </w:r>
      <w:r w:rsidRPr="007A4222">
        <w:rPr>
          <w:rFonts w:eastAsia="Times New Roman"/>
          <w:b/>
          <w:sz w:val="22"/>
          <w:szCs w:val="22"/>
        </w:rPr>
        <w:t>)</w:t>
      </w:r>
    </w:p>
    <w:p w14:paraId="6BA0025A" w14:textId="60188113" w:rsidR="00AE7501" w:rsidRDefault="00AE7501" w:rsidP="006B1C47">
      <w:pPr>
        <w:pStyle w:val="ListParagraph"/>
        <w:numPr>
          <w:ilvl w:val="0"/>
          <w:numId w:val="18"/>
        </w:numPr>
        <w:spacing w:after="240" w:line="240" w:lineRule="auto"/>
        <w:rPr>
          <w:rFonts w:eastAsia="Times New Roman"/>
          <w:b/>
          <w:sz w:val="22"/>
          <w:szCs w:val="22"/>
        </w:rPr>
      </w:pPr>
      <w:r>
        <w:rPr>
          <w:rFonts w:eastAsia="Times New Roman"/>
          <w:sz w:val="22"/>
          <w:szCs w:val="22"/>
        </w:rPr>
        <w:t>Con</w:t>
      </w:r>
      <w:r w:rsidR="00B6397B">
        <w:rPr>
          <w:rFonts w:eastAsia="Times New Roman"/>
          <w:sz w:val="22"/>
          <w:szCs w:val="22"/>
        </w:rPr>
        <w:t>tinue further investigation</w:t>
      </w:r>
      <w:r>
        <w:rPr>
          <w:rFonts w:eastAsia="Times New Roman"/>
          <w:sz w:val="22"/>
          <w:szCs w:val="22"/>
        </w:rPr>
        <w:t xml:space="preserve"> into the data gathering capabilities of the Northgate and Capita software, with the additional aim of working out which LA’s are using bespoke systems. </w:t>
      </w:r>
      <w:r w:rsidRPr="002E1062">
        <w:rPr>
          <w:rFonts w:eastAsia="Times New Roman"/>
          <w:b/>
          <w:sz w:val="22"/>
          <w:szCs w:val="22"/>
        </w:rPr>
        <w:t>(</w:t>
      </w:r>
      <w:r w:rsidR="000A255A">
        <w:rPr>
          <w:rFonts w:eastAsia="Times New Roman"/>
          <w:b/>
          <w:sz w:val="22"/>
          <w:szCs w:val="22"/>
        </w:rPr>
        <w:t>4</w:t>
      </w:r>
      <w:r w:rsidRPr="002E1062">
        <w:rPr>
          <w:rFonts w:eastAsia="Times New Roman"/>
          <w:b/>
          <w:sz w:val="22"/>
          <w:szCs w:val="22"/>
        </w:rPr>
        <w:t>)</w:t>
      </w:r>
    </w:p>
    <w:p w14:paraId="4A4CBBD8" w14:textId="77777777" w:rsidR="009F015F" w:rsidRPr="007A4222" w:rsidRDefault="009F015F" w:rsidP="009F015F">
      <w:pPr>
        <w:pStyle w:val="ListParagraph"/>
        <w:spacing w:after="240" w:line="240" w:lineRule="auto"/>
        <w:ind w:left="1800"/>
        <w:rPr>
          <w:rFonts w:eastAsia="Times New Roman"/>
          <w:b/>
          <w:sz w:val="22"/>
          <w:szCs w:val="22"/>
        </w:rPr>
      </w:pPr>
    </w:p>
    <w:p w14:paraId="7AB43E98" w14:textId="77777777" w:rsidR="009F015F" w:rsidRDefault="00AE7501" w:rsidP="009F015F">
      <w:pPr>
        <w:pStyle w:val="ListParagraph"/>
        <w:numPr>
          <w:ilvl w:val="0"/>
          <w:numId w:val="1"/>
        </w:numPr>
        <w:spacing w:after="240" w:line="240" w:lineRule="auto"/>
        <w:rPr>
          <w:rFonts w:eastAsia="Times New Roman"/>
          <w:b/>
          <w:sz w:val="22"/>
          <w:szCs w:val="22"/>
        </w:rPr>
      </w:pPr>
      <w:r w:rsidRPr="009F015F">
        <w:rPr>
          <w:rFonts w:eastAsia="Times New Roman"/>
          <w:b/>
          <w:sz w:val="22"/>
          <w:szCs w:val="22"/>
        </w:rPr>
        <w:t xml:space="preserve">Next meeting </w:t>
      </w:r>
    </w:p>
    <w:p w14:paraId="7DABDCD7" w14:textId="71E605B4" w:rsidR="00AE7501" w:rsidRPr="009F015F" w:rsidRDefault="00AE7501" w:rsidP="009F015F">
      <w:pPr>
        <w:pStyle w:val="ListParagraph"/>
        <w:numPr>
          <w:ilvl w:val="0"/>
          <w:numId w:val="19"/>
        </w:numPr>
        <w:spacing w:after="240" w:line="240" w:lineRule="auto"/>
        <w:rPr>
          <w:rFonts w:eastAsia="Times New Roman"/>
          <w:b/>
          <w:sz w:val="22"/>
          <w:szCs w:val="22"/>
        </w:rPr>
      </w:pPr>
      <w:r w:rsidRPr="009F015F">
        <w:rPr>
          <w:sz w:val="22"/>
          <w:szCs w:val="22"/>
        </w:rPr>
        <w:t>The next working group will be held on the 20</w:t>
      </w:r>
      <w:r w:rsidRPr="009F015F">
        <w:rPr>
          <w:sz w:val="22"/>
          <w:szCs w:val="22"/>
          <w:vertAlign w:val="superscript"/>
        </w:rPr>
        <w:t>th</w:t>
      </w:r>
      <w:r w:rsidRPr="009F015F">
        <w:rPr>
          <w:sz w:val="22"/>
          <w:szCs w:val="22"/>
        </w:rPr>
        <w:t xml:space="preserve"> of June at the LGA headquarters. The agenda, and any papers will be circulated nearer the time. </w:t>
      </w:r>
    </w:p>
    <w:p w14:paraId="20A1AA75" w14:textId="77777777" w:rsidR="004D69AF" w:rsidRDefault="004D69AF" w:rsidP="00AE7501">
      <w:pPr>
        <w:contextualSpacing/>
        <w:rPr>
          <w:b/>
          <w:sz w:val="22"/>
          <w:szCs w:val="22"/>
          <w:u w:val="single"/>
        </w:rPr>
      </w:pPr>
    </w:p>
    <w:p w14:paraId="43A21DDC" w14:textId="77777777" w:rsidR="004D69AF" w:rsidRDefault="004D69AF" w:rsidP="00AE7501">
      <w:pPr>
        <w:contextualSpacing/>
        <w:rPr>
          <w:b/>
          <w:sz w:val="22"/>
          <w:szCs w:val="22"/>
          <w:u w:val="single"/>
        </w:rPr>
      </w:pPr>
    </w:p>
    <w:p w14:paraId="454416AC" w14:textId="4A8E7C2C" w:rsidR="00AE7501" w:rsidRDefault="00AE7501" w:rsidP="00AE7501">
      <w:pPr>
        <w:contextualSpacing/>
        <w:rPr>
          <w:b/>
          <w:sz w:val="22"/>
          <w:szCs w:val="22"/>
          <w:u w:val="single"/>
        </w:rPr>
      </w:pPr>
      <w:r w:rsidRPr="00A23DCC">
        <w:rPr>
          <w:b/>
          <w:sz w:val="22"/>
          <w:szCs w:val="22"/>
          <w:u w:val="single"/>
        </w:rPr>
        <w:t xml:space="preserve">Annex A – Attendance List </w:t>
      </w:r>
    </w:p>
    <w:p w14:paraId="602693FB" w14:textId="77777777" w:rsidR="00AE7501" w:rsidRPr="00A23DCC" w:rsidRDefault="00AE7501" w:rsidP="00AE7501">
      <w:pPr>
        <w:contextualSpacing/>
        <w:rPr>
          <w:b/>
          <w:sz w:val="22"/>
          <w:szCs w:val="22"/>
          <w:u w:val="single"/>
        </w:rPr>
      </w:pPr>
    </w:p>
    <w:tbl>
      <w:tblPr>
        <w:tblStyle w:val="TableGrid"/>
        <w:tblW w:w="9322" w:type="dxa"/>
        <w:tblLook w:val="04A0" w:firstRow="1" w:lastRow="0" w:firstColumn="1" w:lastColumn="0" w:noHBand="0" w:noVBand="1"/>
      </w:tblPr>
      <w:tblGrid>
        <w:gridCol w:w="2943"/>
        <w:gridCol w:w="3402"/>
        <w:gridCol w:w="2977"/>
      </w:tblGrid>
      <w:tr w:rsidR="00AE7501" w:rsidRPr="00CA4697" w14:paraId="52BADC8A" w14:textId="77777777" w:rsidTr="007355DE">
        <w:trPr>
          <w:trHeight w:val="290"/>
        </w:trPr>
        <w:tc>
          <w:tcPr>
            <w:tcW w:w="2943" w:type="dxa"/>
            <w:noWrap/>
            <w:hideMark/>
          </w:tcPr>
          <w:p w14:paraId="4307F9AC" w14:textId="77777777" w:rsidR="00AE7501" w:rsidRPr="00CA4697" w:rsidRDefault="00AE7501" w:rsidP="007355DE">
            <w:pPr>
              <w:contextualSpacing/>
              <w:jc w:val="center"/>
              <w:rPr>
                <w:b/>
                <w:sz w:val="22"/>
              </w:rPr>
            </w:pPr>
            <w:r w:rsidRPr="00CA4697">
              <w:rPr>
                <w:b/>
                <w:sz w:val="22"/>
              </w:rPr>
              <w:t>Attendee</w:t>
            </w:r>
          </w:p>
        </w:tc>
        <w:tc>
          <w:tcPr>
            <w:tcW w:w="3402" w:type="dxa"/>
            <w:noWrap/>
            <w:hideMark/>
          </w:tcPr>
          <w:p w14:paraId="24020E22" w14:textId="77777777" w:rsidR="00AE7501" w:rsidRPr="00CA4697" w:rsidRDefault="00AE7501" w:rsidP="007355DE">
            <w:pPr>
              <w:contextualSpacing/>
              <w:jc w:val="center"/>
              <w:rPr>
                <w:b/>
                <w:sz w:val="22"/>
              </w:rPr>
            </w:pPr>
            <w:r w:rsidRPr="00CA4697">
              <w:rPr>
                <w:b/>
                <w:sz w:val="22"/>
              </w:rPr>
              <w:t>Organisation</w:t>
            </w:r>
          </w:p>
        </w:tc>
        <w:tc>
          <w:tcPr>
            <w:tcW w:w="2977" w:type="dxa"/>
            <w:noWrap/>
            <w:hideMark/>
          </w:tcPr>
          <w:p w14:paraId="7DE4EF3C" w14:textId="77777777" w:rsidR="00AE7501" w:rsidRPr="00CA4697" w:rsidRDefault="00AE7501" w:rsidP="007355DE">
            <w:pPr>
              <w:contextualSpacing/>
              <w:jc w:val="center"/>
              <w:rPr>
                <w:b/>
                <w:sz w:val="22"/>
              </w:rPr>
            </w:pPr>
            <w:r w:rsidRPr="00CA4697">
              <w:rPr>
                <w:b/>
                <w:sz w:val="22"/>
              </w:rPr>
              <w:t>Attendance</w:t>
            </w:r>
          </w:p>
        </w:tc>
      </w:tr>
      <w:tr w:rsidR="00AE7501" w:rsidRPr="00CA4697" w14:paraId="74FDCECC" w14:textId="77777777" w:rsidTr="007355DE">
        <w:trPr>
          <w:trHeight w:val="290"/>
        </w:trPr>
        <w:tc>
          <w:tcPr>
            <w:tcW w:w="2943" w:type="dxa"/>
            <w:noWrap/>
            <w:hideMark/>
          </w:tcPr>
          <w:p w14:paraId="65AB6AD4" w14:textId="77777777" w:rsidR="00AE7501" w:rsidRPr="00CA4697" w:rsidRDefault="00AE7501" w:rsidP="007355DE">
            <w:pPr>
              <w:contextualSpacing/>
              <w:jc w:val="center"/>
              <w:rPr>
                <w:sz w:val="22"/>
                <w:szCs w:val="22"/>
              </w:rPr>
            </w:pPr>
            <w:r w:rsidRPr="00CA4697">
              <w:rPr>
                <w:sz w:val="22"/>
                <w:szCs w:val="22"/>
              </w:rPr>
              <w:t>Adrian Blaylock</w:t>
            </w:r>
          </w:p>
        </w:tc>
        <w:tc>
          <w:tcPr>
            <w:tcW w:w="3402" w:type="dxa"/>
            <w:noWrap/>
            <w:hideMark/>
          </w:tcPr>
          <w:p w14:paraId="7C2E38E7" w14:textId="77777777" w:rsidR="00AE7501" w:rsidRPr="00CA4697" w:rsidRDefault="00AE7501" w:rsidP="007355DE">
            <w:pPr>
              <w:contextualSpacing/>
              <w:jc w:val="center"/>
              <w:rPr>
                <w:sz w:val="22"/>
                <w:szCs w:val="22"/>
              </w:rPr>
            </w:pPr>
            <w:r w:rsidRPr="00CA4697">
              <w:rPr>
                <w:sz w:val="22"/>
                <w:szCs w:val="22"/>
              </w:rPr>
              <w:t>CIPFA</w:t>
            </w:r>
          </w:p>
        </w:tc>
        <w:tc>
          <w:tcPr>
            <w:tcW w:w="2977" w:type="dxa"/>
            <w:noWrap/>
            <w:hideMark/>
          </w:tcPr>
          <w:p w14:paraId="1449F9B8"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14FFCA5E" w14:textId="77777777" w:rsidTr="007355DE">
        <w:trPr>
          <w:trHeight w:val="290"/>
        </w:trPr>
        <w:tc>
          <w:tcPr>
            <w:tcW w:w="2943" w:type="dxa"/>
            <w:noWrap/>
            <w:hideMark/>
          </w:tcPr>
          <w:p w14:paraId="47F368D6" w14:textId="77777777" w:rsidR="00AE7501" w:rsidRPr="00CA4697" w:rsidRDefault="00AE7501" w:rsidP="007355DE">
            <w:pPr>
              <w:contextualSpacing/>
              <w:jc w:val="center"/>
              <w:rPr>
                <w:sz w:val="22"/>
                <w:szCs w:val="22"/>
              </w:rPr>
            </w:pPr>
            <w:r w:rsidRPr="00CA4697">
              <w:rPr>
                <w:sz w:val="22"/>
                <w:szCs w:val="22"/>
              </w:rPr>
              <w:t>Aimee Powell</w:t>
            </w:r>
          </w:p>
        </w:tc>
        <w:tc>
          <w:tcPr>
            <w:tcW w:w="3402" w:type="dxa"/>
            <w:noWrap/>
            <w:hideMark/>
          </w:tcPr>
          <w:p w14:paraId="6009B5FA"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6F9728A9"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5CFBF704" w14:textId="77777777" w:rsidTr="007355DE">
        <w:trPr>
          <w:trHeight w:val="290"/>
        </w:trPr>
        <w:tc>
          <w:tcPr>
            <w:tcW w:w="2943" w:type="dxa"/>
            <w:noWrap/>
            <w:hideMark/>
          </w:tcPr>
          <w:p w14:paraId="34032C13" w14:textId="77777777" w:rsidR="00AE7501" w:rsidRPr="00CA4697" w:rsidRDefault="00AE7501" w:rsidP="007355DE">
            <w:pPr>
              <w:contextualSpacing/>
              <w:jc w:val="center"/>
              <w:rPr>
                <w:sz w:val="22"/>
                <w:szCs w:val="22"/>
              </w:rPr>
            </w:pPr>
            <w:r w:rsidRPr="00CA4697">
              <w:rPr>
                <w:sz w:val="22"/>
                <w:szCs w:val="22"/>
              </w:rPr>
              <w:t>Alan Peach</w:t>
            </w:r>
          </w:p>
        </w:tc>
        <w:tc>
          <w:tcPr>
            <w:tcW w:w="3402" w:type="dxa"/>
            <w:noWrap/>
            <w:hideMark/>
          </w:tcPr>
          <w:p w14:paraId="78BEAA05" w14:textId="77777777" w:rsidR="00AE7501" w:rsidRPr="00CA4697" w:rsidRDefault="00AE7501" w:rsidP="007355DE">
            <w:pPr>
              <w:contextualSpacing/>
              <w:jc w:val="center"/>
              <w:rPr>
                <w:sz w:val="22"/>
                <w:szCs w:val="22"/>
              </w:rPr>
            </w:pPr>
            <w:r w:rsidRPr="00CA4697">
              <w:rPr>
                <w:sz w:val="22"/>
                <w:szCs w:val="22"/>
              </w:rPr>
              <w:t>Arun</w:t>
            </w:r>
          </w:p>
        </w:tc>
        <w:tc>
          <w:tcPr>
            <w:tcW w:w="2977" w:type="dxa"/>
            <w:noWrap/>
            <w:hideMark/>
          </w:tcPr>
          <w:p w14:paraId="458D68D8"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51A80670" w14:textId="77777777" w:rsidTr="007355DE">
        <w:trPr>
          <w:trHeight w:val="290"/>
        </w:trPr>
        <w:tc>
          <w:tcPr>
            <w:tcW w:w="2943" w:type="dxa"/>
            <w:noWrap/>
            <w:hideMark/>
          </w:tcPr>
          <w:p w14:paraId="49403868" w14:textId="77777777" w:rsidR="00AE7501" w:rsidRPr="00CA4697" w:rsidRDefault="00AE7501" w:rsidP="007355DE">
            <w:pPr>
              <w:contextualSpacing/>
              <w:jc w:val="center"/>
              <w:rPr>
                <w:sz w:val="22"/>
                <w:szCs w:val="22"/>
              </w:rPr>
            </w:pPr>
            <w:r w:rsidRPr="00CA4697">
              <w:rPr>
                <w:sz w:val="22"/>
                <w:szCs w:val="22"/>
              </w:rPr>
              <w:t>Alex Black</w:t>
            </w:r>
          </w:p>
        </w:tc>
        <w:tc>
          <w:tcPr>
            <w:tcW w:w="3402" w:type="dxa"/>
            <w:noWrap/>
            <w:hideMark/>
          </w:tcPr>
          <w:p w14:paraId="3FC0D376"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637D1C00"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68414F2D" w14:textId="77777777" w:rsidTr="007355DE">
        <w:trPr>
          <w:trHeight w:val="290"/>
        </w:trPr>
        <w:tc>
          <w:tcPr>
            <w:tcW w:w="2943" w:type="dxa"/>
            <w:noWrap/>
            <w:hideMark/>
          </w:tcPr>
          <w:p w14:paraId="360BD9BE" w14:textId="77777777" w:rsidR="00AE7501" w:rsidRPr="00CA4697" w:rsidRDefault="00AE7501" w:rsidP="007355DE">
            <w:pPr>
              <w:contextualSpacing/>
              <w:jc w:val="center"/>
              <w:rPr>
                <w:sz w:val="22"/>
                <w:szCs w:val="22"/>
              </w:rPr>
            </w:pPr>
            <w:r w:rsidRPr="00CA4697">
              <w:rPr>
                <w:sz w:val="22"/>
                <w:szCs w:val="22"/>
              </w:rPr>
              <w:t>Andy Camp</w:t>
            </w:r>
          </w:p>
        </w:tc>
        <w:tc>
          <w:tcPr>
            <w:tcW w:w="3402" w:type="dxa"/>
            <w:noWrap/>
            <w:hideMark/>
          </w:tcPr>
          <w:p w14:paraId="7FAD2CCE" w14:textId="77777777" w:rsidR="00AE7501" w:rsidRPr="00CA4697" w:rsidRDefault="00AE7501" w:rsidP="007355DE">
            <w:pPr>
              <w:contextualSpacing/>
              <w:jc w:val="center"/>
              <w:rPr>
                <w:sz w:val="22"/>
                <w:szCs w:val="22"/>
              </w:rPr>
            </w:pPr>
            <w:r w:rsidRPr="00CA4697">
              <w:rPr>
                <w:sz w:val="22"/>
                <w:szCs w:val="22"/>
              </w:rPr>
              <w:t>Somerset</w:t>
            </w:r>
          </w:p>
        </w:tc>
        <w:tc>
          <w:tcPr>
            <w:tcW w:w="2977" w:type="dxa"/>
            <w:noWrap/>
            <w:hideMark/>
          </w:tcPr>
          <w:p w14:paraId="319CD26C"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614A0705" w14:textId="77777777" w:rsidTr="007355DE">
        <w:trPr>
          <w:trHeight w:val="290"/>
        </w:trPr>
        <w:tc>
          <w:tcPr>
            <w:tcW w:w="2943" w:type="dxa"/>
            <w:noWrap/>
            <w:hideMark/>
          </w:tcPr>
          <w:p w14:paraId="2C87584D" w14:textId="77777777" w:rsidR="00AE7501" w:rsidRPr="00CA4697" w:rsidRDefault="00AE7501" w:rsidP="007355DE">
            <w:pPr>
              <w:contextualSpacing/>
              <w:jc w:val="center"/>
              <w:rPr>
                <w:sz w:val="22"/>
                <w:szCs w:val="22"/>
              </w:rPr>
            </w:pPr>
            <w:r w:rsidRPr="00CA4697">
              <w:rPr>
                <w:sz w:val="22"/>
                <w:szCs w:val="22"/>
              </w:rPr>
              <w:t>Carla-Maria Heath</w:t>
            </w:r>
          </w:p>
        </w:tc>
        <w:tc>
          <w:tcPr>
            <w:tcW w:w="3402" w:type="dxa"/>
            <w:noWrap/>
            <w:hideMark/>
          </w:tcPr>
          <w:p w14:paraId="5F534B7A" w14:textId="77777777" w:rsidR="00AE7501" w:rsidRPr="00CA4697" w:rsidRDefault="00AE7501" w:rsidP="007355DE">
            <w:pPr>
              <w:contextualSpacing/>
              <w:jc w:val="center"/>
              <w:rPr>
                <w:sz w:val="22"/>
                <w:szCs w:val="22"/>
              </w:rPr>
            </w:pPr>
            <w:r w:rsidRPr="00CA4697">
              <w:rPr>
                <w:sz w:val="22"/>
                <w:szCs w:val="22"/>
              </w:rPr>
              <w:t>City of London</w:t>
            </w:r>
          </w:p>
        </w:tc>
        <w:tc>
          <w:tcPr>
            <w:tcW w:w="2977" w:type="dxa"/>
            <w:noWrap/>
            <w:hideMark/>
          </w:tcPr>
          <w:p w14:paraId="1983686E"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58F73DC2" w14:textId="77777777" w:rsidTr="007355DE">
        <w:trPr>
          <w:trHeight w:val="290"/>
        </w:trPr>
        <w:tc>
          <w:tcPr>
            <w:tcW w:w="2943" w:type="dxa"/>
            <w:noWrap/>
            <w:hideMark/>
          </w:tcPr>
          <w:p w14:paraId="6FFC3A75" w14:textId="77777777" w:rsidR="00AE7501" w:rsidRPr="00CA4697" w:rsidRDefault="00AE7501" w:rsidP="007355DE">
            <w:pPr>
              <w:contextualSpacing/>
              <w:jc w:val="center"/>
              <w:rPr>
                <w:sz w:val="22"/>
                <w:szCs w:val="22"/>
              </w:rPr>
            </w:pPr>
            <w:r w:rsidRPr="00CA4697">
              <w:rPr>
                <w:sz w:val="22"/>
                <w:szCs w:val="22"/>
              </w:rPr>
              <w:t>Caroline White</w:t>
            </w:r>
          </w:p>
        </w:tc>
        <w:tc>
          <w:tcPr>
            <w:tcW w:w="3402" w:type="dxa"/>
            <w:noWrap/>
            <w:hideMark/>
          </w:tcPr>
          <w:p w14:paraId="3A5B8D12" w14:textId="77777777" w:rsidR="00AE7501" w:rsidRPr="00CA4697" w:rsidRDefault="00AE7501" w:rsidP="007355DE">
            <w:pPr>
              <w:contextualSpacing/>
              <w:jc w:val="center"/>
              <w:rPr>
                <w:sz w:val="22"/>
                <w:szCs w:val="22"/>
              </w:rPr>
            </w:pPr>
            <w:r w:rsidRPr="00CA4697">
              <w:rPr>
                <w:sz w:val="22"/>
                <w:szCs w:val="22"/>
              </w:rPr>
              <w:t>CIPFA</w:t>
            </w:r>
          </w:p>
        </w:tc>
        <w:tc>
          <w:tcPr>
            <w:tcW w:w="2977" w:type="dxa"/>
            <w:noWrap/>
            <w:hideMark/>
          </w:tcPr>
          <w:p w14:paraId="653FBB09"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3026DAB8" w14:textId="77777777" w:rsidTr="007355DE">
        <w:trPr>
          <w:trHeight w:val="290"/>
        </w:trPr>
        <w:tc>
          <w:tcPr>
            <w:tcW w:w="2943" w:type="dxa"/>
            <w:noWrap/>
            <w:hideMark/>
          </w:tcPr>
          <w:p w14:paraId="20090E20" w14:textId="77777777" w:rsidR="00AE7501" w:rsidRPr="00CA4697" w:rsidRDefault="00AE7501" w:rsidP="007355DE">
            <w:pPr>
              <w:contextualSpacing/>
              <w:jc w:val="center"/>
              <w:rPr>
                <w:sz w:val="22"/>
                <w:szCs w:val="22"/>
              </w:rPr>
            </w:pPr>
            <w:proofErr w:type="spellStart"/>
            <w:r w:rsidRPr="00CA4697">
              <w:rPr>
                <w:sz w:val="22"/>
                <w:szCs w:val="22"/>
              </w:rPr>
              <w:t>Cris</w:t>
            </w:r>
            <w:proofErr w:type="spellEnd"/>
            <w:r w:rsidRPr="00CA4697">
              <w:rPr>
                <w:sz w:val="22"/>
                <w:szCs w:val="22"/>
              </w:rPr>
              <w:t xml:space="preserve"> Nicolae</w:t>
            </w:r>
          </w:p>
        </w:tc>
        <w:tc>
          <w:tcPr>
            <w:tcW w:w="3402" w:type="dxa"/>
            <w:noWrap/>
            <w:hideMark/>
          </w:tcPr>
          <w:p w14:paraId="166FA284"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53BA60F8"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43E2136F" w14:textId="77777777" w:rsidTr="007355DE">
        <w:trPr>
          <w:trHeight w:val="290"/>
        </w:trPr>
        <w:tc>
          <w:tcPr>
            <w:tcW w:w="2943" w:type="dxa"/>
            <w:noWrap/>
            <w:hideMark/>
          </w:tcPr>
          <w:p w14:paraId="5DA18967" w14:textId="77777777" w:rsidR="00AE7501" w:rsidRPr="00CA4697" w:rsidRDefault="00AE7501" w:rsidP="007355DE">
            <w:pPr>
              <w:contextualSpacing/>
              <w:jc w:val="center"/>
              <w:rPr>
                <w:sz w:val="22"/>
                <w:szCs w:val="22"/>
              </w:rPr>
            </w:pPr>
            <w:r w:rsidRPr="00CA4697">
              <w:rPr>
                <w:sz w:val="22"/>
                <w:szCs w:val="22"/>
              </w:rPr>
              <w:t>Danny Fellowes</w:t>
            </w:r>
          </w:p>
        </w:tc>
        <w:tc>
          <w:tcPr>
            <w:tcW w:w="3402" w:type="dxa"/>
            <w:noWrap/>
            <w:hideMark/>
          </w:tcPr>
          <w:p w14:paraId="192115FA"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2554DE54"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01465C9B" w14:textId="77777777" w:rsidTr="007355DE">
        <w:trPr>
          <w:trHeight w:val="290"/>
        </w:trPr>
        <w:tc>
          <w:tcPr>
            <w:tcW w:w="2943" w:type="dxa"/>
            <w:noWrap/>
            <w:hideMark/>
          </w:tcPr>
          <w:p w14:paraId="531057C6" w14:textId="77777777" w:rsidR="00AE7501" w:rsidRPr="00CA4697" w:rsidRDefault="00AE7501" w:rsidP="007355DE">
            <w:pPr>
              <w:contextualSpacing/>
              <w:jc w:val="center"/>
              <w:rPr>
                <w:sz w:val="22"/>
                <w:szCs w:val="22"/>
              </w:rPr>
            </w:pPr>
            <w:r w:rsidRPr="00CA4697">
              <w:rPr>
                <w:sz w:val="22"/>
                <w:szCs w:val="22"/>
              </w:rPr>
              <w:t>David Bull</w:t>
            </w:r>
          </w:p>
        </w:tc>
        <w:tc>
          <w:tcPr>
            <w:tcW w:w="3402" w:type="dxa"/>
            <w:noWrap/>
            <w:hideMark/>
          </w:tcPr>
          <w:p w14:paraId="35042797"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7B6F8B77"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784CA7B7" w14:textId="77777777" w:rsidTr="007355DE">
        <w:trPr>
          <w:trHeight w:val="290"/>
        </w:trPr>
        <w:tc>
          <w:tcPr>
            <w:tcW w:w="2943" w:type="dxa"/>
            <w:noWrap/>
            <w:hideMark/>
          </w:tcPr>
          <w:p w14:paraId="035B49E7" w14:textId="77777777" w:rsidR="00AE7501" w:rsidRPr="00CA4697" w:rsidRDefault="00AE7501" w:rsidP="007355DE">
            <w:pPr>
              <w:contextualSpacing/>
              <w:jc w:val="center"/>
              <w:rPr>
                <w:sz w:val="22"/>
                <w:szCs w:val="22"/>
              </w:rPr>
            </w:pPr>
            <w:r w:rsidRPr="00CA4697">
              <w:rPr>
                <w:sz w:val="22"/>
                <w:szCs w:val="22"/>
              </w:rPr>
              <w:t>David Semmens</w:t>
            </w:r>
          </w:p>
        </w:tc>
        <w:tc>
          <w:tcPr>
            <w:tcW w:w="3402" w:type="dxa"/>
            <w:noWrap/>
            <w:hideMark/>
          </w:tcPr>
          <w:p w14:paraId="602EE11C" w14:textId="77777777" w:rsidR="00AE7501" w:rsidRPr="00CA4697" w:rsidRDefault="00AE7501" w:rsidP="007355DE">
            <w:pPr>
              <w:contextualSpacing/>
              <w:jc w:val="center"/>
              <w:rPr>
                <w:sz w:val="22"/>
                <w:szCs w:val="22"/>
              </w:rPr>
            </w:pPr>
            <w:r w:rsidRPr="00CA4697">
              <w:rPr>
                <w:sz w:val="22"/>
                <w:szCs w:val="22"/>
              </w:rPr>
              <w:t>Sheffield</w:t>
            </w:r>
          </w:p>
        </w:tc>
        <w:tc>
          <w:tcPr>
            <w:tcW w:w="2977" w:type="dxa"/>
            <w:noWrap/>
            <w:hideMark/>
          </w:tcPr>
          <w:p w14:paraId="017ECB5F"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09277883" w14:textId="77777777" w:rsidTr="007355DE">
        <w:trPr>
          <w:trHeight w:val="290"/>
        </w:trPr>
        <w:tc>
          <w:tcPr>
            <w:tcW w:w="2943" w:type="dxa"/>
            <w:noWrap/>
            <w:hideMark/>
          </w:tcPr>
          <w:p w14:paraId="2FCB1E21" w14:textId="77777777" w:rsidR="00AE7501" w:rsidRPr="00CA4697" w:rsidRDefault="00AE7501" w:rsidP="007355DE">
            <w:pPr>
              <w:contextualSpacing/>
              <w:jc w:val="center"/>
              <w:rPr>
                <w:sz w:val="22"/>
                <w:szCs w:val="22"/>
              </w:rPr>
            </w:pPr>
            <w:r w:rsidRPr="00CA4697">
              <w:rPr>
                <w:sz w:val="22"/>
                <w:szCs w:val="22"/>
              </w:rPr>
              <w:t>Duncan Cook</w:t>
            </w:r>
          </w:p>
        </w:tc>
        <w:tc>
          <w:tcPr>
            <w:tcW w:w="3402" w:type="dxa"/>
            <w:noWrap/>
            <w:hideMark/>
          </w:tcPr>
          <w:p w14:paraId="1E4FA6BE"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70BC76D3"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1088DF4C" w14:textId="77777777" w:rsidTr="007355DE">
        <w:trPr>
          <w:trHeight w:val="290"/>
        </w:trPr>
        <w:tc>
          <w:tcPr>
            <w:tcW w:w="2943" w:type="dxa"/>
            <w:noWrap/>
            <w:hideMark/>
          </w:tcPr>
          <w:p w14:paraId="4A46F6CE" w14:textId="77777777" w:rsidR="00AE7501" w:rsidRPr="00CA4697" w:rsidRDefault="00AE7501" w:rsidP="007355DE">
            <w:pPr>
              <w:contextualSpacing/>
              <w:jc w:val="center"/>
              <w:rPr>
                <w:sz w:val="22"/>
                <w:szCs w:val="22"/>
              </w:rPr>
            </w:pPr>
            <w:r w:rsidRPr="00CA4697">
              <w:rPr>
                <w:sz w:val="22"/>
                <w:szCs w:val="22"/>
              </w:rPr>
              <w:t>Geoff Winterbottom</w:t>
            </w:r>
          </w:p>
        </w:tc>
        <w:tc>
          <w:tcPr>
            <w:tcW w:w="3402" w:type="dxa"/>
            <w:noWrap/>
            <w:hideMark/>
          </w:tcPr>
          <w:p w14:paraId="1F77260A" w14:textId="77777777" w:rsidR="00AE7501" w:rsidRPr="00CA4697" w:rsidRDefault="00AE7501" w:rsidP="007355DE">
            <w:pPr>
              <w:contextualSpacing/>
              <w:jc w:val="center"/>
              <w:rPr>
                <w:sz w:val="22"/>
                <w:szCs w:val="22"/>
              </w:rPr>
            </w:pPr>
            <w:r w:rsidRPr="00CA4697">
              <w:rPr>
                <w:sz w:val="22"/>
                <w:szCs w:val="22"/>
              </w:rPr>
              <w:t>Barnsley</w:t>
            </w:r>
          </w:p>
        </w:tc>
        <w:tc>
          <w:tcPr>
            <w:tcW w:w="2977" w:type="dxa"/>
            <w:noWrap/>
            <w:hideMark/>
          </w:tcPr>
          <w:p w14:paraId="38FB0202"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345FAEE1" w14:textId="77777777" w:rsidTr="007355DE">
        <w:trPr>
          <w:trHeight w:val="290"/>
        </w:trPr>
        <w:tc>
          <w:tcPr>
            <w:tcW w:w="2943" w:type="dxa"/>
            <w:noWrap/>
            <w:hideMark/>
          </w:tcPr>
          <w:p w14:paraId="6DEB0E8B" w14:textId="77777777" w:rsidR="00AE7501" w:rsidRPr="00CA4697" w:rsidRDefault="00AE7501" w:rsidP="007355DE">
            <w:pPr>
              <w:contextualSpacing/>
              <w:jc w:val="center"/>
              <w:rPr>
                <w:sz w:val="22"/>
                <w:szCs w:val="22"/>
              </w:rPr>
            </w:pPr>
            <w:r w:rsidRPr="00CA4697">
              <w:rPr>
                <w:sz w:val="22"/>
                <w:szCs w:val="22"/>
              </w:rPr>
              <w:t>Gordon Heath</w:t>
            </w:r>
          </w:p>
        </w:tc>
        <w:tc>
          <w:tcPr>
            <w:tcW w:w="3402" w:type="dxa"/>
            <w:noWrap/>
            <w:hideMark/>
          </w:tcPr>
          <w:p w14:paraId="6D99E394" w14:textId="77777777" w:rsidR="00AE7501" w:rsidRPr="00CA4697" w:rsidRDefault="00AE7501" w:rsidP="007355DE">
            <w:pPr>
              <w:contextualSpacing/>
              <w:jc w:val="center"/>
              <w:rPr>
                <w:sz w:val="22"/>
                <w:szCs w:val="22"/>
              </w:rPr>
            </w:pPr>
            <w:r w:rsidRPr="00CA4697">
              <w:rPr>
                <w:sz w:val="22"/>
                <w:szCs w:val="22"/>
              </w:rPr>
              <w:t>IRRV</w:t>
            </w:r>
          </w:p>
        </w:tc>
        <w:tc>
          <w:tcPr>
            <w:tcW w:w="2977" w:type="dxa"/>
            <w:noWrap/>
            <w:hideMark/>
          </w:tcPr>
          <w:p w14:paraId="43BC92FC"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5B78EC6C" w14:textId="77777777" w:rsidTr="007355DE">
        <w:trPr>
          <w:trHeight w:val="290"/>
        </w:trPr>
        <w:tc>
          <w:tcPr>
            <w:tcW w:w="2943" w:type="dxa"/>
            <w:noWrap/>
            <w:hideMark/>
          </w:tcPr>
          <w:p w14:paraId="55C4C5B4" w14:textId="77777777" w:rsidR="00AE7501" w:rsidRPr="00CA4697" w:rsidRDefault="00AE7501" w:rsidP="007355DE">
            <w:pPr>
              <w:contextualSpacing/>
              <w:jc w:val="center"/>
              <w:rPr>
                <w:sz w:val="22"/>
                <w:szCs w:val="22"/>
              </w:rPr>
            </w:pPr>
            <w:r w:rsidRPr="00CA4697">
              <w:rPr>
                <w:sz w:val="22"/>
                <w:szCs w:val="22"/>
              </w:rPr>
              <w:t>Indre Planciunaite</w:t>
            </w:r>
          </w:p>
        </w:tc>
        <w:tc>
          <w:tcPr>
            <w:tcW w:w="3402" w:type="dxa"/>
            <w:noWrap/>
            <w:hideMark/>
          </w:tcPr>
          <w:p w14:paraId="78E16DAB"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7B392CCF"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496FA5BF" w14:textId="77777777" w:rsidTr="007355DE">
        <w:trPr>
          <w:trHeight w:val="290"/>
        </w:trPr>
        <w:tc>
          <w:tcPr>
            <w:tcW w:w="2943" w:type="dxa"/>
            <w:noWrap/>
            <w:hideMark/>
          </w:tcPr>
          <w:p w14:paraId="4912C260" w14:textId="77777777" w:rsidR="00AE7501" w:rsidRPr="00CA4697" w:rsidRDefault="00AE7501" w:rsidP="007355DE">
            <w:pPr>
              <w:contextualSpacing/>
              <w:jc w:val="center"/>
              <w:rPr>
                <w:sz w:val="22"/>
                <w:szCs w:val="22"/>
              </w:rPr>
            </w:pPr>
            <w:r w:rsidRPr="00CA4697">
              <w:rPr>
                <w:sz w:val="22"/>
                <w:szCs w:val="22"/>
              </w:rPr>
              <w:t>James Caddick</w:t>
            </w:r>
          </w:p>
        </w:tc>
        <w:tc>
          <w:tcPr>
            <w:tcW w:w="3402" w:type="dxa"/>
            <w:noWrap/>
            <w:hideMark/>
          </w:tcPr>
          <w:p w14:paraId="6FB7C03A"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77566BBA"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33840B4E" w14:textId="77777777" w:rsidTr="007355DE">
        <w:trPr>
          <w:trHeight w:val="290"/>
        </w:trPr>
        <w:tc>
          <w:tcPr>
            <w:tcW w:w="2943" w:type="dxa"/>
            <w:noWrap/>
            <w:hideMark/>
          </w:tcPr>
          <w:p w14:paraId="5B366EDF" w14:textId="77777777" w:rsidR="00AE7501" w:rsidRPr="00CA4697" w:rsidRDefault="00AE7501" w:rsidP="007355DE">
            <w:pPr>
              <w:contextualSpacing/>
              <w:jc w:val="center"/>
              <w:rPr>
                <w:sz w:val="22"/>
                <w:szCs w:val="22"/>
              </w:rPr>
            </w:pPr>
            <w:r w:rsidRPr="00CA4697">
              <w:rPr>
                <w:sz w:val="22"/>
                <w:szCs w:val="22"/>
              </w:rPr>
              <w:t>Joe Murray</w:t>
            </w:r>
          </w:p>
        </w:tc>
        <w:tc>
          <w:tcPr>
            <w:tcW w:w="3402" w:type="dxa"/>
            <w:noWrap/>
            <w:hideMark/>
          </w:tcPr>
          <w:p w14:paraId="52483CB9"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384E6BA3" w14:textId="77777777" w:rsidR="00AE7501" w:rsidRPr="00CA4697" w:rsidRDefault="00AE7501" w:rsidP="007355DE">
            <w:pPr>
              <w:contextualSpacing/>
              <w:jc w:val="center"/>
              <w:rPr>
                <w:sz w:val="22"/>
                <w:szCs w:val="22"/>
              </w:rPr>
            </w:pPr>
            <w:r w:rsidRPr="00CA4697">
              <w:rPr>
                <w:sz w:val="22"/>
                <w:szCs w:val="22"/>
              </w:rPr>
              <w:t>Dialled In</w:t>
            </w:r>
          </w:p>
        </w:tc>
      </w:tr>
      <w:tr w:rsidR="00AE7501" w:rsidRPr="00CA4697" w14:paraId="34FAAB66" w14:textId="77777777" w:rsidTr="007355DE">
        <w:trPr>
          <w:trHeight w:val="290"/>
        </w:trPr>
        <w:tc>
          <w:tcPr>
            <w:tcW w:w="2943" w:type="dxa"/>
            <w:noWrap/>
            <w:hideMark/>
          </w:tcPr>
          <w:p w14:paraId="6BB286ED" w14:textId="77777777" w:rsidR="00AE7501" w:rsidRPr="00CA4697" w:rsidRDefault="00AE7501" w:rsidP="007355DE">
            <w:pPr>
              <w:contextualSpacing/>
              <w:jc w:val="center"/>
              <w:rPr>
                <w:sz w:val="22"/>
                <w:szCs w:val="22"/>
              </w:rPr>
            </w:pPr>
            <w:r w:rsidRPr="00CA4697">
              <w:rPr>
                <w:sz w:val="22"/>
                <w:szCs w:val="22"/>
              </w:rPr>
              <w:t>Leon Clement</w:t>
            </w:r>
          </w:p>
        </w:tc>
        <w:tc>
          <w:tcPr>
            <w:tcW w:w="3402" w:type="dxa"/>
            <w:noWrap/>
            <w:hideMark/>
          </w:tcPr>
          <w:p w14:paraId="3AEF18E6"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019B117D"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6578C9BA" w14:textId="77777777" w:rsidTr="007355DE">
        <w:trPr>
          <w:trHeight w:val="290"/>
        </w:trPr>
        <w:tc>
          <w:tcPr>
            <w:tcW w:w="2943" w:type="dxa"/>
            <w:noWrap/>
            <w:hideMark/>
          </w:tcPr>
          <w:p w14:paraId="50169AD9" w14:textId="77777777" w:rsidR="00AE7501" w:rsidRPr="00CA4697" w:rsidRDefault="00AE7501" w:rsidP="007355DE">
            <w:pPr>
              <w:contextualSpacing/>
              <w:jc w:val="center"/>
              <w:rPr>
                <w:sz w:val="22"/>
                <w:szCs w:val="22"/>
              </w:rPr>
            </w:pPr>
            <w:r w:rsidRPr="00CA4697">
              <w:rPr>
                <w:sz w:val="22"/>
                <w:szCs w:val="22"/>
              </w:rPr>
              <w:t>Martin Hinckley</w:t>
            </w:r>
          </w:p>
        </w:tc>
        <w:tc>
          <w:tcPr>
            <w:tcW w:w="3402" w:type="dxa"/>
            <w:noWrap/>
            <w:hideMark/>
          </w:tcPr>
          <w:p w14:paraId="0E3F697A" w14:textId="77777777" w:rsidR="00AE7501" w:rsidRPr="00CA4697" w:rsidRDefault="00AE7501" w:rsidP="007355DE">
            <w:pPr>
              <w:contextualSpacing/>
              <w:jc w:val="center"/>
              <w:rPr>
                <w:sz w:val="22"/>
                <w:szCs w:val="22"/>
              </w:rPr>
            </w:pPr>
            <w:r w:rsidRPr="00CA4697">
              <w:rPr>
                <w:sz w:val="22"/>
                <w:szCs w:val="22"/>
              </w:rPr>
              <w:t>Westminster</w:t>
            </w:r>
          </w:p>
        </w:tc>
        <w:tc>
          <w:tcPr>
            <w:tcW w:w="2977" w:type="dxa"/>
            <w:noWrap/>
            <w:hideMark/>
          </w:tcPr>
          <w:p w14:paraId="31BE1D5A"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1EBE1C2C" w14:textId="77777777" w:rsidTr="007355DE">
        <w:trPr>
          <w:trHeight w:val="290"/>
        </w:trPr>
        <w:tc>
          <w:tcPr>
            <w:tcW w:w="2943" w:type="dxa"/>
            <w:noWrap/>
            <w:hideMark/>
          </w:tcPr>
          <w:p w14:paraId="65DFE213" w14:textId="77777777" w:rsidR="00AE7501" w:rsidRPr="00CA4697" w:rsidRDefault="00AE7501" w:rsidP="007355DE">
            <w:pPr>
              <w:contextualSpacing/>
              <w:jc w:val="center"/>
              <w:rPr>
                <w:sz w:val="22"/>
                <w:szCs w:val="22"/>
              </w:rPr>
            </w:pPr>
            <w:r w:rsidRPr="00CA4697">
              <w:rPr>
                <w:sz w:val="22"/>
                <w:szCs w:val="22"/>
              </w:rPr>
              <w:t>Martin Hinkley</w:t>
            </w:r>
          </w:p>
        </w:tc>
        <w:tc>
          <w:tcPr>
            <w:tcW w:w="3402" w:type="dxa"/>
            <w:noWrap/>
            <w:hideMark/>
          </w:tcPr>
          <w:p w14:paraId="58F0D642" w14:textId="77777777" w:rsidR="00AE7501" w:rsidRPr="00CA4697" w:rsidRDefault="00AE7501" w:rsidP="007355DE">
            <w:pPr>
              <w:contextualSpacing/>
              <w:jc w:val="center"/>
              <w:rPr>
                <w:sz w:val="22"/>
                <w:szCs w:val="22"/>
              </w:rPr>
            </w:pPr>
            <w:r w:rsidRPr="00CA4697">
              <w:rPr>
                <w:sz w:val="22"/>
                <w:szCs w:val="22"/>
              </w:rPr>
              <w:t>Westminster</w:t>
            </w:r>
          </w:p>
        </w:tc>
        <w:tc>
          <w:tcPr>
            <w:tcW w:w="2977" w:type="dxa"/>
            <w:noWrap/>
            <w:hideMark/>
          </w:tcPr>
          <w:p w14:paraId="2A587646"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57B87A28" w14:textId="77777777" w:rsidTr="007355DE">
        <w:trPr>
          <w:trHeight w:val="290"/>
        </w:trPr>
        <w:tc>
          <w:tcPr>
            <w:tcW w:w="2943" w:type="dxa"/>
            <w:noWrap/>
            <w:hideMark/>
          </w:tcPr>
          <w:p w14:paraId="7E4B750F" w14:textId="77777777" w:rsidR="00AE7501" w:rsidRPr="00CA4697" w:rsidRDefault="00AE7501" w:rsidP="007355DE">
            <w:pPr>
              <w:contextualSpacing/>
              <w:jc w:val="center"/>
              <w:rPr>
                <w:sz w:val="22"/>
                <w:szCs w:val="22"/>
              </w:rPr>
            </w:pPr>
            <w:r w:rsidRPr="00CA4697">
              <w:rPr>
                <w:sz w:val="22"/>
                <w:szCs w:val="22"/>
              </w:rPr>
              <w:t>Martin Mitchell</w:t>
            </w:r>
          </w:p>
        </w:tc>
        <w:tc>
          <w:tcPr>
            <w:tcW w:w="3402" w:type="dxa"/>
            <w:noWrap/>
            <w:hideMark/>
          </w:tcPr>
          <w:p w14:paraId="2FD6BFAE" w14:textId="77777777" w:rsidR="00AE7501" w:rsidRPr="00CA4697" w:rsidRDefault="00AE7501" w:rsidP="007355DE">
            <w:pPr>
              <w:contextualSpacing/>
              <w:jc w:val="center"/>
              <w:rPr>
                <w:sz w:val="22"/>
                <w:szCs w:val="22"/>
              </w:rPr>
            </w:pPr>
            <w:r w:rsidRPr="00CA4697">
              <w:rPr>
                <w:sz w:val="22"/>
                <w:szCs w:val="22"/>
              </w:rPr>
              <w:t>London Council</w:t>
            </w:r>
          </w:p>
        </w:tc>
        <w:tc>
          <w:tcPr>
            <w:tcW w:w="2977" w:type="dxa"/>
            <w:noWrap/>
            <w:hideMark/>
          </w:tcPr>
          <w:p w14:paraId="5C843A2B"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4FD54C5C" w14:textId="77777777" w:rsidTr="007355DE">
        <w:trPr>
          <w:trHeight w:val="290"/>
        </w:trPr>
        <w:tc>
          <w:tcPr>
            <w:tcW w:w="2943" w:type="dxa"/>
            <w:noWrap/>
            <w:hideMark/>
          </w:tcPr>
          <w:p w14:paraId="5B333802" w14:textId="77777777" w:rsidR="00AE7501" w:rsidRPr="00CA4697" w:rsidRDefault="00AE7501" w:rsidP="007355DE">
            <w:pPr>
              <w:contextualSpacing/>
              <w:jc w:val="center"/>
              <w:rPr>
                <w:sz w:val="22"/>
                <w:szCs w:val="22"/>
              </w:rPr>
            </w:pPr>
            <w:r w:rsidRPr="00CA4697">
              <w:rPr>
                <w:sz w:val="22"/>
                <w:szCs w:val="22"/>
              </w:rPr>
              <w:t>Matthew Davis</w:t>
            </w:r>
          </w:p>
        </w:tc>
        <w:tc>
          <w:tcPr>
            <w:tcW w:w="3402" w:type="dxa"/>
            <w:noWrap/>
            <w:hideMark/>
          </w:tcPr>
          <w:p w14:paraId="56F878A5" w14:textId="77777777" w:rsidR="00AE7501" w:rsidRPr="00CA4697" w:rsidRDefault="00AE7501" w:rsidP="007355DE">
            <w:pPr>
              <w:contextualSpacing/>
              <w:jc w:val="center"/>
              <w:rPr>
                <w:sz w:val="22"/>
                <w:szCs w:val="22"/>
              </w:rPr>
            </w:pPr>
            <w:r w:rsidRPr="00CA4697">
              <w:rPr>
                <w:sz w:val="22"/>
                <w:szCs w:val="22"/>
              </w:rPr>
              <w:t>Reading</w:t>
            </w:r>
          </w:p>
        </w:tc>
        <w:tc>
          <w:tcPr>
            <w:tcW w:w="2977" w:type="dxa"/>
            <w:noWrap/>
            <w:hideMark/>
          </w:tcPr>
          <w:p w14:paraId="15393C91"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62DAE834" w14:textId="77777777" w:rsidTr="007355DE">
        <w:trPr>
          <w:trHeight w:val="290"/>
        </w:trPr>
        <w:tc>
          <w:tcPr>
            <w:tcW w:w="2943" w:type="dxa"/>
            <w:noWrap/>
            <w:hideMark/>
          </w:tcPr>
          <w:p w14:paraId="44DF3C6A" w14:textId="77777777" w:rsidR="00AE7501" w:rsidRPr="00CA4697" w:rsidRDefault="00AE7501" w:rsidP="007355DE">
            <w:pPr>
              <w:contextualSpacing/>
              <w:jc w:val="center"/>
              <w:rPr>
                <w:sz w:val="22"/>
                <w:szCs w:val="22"/>
              </w:rPr>
            </w:pPr>
            <w:r w:rsidRPr="00CA4697">
              <w:rPr>
                <w:sz w:val="22"/>
                <w:szCs w:val="22"/>
              </w:rPr>
              <w:t>Michael Furness</w:t>
            </w:r>
          </w:p>
        </w:tc>
        <w:tc>
          <w:tcPr>
            <w:tcW w:w="3402" w:type="dxa"/>
            <w:noWrap/>
            <w:hideMark/>
          </w:tcPr>
          <w:p w14:paraId="431D83ED" w14:textId="77777777" w:rsidR="00AE7501" w:rsidRPr="00CA4697" w:rsidRDefault="00AE7501" w:rsidP="007355DE">
            <w:pPr>
              <w:contextualSpacing/>
              <w:jc w:val="center"/>
              <w:rPr>
                <w:sz w:val="22"/>
                <w:szCs w:val="22"/>
              </w:rPr>
            </w:pPr>
            <w:r w:rsidRPr="00CA4697">
              <w:rPr>
                <w:sz w:val="22"/>
                <w:szCs w:val="22"/>
              </w:rPr>
              <w:t>Birmingham</w:t>
            </w:r>
          </w:p>
        </w:tc>
        <w:tc>
          <w:tcPr>
            <w:tcW w:w="2977" w:type="dxa"/>
            <w:noWrap/>
            <w:hideMark/>
          </w:tcPr>
          <w:p w14:paraId="5E5AF7A2"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1CF276D4" w14:textId="77777777" w:rsidTr="007355DE">
        <w:trPr>
          <w:trHeight w:val="290"/>
        </w:trPr>
        <w:tc>
          <w:tcPr>
            <w:tcW w:w="2943" w:type="dxa"/>
            <w:noWrap/>
            <w:hideMark/>
          </w:tcPr>
          <w:p w14:paraId="030AF161" w14:textId="77777777" w:rsidR="00AE7501" w:rsidRPr="00CA4697" w:rsidRDefault="00AE7501" w:rsidP="007355DE">
            <w:pPr>
              <w:contextualSpacing/>
              <w:jc w:val="center"/>
              <w:rPr>
                <w:sz w:val="22"/>
                <w:szCs w:val="22"/>
              </w:rPr>
            </w:pPr>
            <w:r w:rsidRPr="00CA4697">
              <w:rPr>
                <w:sz w:val="22"/>
                <w:szCs w:val="22"/>
              </w:rPr>
              <w:lastRenderedPageBreak/>
              <w:t>Mike Heiser</w:t>
            </w:r>
          </w:p>
        </w:tc>
        <w:tc>
          <w:tcPr>
            <w:tcW w:w="3402" w:type="dxa"/>
            <w:noWrap/>
            <w:hideMark/>
          </w:tcPr>
          <w:p w14:paraId="55DACB96" w14:textId="77777777" w:rsidR="00AE7501" w:rsidRPr="00CA4697" w:rsidRDefault="00AE7501" w:rsidP="007355DE">
            <w:pPr>
              <w:contextualSpacing/>
              <w:jc w:val="center"/>
              <w:rPr>
                <w:sz w:val="22"/>
                <w:szCs w:val="22"/>
              </w:rPr>
            </w:pPr>
            <w:r w:rsidRPr="00CA4697">
              <w:rPr>
                <w:sz w:val="22"/>
                <w:szCs w:val="22"/>
              </w:rPr>
              <w:t>LGA</w:t>
            </w:r>
          </w:p>
        </w:tc>
        <w:tc>
          <w:tcPr>
            <w:tcW w:w="2977" w:type="dxa"/>
            <w:noWrap/>
            <w:hideMark/>
          </w:tcPr>
          <w:p w14:paraId="45C11FEC"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6A117542" w14:textId="77777777" w:rsidTr="007355DE">
        <w:trPr>
          <w:trHeight w:val="290"/>
        </w:trPr>
        <w:tc>
          <w:tcPr>
            <w:tcW w:w="2943" w:type="dxa"/>
            <w:noWrap/>
            <w:hideMark/>
          </w:tcPr>
          <w:p w14:paraId="1CC5718B" w14:textId="77777777" w:rsidR="00AE7501" w:rsidRPr="00CA4697" w:rsidRDefault="00AE7501" w:rsidP="007355DE">
            <w:pPr>
              <w:contextualSpacing/>
              <w:jc w:val="center"/>
              <w:rPr>
                <w:sz w:val="22"/>
                <w:szCs w:val="22"/>
              </w:rPr>
            </w:pPr>
            <w:r w:rsidRPr="00CA4697">
              <w:rPr>
                <w:sz w:val="22"/>
                <w:szCs w:val="22"/>
              </w:rPr>
              <w:t>Nicola Morton</w:t>
            </w:r>
          </w:p>
        </w:tc>
        <w:tc>
          <w:tcPr>
            <w:tcW w:w="3402" w:type="dxa"/>
            <w:noWrap/>
            <w:hideMark/>
          </w:tcPr>
          <w:p w14:paraId="5DA1A2C2" w14:textId="77777777" w:rsidR="00AE7501" w:rsidRPr="00CA4697" w:rsidRDefault="00AE7501" w:rsidP="007355DE">
            <w:pPr>
              <w:contextualSpacing/>
              <w:jc w:val="center"/>
              <w:rPr>
                <w:sz w:val="22"/>
                <w:szCs w:val="22"/>
              </w:rPr>
            </w:pPr>
            <w:r w:rsidRPr="00CA4697">
              <w:rPr>
                <w:sz w:val="22"/>
                <w:szCs w:val="22"/>
              </w:rPr>
              <w:t>LGA</w:t>
            </w:r>
          </w:p>
        </w:tc>
        <w:tc>
          <w:tcPr>
            <w:tcW w:w="2977" w:type="dxa"/>
            <w:noWrap/>
            <w:hideMark/>
          </w:tcPr>
          <w:p w14:paraId="1CEDCE56"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61EC00FB" w14:textId="77777777" w:rsidTr="007355DE">
        <w:trPr>
          <w:trHeight w:val="290"/>
        </w:trPr>
        <w:tc>
          <w:tcPr>
            <w:tcW w:w="2943" w:type="dxa"/>
            <w:noWrap/>
            <w:hideMark/>
          </w:tcPr>
          <w:p w14:paraId="3ACC51C6" w14:textId="77777777" w:rsidR="00AE7501" w:rsidRPr="00CA4697" w:rsidRDefault="00AE7501" w:rsidP="007355DE">
            <w:pPr>
              <w:contextualSpacing/>
              <w:jc w:val="center"/>
              <w:rPr>
                <w:sz w:val="22"/>
                <w:szCs w:val="22"/>
              </w:rPr>
            </w:pPr>
            <w:r w:rsidRPr="00CA4697">
              <w:rPr>
                <w:sz w:val="22"/>
                <w:szCs w:val="22"/>
              </w:rPr>
              <w:t>Paul Honeyben</w:t>
            </w:r>
          </w:p>
        </w:tc>
        <w:tc>
          <w:tcPr>
            <w:tcW w:w="3402" w:type="dxa"/>
            <w:noWrap/>
            <w:hideMark/>
          </w:tcPr>
          <w:p w14:paraId="4B69E8E1" w14:textId="77777777" w:rsidR="00AE7501" w:rsidRPr="00CA4697" w:rsidRDefault="00AE7501" w:rsidP="007355DE">
            <w:pPr>
              <w:contextualSpacing/>
              <w:jc w:val="center"/>
              <w:rPr>
                <w:sz w:val="22"/>
                <w:szCs w:val="22"/>
              </w:rPr>
            </w:pPr>
            <w:r w:rsidRPr="00CA4697">
              <w:rPr>
                <w:sz w:val="22"/>
                <w:szCs w:val="22"/>
              </w:rPr>
              <w:t>London Council</w:t>
            </w:r>
          </w:p>
        </w:tc>
        <w:tc>
          <w:tcPr>
            <w:tcW w:w="2977" w:type="dxa"/>
            <w:noWrap/>
            <w:hideMark/>
          </w:tcPr>
          <w:p w14:paraId="3917D24F"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4411B918" w14:textId="77777777" w:rsidTr="007355DE">
        <w:trPr>
          <w:trHeight w:val="290"/>
        </w:trPr>
        <w:tc>
          <w:tcPr>
            <w:tcW w:w="2943" w:type="dxa"/>
            <w:noWrap/>
            <w:hideMark/>
          </w:tcPr>
          <w:p w14:paraId="35EE86AF" w14:textId="77777777" w:rsidR="00AE7501" w:rsidRPr="00CA4697" w:rsidRDefault="00AE7501" w:rsidP="007355DE">
            <w:pPr>
              <w:contextualSpacing/>
              <w:jc w:val="center"/>
              <w:rPr>
                <w:sz w:val="22"/>
                <w:szCs w:val="22"/>
              </w:rPr>
            </w:pPr>
            <w:r w:rsidRPr="00CA4697">
              <w:rPr>
                <w:sz w:val="22"/>
                <w:szCs w:val="22"/>
              </w:rPr>
              <w:t>Sanna Jenkins</w:t>
            </w:r>
          </w:p>
        </w:tc>
        <w:tc>
          <w:tcPr>
            <w:tcW w:w="3402" w:type="dxa"/>
            <w:noWrap/>
            <w:hideMark/>
          </w:tcPr>
          <w:p w14:paraId="1AB1B7D3"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2EE5E1BC"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1E09D7C6" w14:textId="77777777" w:rsidTr="007355DE">
        <w:trPr>
          <w:trHeight w:val="290"/>
        </w:trPr>
        <w:tc>
          <w:tcPr>
            <w:tcW w:w="2943" w:type="dxa"/>
            <w:noWrap/>
            <w:hideMark/>
          </w:tcPr>
          <w:p w14:paraId="76F6B8B7" w14:textId="77777777" w:rsidR="00AE7501" w:rsidRPr="00CA4697" w:rsidRDefault="00AE7501" w:rsidP="007355DE">
            <w:pPr>
              <w:contextualSpacing/>
              <w:jc w:val="center"/>
              <w:rPr>
                <w:sz w:val="22"/>
                <w:szCs w:val="22"/>
              </w:rPr>
            </w:pPr>
            <w:r w:rsidRPr="00CA4697">
              <w:rPr>
                <w:sz w:val="22"/>
                <w:szCs w:val="22"/>
              </w:rPr>
              <w:t>Stuart McKellar</w:t>
            </w:r>
          </w:p>
        </w:tc>
        <w:tc>
          <w:tcPr>
            <w:tcW w:w="3402" w:type="dxa"/>
            <w:noWrap/>
            <w:hideMark/>
          </w:tcPr>
          <w:p w14:paraId="72192D01" w14:textId="77777777" w:rsidR="00AE7501" w:rsidRPr="00CA4697" w:rsidRDefault="00AE7501" w:rsidP="007355DE">
            <w:pPr>
              <w:contextualSpacing/>
              <w:jc w:val="center"/>
              <w:rPr>
                <w:sz w:val="22"/>
                <w:szCs w:val="22"/>
              </w:rPr>
            </w:pPr>
            <w:r w:rsidRPr="00CA4697">
              <w:rPr>
                <w:sz w:val="22"/>
                <w:szCs w:val="22"/>
              </w:rPr>
              <w:t>Bracknell Forest</w:t>
            </w:r>
          </w:p>
        </w:tc>
        <w:tc>
          <w:tcPr>
            <w:tcW w:w="2977" w:type="dxa"/>
            <w:noWrap/>
            <w:hideMark/>
          </w:tcPr>
          <w:p w14:paraId="4AE06830"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5C70B6AC" w14:textId="77777777" w:rsidTr="007355DE">
        <w:trPr>
          <w:trHeight w:val="290"/>
        </w:trPr>
        <w:tc>
          <w:tcPr>
            <w:tcW w:w="2943" w:type="dxa"/>
            <w:noWrap/>
            <w:hideMark/>
          </w:tcPr>
          <w:p w14:paraId="7AA794B4" w14:textId="77777777" w:rsidR="00AE7501" w:rsidRPr="00CA4697" w:rsidRDefault="00AE7501" w:rsidP="007355DE">
            <w:pPr>
              <w:contextualSpacing/>
              <w:jc w:val="center"/>
              <w:rPr>
                <w:sz w:val="22"/>
                <w:szCs w:val="22"/>
              </w:rPr>
            </w:pPr>
            <w:r w:rsidRPr="00CA4697">
              <w:rPr>
                <w:sz w:val="22"/>
                <w:szCs w:val="22"/>
              </w:rPr>
              <w:t>Tahmina Adan</w:t>
            </w:r>
          </w:p>
        </w:tc>
        <w:tc>
          <w:tcPr>
            <w:tcW w:w="3402" w:type="dxa"/>
            <w:noWrap/>
            <w:hideMark/>
          </w:tcPr>
          <w:p w14:paraId="0A00AC10"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56D5A03A" w14:textId="77777777" w:rsidR="00AE7501" w:rsidRPr="00CA4697" w:rsidRDefault="00AE7501" w:rsidP="007355DE">
            <w:pPr>
              <w:contextualSpacing/>
              <w:jc w:val="center"/>
              <w:rPr>
                <w:sz w:val="22"/>
                <w:szCs w:val="22"/>
              </w:rPr>
            </w:pPr>
            <w:r w:rsidRPr="00CA4697">
              <w:rPr>
                <w:sz w:val="22"/>
                <w:szCs w:val="22"/>
              </w:rPr>
              <w:t>Dialled In</w:t>
            </w:r>
          </w:p>
        </w:tc>
      </w:tr>
      <w:tr w:rsidR="00AE7501" w:rsidRPr="00CA4697" w14:paraId="275D6A99" w14:textId="77777777" w:rsidTr="007355DE">
        <w:trPr>
          <w:trHeight w:val="290"/>
        </w:trPr>
        <w:tc>
          <w:tcPr>
            <w:tcW w:w="2943" w:type="dxa"/>
            <w:noWrap/>
            <w:hideMark/>
          </w:tcPr>
          <w:p w14:paraId="6B1CCA03" w14:textId="77777777" w:rsidR="00AE7501" w:rsidRPr="00CA4697" w:rsidRDefault="00AE7501" w:rsidP="007355DE">
            <w:pPr>
              <w:contextualSpacing/>
              <w:jc w:val="center"/>
              <w:rPr>
                <w:sz w:val="22"/>
                <w:szCs w:val="22"/>
              </w:rPr>
            </w:pPr>
            <w:r w:rsidRPr="00CA4697">
              <w:rPr>
                <w:sz w:val="22"/>
                <w:szCs w:val="22"/>
              </w:rPr>
              <w:t>Tom Kennett</w:t>
            </w:r>
          </w:p>
        </w:tc>
        <w:tc>
          <w:tcPr>
            <w:tcW w:w="3402" w:type="dxa"/>
            <w:noWrap/>
            <w:hideMark/>
          </w:tcPr>
          <w:p w14:paraId="4A7EB3A6"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79BECA22"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4B79ED70" w14:textId="77777777" w:rsidTr="007355DE">
        <w:trPr>
          <w:trHeight w:val="290"/>
        </w:trPr>
        <w:tc>
          <w:tcPr>
            <w:tcW w:w="2943" w:type="dxa"/>
            <w:noWrap/>
            <w:hideMark/>
          </w:tcPr>
          <w:p w14:paraId="45CF26F4" w14:textId="77777777" w:rsidR="00AE7501" w:rsidRPr="00CA4697" w:rsidRDefault="00AE7501" w:rsidP="007355DE">
            <w:pPr>
              <w:contextualSpacing/>
              <w:jc w:val="center"/>
              <w:rPr>
                <w:sz w:val="22"/>
                <w:szCs w:val="22"/>
              </w:rPr>
            </w:pPr>
            <w:r w:rsidRPr="00CA4697">
              <w:rPr>
                <w:sz w:val="22"/>
                <w:szCs w:val="22"/>
              </w:rPr>
              <w:t>Tracey Woods</w:t>
            </w:r>
          </w:p>
        </w:tc>
        <w:tc>
          <w:tcPr>
            <w:tcW w:w="3402" w:type="dxa"/>
            <w:noWrap/>
            <w:hideMark/>
          </w:tcPr>
          <w:p w14:paraId="37164166" w14:textId="77777777" w:rsidR="00AE7501" w:rsidRPr="00CA4697" w:rsidRDefault="00AE7501" w:rsidP="007355DE">
            <w:pPr>
              <w:contextualSpacing/>
              <w:jc w:val="center"/>
              <w:rPr>
                <w:sz w:val="22"/>
                <w:szCs w:val="22"/>
              </w:rPr>
            </w:pPr>
            <w:r w:rsidRPr="00CA4697">
              <w:rPr>
                <w:sz w:val="22"/>
                <w:szCs w:val="22"/>
              </w:rPr>
              <w:t>Suffolk</w:t>
            </w:r>
          </w:p>
        </w:tc>
        <w:tc>
          <w:tcPr>
            <w:tcW w:w="2977" w:type="dxa"/>
            <w:noWrap/>
            <w:hideMark/>
          </w:tcPr>
          <w:p w14:paraId="6BD7A8F7"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2D6ECEB7" w14:textId="77777777" w:rsidTr="007355DE">
        <w:trPr>
          <w:trHeight w:val="290"/>
        </w:trPr>
        <w:tc>
          <w:tcPr>
            <w:tcW w:w="2943" w:type="dxa"/>
            <w:noWrap/>
            <w:hideMark/>
          </w:tcPr>
          <w:p w14:paraId="1F96B622" w14:textId="77777777" w:rsidR="00AE7501" w:rsidRPr="00CA4697" w:rsidRDefault="00AE7501" w:rsidP="007355DE">
            <w:pPr>
              <w:contextualSpacing/>
              <w:jc w:val="center"/>
              <w:rPr>
                <w:sz w:val="22"/>
                <w:szCs w:val="22"/>
              </w:rPr>
            </w:pPr>
            <w:r w:rsidRPr="00CA4697">
              <w:rPr>
                <w:sz w:val="22"/>
                <w:szCs w:val="22"/>
              </w:rPr>
              <w:t>Valerie Viloria</w:t>
            </w:r>
          </w:p>
        </w:tc>
        <w:tc>
          <w:tcPr>
            <w:tcW w:w="3402" w:type="dxa"/>
            <w:noWrap/>
            <w:hideMark/>
          </w:tcPr>
          <w:p w14:paraId="73D60506" w14:textId="77777777" w:rsidR="00AE7501" w:rsidRPr="00CA4697" w:rsidRDefault="00AE7501" w:rsidP="007355DE">
            <w:pPr>
              <w:contextualSpacing/>
              <w:jc w:val="center"/>
              <w:rPr>
                <w:sz w:val="22"/>
                <w:szCs w:val="22"/>
              </w:rPr>
            </w:pPr>
            <w:r w:rsidRPr="00CA4697">
              <w:rPr>
                <w:sz w:val="22"/>
                <w:szCs w:val="22"/>
              </w:rPr>
              <w:t>MHCLG</w:t>
            </w:r>
          </w:p>
        </w:tc>
        <w:tc>
          <w:tcPr>
            <w:tcW w:w="2977" w:type="dxa"/>
            <w:noWrap/>
            <w:hideMark/>
          </w:tcPr>
          <w:p w14:paraId="748BACBD" w14:textId="77777777" w:rsidR="00AE7501" w:rsidRPr="00CA4697" w:rsidRDefault="00AE7501" w:rsidP="007355DE">
            <w:pPr>
              <w:contextualSpacing/>
              <w:jc w:val="center"/>
              <w:rPr>
                <w:sz w:val="22"/>
                <w:szCs w:val="22"/>
              </w:rPr>
            </w:pPr>
            <w:r w:rsidRPr="00CA4697">
              <w:rPr>
                <w:sz w:val="22"/>
                <w:szCs w:val="22"/>
              </w:rPr>
              <w:t>Present</w:t>
            </w:r>
          </w:p>
        </w:tc>
      </w:tr>
      <w:tr w:rsidR="00AE7501" w:rsidRPr="00CA4697" w14:paraId="4530BD97" w14:textId="77777777" w:rsidTr="007355DE">
        <w:trPr>
          <w:trHeight w:val="290"/>
        </w:trPr>
        <w:tc>
          <w:tcPr>
            <w:tcW w:w="2943" w:type="dxa"/>
            <w:noWrap/>
            <w:hideMark/>
          </w:tcPr>
          <w:p w14:paraId="0EFD064B" w14:textId="77777777" w:rsidR="00AE7501" w:rsidRPr="00CA4697" w:rsidRDefault="00AE7501" w:rsidP="007355DE">
            <w:pPr>
              <w:contextualSpacing/>
              <w:jc w:val="center"/>
              <w:rPr>
                <w:sz w:val="22"/>
                <w:szCs w:val="22"/>
              </w:rPr>
            </w:pPr>
            <w:r w:rsidRPr="00CA4697">
              <w:rPr>
                <w:sz w:val="22"/>
                <w:szCs w:val="22"/>
              </w:rPr>
              <w:t>Wayne Traynor</w:t>
            </w:r>
          </w:p>
        </w:tc>
        <w:tc>
          <w:tcPr>
            <w:tcW w:w="3402" w:type="dxa"/>
            <w:noWrap/>
            <w:hideMark/>
          </w:tcPr>
          <w:p w14:paraId="1BE72D7C" w14:textId="77777777" w:rsidR="00AE7501" w:rsidRPr="00CA4697" w:rsidRDefault="00AE7501" w:rsidP="007355DE">
            <w:pPr>
              <w:contextualSpacing/>
              <w:jc w:val="center"/>
              <w:rPr>
                <w:sz w:val="22"/>
                <w:szCs w:val="22"/>
              </w:rPr>
            </w:pPr>
            <w:r w:rsidRPr="00CA4697">
              <w:rPr>
                <w:sz w:val="22"/>
                <w:szCs w:val="22"/>
              </w:rPr>
              <w:t>St Helens</w:t>
            </w:r>
          </w:p>
        </w:tc>
        <w:tc>
          <w:tcPr>
            <w:tcW w:w="2977" w:type="dxa"/>
            <w:noWrap/>
            <w:hideMark/>
          </w:tcPr>
          <w:p w14:paraId="0EC8B768" w14:textId="77777777" w:rsidR="00AE7501" w:rsidRPr="00CA4697" w:rsidRDefault="00AE7501" w:rsidP="007355DE">
            <w:pPr>
              <w:contextualSpacing/>
              <w:jc w:val="center"/>
              <w:rPr>
                <w:sz w:val="22"/>
                <w:szCs w:val="22"/>
              </w:rPr>
            </w:pPr>
            <w:r w:rsidRPr="00CA4697">
              <w:rPr>
                <w:sz w:val="22"/>
                <w:szCs w:val="22"/>
              </w:rPr>
              <w:t>Present</w:t>
            </w:r>
          </w:p>
        </w:tc>
      </w:tr>
      <w:tr w:rsidR="00762C0C" w:rsidRPr="00CA4697" w14:paraId="780A08E4" w14:textId="77777777" w:rsidTr="007355DE">
        <w:trPr>
          <w:trHeight w:val="290"/>
        </w:trPr>
        <w:tc>
          <w:tcPr>
            <w:tcW w:w="2943" w:type="dxa"/>
            <w:noWrap/>
          </w:tcPr>
          <w:p w14:paraId="2D7DBCA1" w14:textId="77777777" w:rsidR="00762C0C" w:rsidRPr="00CA4697" w:rsidRDefault="00762C0C" w:rsidP="007355DE">
            <w:pPr>
              <w:contextualSpacing/>
              <w:jc w:val="center"/>
              <w:rPr>
                <w:sz w:val="22"/>
                <w:szCs w:val="22"/>
              </w:rPr>
            </w:pPr>
          </w:p>
        </w:tc>
        <w:tc>
          <w:tcPr>
            <w:tcW w:w="3402" w:type="dxa"/>
            <w:noWrap/>
          </w:tcPr>
          <w:p w14:paraId="4BBA31B9" w14:textId="77777777" w:rsidR="00762C0C" w:rsidRPr="00CA4697" w:rsidRDefault="00762C0C" w:rsidP="007355DE">
            <w:pPr>
              <w:contextualSpacing/>
              <w:jc w:val="center"/>
              <w:rPr>
                <w:sz w:val="22"/>
                <w:szCs w:val="22"/>
              </w:rPr>
            </w:pPr>
          </w:p>
        </w:tc>
        <w:tc>
          <w:tcPr>
            <w:tcW w:w="2977" w:type="dxa"/>
            <w:noWrap/>
          </w:tcPr>
          <w:p w14:paraId="411259C1" w14:textId="77777777" w:rsidR="00762C0C" w:rsidRPr="00CA4697" w:rsidRDefault="00762C0C" w:rsidP="007355DE">
            <w:pPr>
              <w:contextualSpacing/>
              <w:jc w:val="center"/>
              <w:rPr>
                <w:sz w:val="22"/>
                <w:szCs w:val="22"/>
              </w:rPr>
            </w:pPr>
          </w:p>
        </w:tc>
      </w:tr>
      <w:tr w:rsidR="00762C0C" w:rsidRPr="00CA4697" w14:paraId="477036BD" w14:textId="77777777" w:rsidTr="007355DE">
        <w:trPr>
          <w:trHeight w:val="290"/>
        </w:trPr>
        <w:tc>
          <w:tcPr>
            <w:tcW w:w="2943" w:type="dxa"/>
            <w:noWrap/>
            <w:hideMark/>
          </w:tcPr>
          <w:p w14:paraId="79E61528" w14:textId="0C87DAA0" w:rsidR="00762C0C" w:rsidRPr="00CA4697" w:rsidRDefault="00762C0C" w:rsidP="00762C0C">
            <w:pPr>
              <w:contextualSpacing/>
              <w:jc w:val="center"/>
              <w:rPr>
                <w:sz w:val="22"/>
                <w:szCs w:val="22"/>
              </w:rPr>
            </w:pPr>
            <w:r w:rsidRPr="00CA4697">
              <w:rPr>
                <w:sz w:val="22"/>
                <w:szCs w:val="22"/>
              </w:rPr>
              <w:t>Mark Barnett</w:t>
            </w:r>
          </w:p>
        </w:tc>
        <w:tc>
          <w:tcPr>
            <w:tcW w:w="3402" w:type="dxa"/>
            <w:noWrap/>
            <w:hideMark/>
          </w:tcPr>
          <w:p w14:paraId="0AC68E6E" w14:textId="52DAE764" w:rsidR="00762C0C" w:rsidRPr="00CA4697" w:rsidRDefault="00762C0C" w:rsidP="00762C0C">
            <w:pPr>
              <w:contextualSpacing/>
              <w:jc w:val="center"/>
              <w:rPr>
                <w:sz w:val="22"/>
                <w:szCs w:val="22"/>
              </w:rPr>
            </w:pPr>
            <w:r w:rsidRPr="00CA4697">
              <w:rPr>
                <w:sz w:val="22"/>
                <w:szCs w:val="22"/>
              </w:rPr>
              <w:t>MHCLG</w:t>
            </w:r>
          </w:p>
        </w:tc>
        <w:tc>
          <w:tcPr>
            <w:tcW w:w="2977" w:type="dxa"/>
            <w:noWrap/>
            <w:hideMark/>
          </w:tcPr>
          <w:p w14:paraId="7E52BED7" w14:textId="538BBC9E" w:rsidR="00762C0C" w:rsidRPr="00CA4697" w:rsidRDefault="00762C0C" w:rsidP="00762C0C">
            <w:pPr>
              <w:contextualSpacing/>
              <w:jc w:val="center"/>
              <w:rPr>
                <w:sz w:val="22"/>
                <w:szCs w:val="22"/>
              </w:rPr>
            </w:pPr>
            <w:r>
              <w:rPr>
                <w:sz w:val="22"/>
                <w:szCs w:val="22"/>
              </w:rPr>
              <w:t>Apologies</w:t>
            </w:r>
          </w:p>
        </w:tc>
      </w:tr>
      <w:tr w:rsidR="00762C0C" w:rsidRPr="00CA4697" w14:paraId="5E8C9E54" w14:textId="77777777" w:rsidTr="007355DE">
        <w:trPr>
          <w:trHeight w:val="290"/>
        </w:trPr>
        <w:tc>
          <w:tcPr>
            <w:tcW w:w="2943" w:type="dxa"/>
            <w:noWrap/>
            <w:hideMark/>
          </w:tcPr>
          <w:p w14:paraId="36F0DB95" w14:textId="77777777" w:rsidR="00762C0C" w:rsidRPr="00CA4697" w:rsidRDefault="00762C0C" w:rsidP="00762C0C">
            <w:pPr>
              <w:contextualSpacing/>
              <w:jc w:val="center"/>
              <w:rPr>
                <w:sz w:val="22"/>
                <w:szCs w:val="22"/>
              </w:rPr>
            </w:pPr>
            <w:r w:rsidRPr="00CA4697">
              <w:rPr>
                <w:sz w:val="22"/>
                <w:szCs w:val="22"/>
              </w:rPr>
              <w:t>Chris Blundell</w:t>
            </w:r>
          </w:p>
        </w:tc>
        <w:tc>
          <w:tcPr>
            <w:tcW w:w="3402" w:type="dxa"/>
            <w:noWrap/>
            <w:hideMark/>
          </w:tcPr>
          <w:p w14:paraId="5124C4AF" w14:textId="77777777" w:rsidR="00762C0C" w:rsidRPr="00CA4697" w:rsidRDefault="00762C0C" w:rsidP="00762C0C">
            <w:pPr>
              <w:contextualSpacing/>
              <w:jc w:val="center"/>
              <w:rPr>
                <w:sz w:val="22"/>
                <w:szCs w:val="22"/>
              </w:rPr>
            </w:pPr>
            <w:r w:rsidRPr="00CA4697">
              <w:rPr>
                <w:sz w:val="22"/>
                <w:szCs w:val="22"/>
              </w:rPr>
              <w:t>Thanet</w:t>
            </w:r>
          </w:p>
        </w:tc>
        <w:tc>
          <w:tcPr>
            <w:tcW w:w="2977" w:type="dxa"/>
            <w:noWrap/>
            <w:hideMark/>
          </w:tcPr>
          <w:p w14:paraId="0A9A5A73" w14:textId="77777777" w:rsidR="00762C0C" w:rsidRPr="00CA4697" w:rsidRDefault="00762C0C" w:rsidP="00762C0C">
            <w:pPr>
              <w:contextualSpacing/>
              <w:jc w:val="center"/>
              <w:rPr>
                <w:sz w:val="22"/>
                <w:szCs w:val="22"/>
              </w:rPr>
            </w:pPr>
            <w:r w:rsidRPr="00CA4697">
              <w:rPr>
                <w:sz w:val="22"/>
                <w:szCs w:val="22"/>
              </w:rPr>
              <w:t>Apologies</w:t>
            </w:r>
          </w:p>
        </w:tc>
      </w:tr>
      <w:tr w:rsidR="00762C0C" w:rsidRPr="00CA4697" w14:paraId="44244C60" w14:textId="77777777" w:rsidTr="007355DE">
        <w:trPr>
          <w:trHeight w:val="290"/>
        </w:trPr>
        <w:tc>
          <w:tcPr>
            <w:tcW w:w="2943" w:type="dxa"/>
            <w:noWrap/>
            <w:hideMark/>
          </w:tcPr>
          <w:p w14:paraId="53A2F154" w14:textId="77777777" w:rsidR="00762C0C" w:rsidRPr="00CA4697" w:rsidRDefault="00762C0C" w:rsidP="00762C0C">
            <w:pPr>
              <w:contextualSpacing/>
              <w:jc w:val="center"/>
              <w:rPr>
                <w:sz w:val="22"/>
                <w:szCs w:val="22"/>
              </w:rPr>
            </w:pPr>
            <w:r w:rsidRPr="00CA4697">
              <w:rPr>
                <w:sz w:val="22"/>
                <w:szCs w:val="22"/>
              </w:rPr>
              <w:t>Sharon Lay</w:t>
            </w:r>
          </w:p>
        </w:tc>
        <w:tc>
          <w:tcPr>
            <w:tcW w:w="3402" w:type="dxa"/>
            <w:noWrap/>
            <w:hideMark/>
          </w:tcPr>
          <w:p w14:paraId="2D11042D" w14:textId="77777777" w:rsidR="00762C0C" w:rsidRPr="00CA4697" w:rsidRDefault="00762C0C" w:rsidP="00762C0C">
            <w:pPr>
              <w:contextualSpacing/>
              <w:jc w:val="center"/>
              <w:rPr>
                <w:sz w:val="22"/>
                <w:szCs w:val="22"/>
              </w:rPr>
            </w:pPr>
            <w:r w:rsidRPr="00CA4697">
              <w:rPr>
                <w:sz w:val="22"/>
                <w:szCs w:val="22"/>
              </w:rPr>
              <w:t>VOA</w:t>
            </w:r>
          </w:p>
        </w:tc>
        <w:tc>
          <w:tcPr>
            <w:tcW w:w="2977" w:type="dxa"/>
            <w:noWrap/>
            <w:hideMark/>
          </w:tcPr>
          <w:p w14:paraId="00D9F1F7" w14:textId="77777777" w:rsidR="00762C0C" w:rsidRPr="00CA4697" w:rsidRDefault="00762C0C" w:rsidP="00762C0C">
            <w:pPr>
              <w:contextualSpacing/>
              <w:jc w:val="center"/>
              <w:rPr>
                <w:sz w:val="22"/>
                <w:szCs w:val="22"/>
              </w:rPr>
            </w:pPr>
            <w:r w:rsidRPr="00CA4697">
              <w:rPr>
                <w:sz w:val="22"/>
                <w:szCs w:val="22"/>
              </w:rPr>
              <w:t>Apologies</w:t>
            </w:r>
          </w:p>
        </w:tc>
      </w:tr>
      <w:tr w:rsidR="00762C0C" w:rsidRPr="00CA4697" w14:paraId="2D124D9C" w14:textId="77777777" w:rsidTr="007355DE">
        <w:trPr>
          <w:trHeight w:val="290"/>
        </w:trPr>
        <w:tc>
          <w:tcPr>
            <w:tcW w:w="2943" w:type="dxa"/>
            <w:noWrap/>
            <w:hideMark/>
          </w:tcPr>
          <w:p w14:paraId="3F92C8D5" w14:textId="77777777" w:rsidR="00762C0C" w:rsidRPr="00CA4697" w:rsidRDefault="00762C0C" w:rsidP="00762C0C">
            <w:pPr>
              <w:contextualSpacing/>
              <w:jc w:val="center"/>
              <w:rPr>
                <w:sz w:val="22"/>
                <w:szCs w:val="22"/>
              </w:rPr>
            </w:pPr>
            <w:r w:rsidRPr="00CA4697">
              <w:rPr>
                <w:sz w:val="22"/>
                <w:szCs w:val="22"/>
              </w:rPr>
              <w:t>Carolyn Williamson</w:t>
            </w:r>
          </w:p>
        </w:tc>
        <w:tc>
          <w:tcPr>
            <w:tcW w:w="3402" w:type="dxa"/>
            <w:noWrap/>
            <w:hideMark/>
          </w:tcPr>
          <w:p w14:paraId="7D2F5D08" w14:textId="77777777" w:rsidR="00762C0C" w:rsidRPr="00CA4697" w:rsidRDefault="00762C0C" w:rsidP="00762C0C">
            <w:pPr>
              <w:contextualSpacing/>
              <w:jc w:val="center"/>
              <w:rPr>
                <w:sz w:val="22"/>
                <w:szCs w:val="22"/>
              </w:rPr>
            </w:pPr>
            <w:r w:rsidRPr="00CA4697">
              <w:rPr>
                <w:sz w:val="22"/>
                <w:szCs w:val="22"/>
              </w:rPr>
              <w:t>SCT - ALATS</w:t>
            </w:r>
          </w:p>
        </w:tc>
        <w:tc>
          <w:tcPr>
            <w:tcW w:w="2977" w:type="dxa"/>
            <w:noWrap/>
            <w:hideMark/>
          </w:tcPr>
          <w:p w14:paraId="1D10EAF4" w14:textId="77777777" w:rsidR="00762C0C" w:rsidRPr="00CA4697" w:rsidRDefault="00762C0C" w:rsidP="00762C0C">
            <w:pPr>
              <w:contextualSpacing/>
              <w:jc w:val="center"/>
              <w:rPr>
                <w:sz w:val="22"/>
                <w:szCs w:val="22"/>
              </w:rPr>
            </w:pPr>
            <w:r w:rsidRPr="00CA4697">
              <w:rPr>
                <w:sz w:val="22"/>
                <w:szCs w:val="22"/>
              </w:rPr>
              <w:t>Apologies</w:t>
            </w:r>
          </w:p>
        </w:tc>
      </w:tr>
      <w:tr w:rsidR="00762C0C" w:rsidRPr="00CA4697" w14:paraId="0009C018" w14:textId="77777777" w:rsidTr="007355DE">
        <w:trPr>
          <w:trHeight w:val="290"/>
        </w:trPr>
        <w:tc>
          <w:tcPr>
            <w:tcW w:w="2943" w:type="dxa"/>
            <w:noWrap/>
            <w:hideMark/>
          </w:tcPr>
          <w:p w14:paraId="323831A4" w14:textId="77777777" w:rsidR="00762C0C" w:rsidRPr="00CA4697" w:rsidRDefault="00762C0C" w:rsidP="00762C0C">
            <w:pPr>
              <w:contextualSpacing/>
              <w:jc w:val="center"/>
              <w:rPr>
                <w:sz w:val="22"/>
                <w:szCs w:val="22"/>
              </w:rPr>
            </w:pPr>
            <w:r w:rsidRPr="00CA4697">
              <w:rPr>
                <w:sz w:val="22"/>
                <w:szCs w:val="22"/>
              </w:rPr>
              <w:t xml:space="preserve">James </w:t>
            </w:r>
            <w:proofErr w:type="spellStart"/>
            <w:r w:rsidRPr="00CA4697">
              <w:rPr>
                <w:sz w:val="22"/>
                <w:szCs w:val="22"/>
              </w:rPr>
              <w:t>Rossell</w:t>
            </w:r>
            <w:proofErr w:type="spellEnd"/>
          </w:p>
        </w:tc>
        <w:tc>
          <w:tcPr>
            <w:tcW w:w="3402" w:type="dxa"/>
            <w:noWrap/>
            <w:hideMark/>
          </w:tcPr>
          <w:p w14:paraId="30D51D7F" w14:textId="77777777" w:rsidR="00762C0C" w:rsidRPr="00CA4697" w:rsidRDefault="00762C0C" w:rsidP="00762C0C">
            <w:pPr>
              <w:contextualSpacing/>
              <w:jc w:val="center"/>
              <w:rPr>
                <w:sz w:val="22"/>
                <w:szCs w:val="22"/>
              </w:rPr>
            </w:pPr>
            <w:r w:rsidRPr="00CA4697">
              <w:rPr>
                <w:sz w:val="22"/>
                <w:szCs w:val="22"/>
              </w:rPr>
              <w:t>Leicestershire (SCT)</w:t>
            </w:r>
          </w:p>
        </w:tc>
        <w:tc>
          <w:tcPr>
            <w:tcW w:w="2977" w:type="dxa"/>
            <w:noWrap/>
            <w:hideMark/>
          </w:tcPr>
          <w:p w14:paraId="7AD95E76" w14:textId="77777777" w:rsidR="00762C0C" w:rsidRPr="00CA4697" w:rsidRDefault="00762C0C" w:rsidP="00762C0C">
            <w:pPr>
              <w:contextualSpacing/>
              <w:jc w:val="center"/>
              <w:rPr>
                <w:sz w:val="22"/>
                <w:szCs w:val="22"/>
              </w:rPr>
            </w:pPr>
            <w:r w:rsidRPr="00CA4697">
              <w:rPr>
                <w:sz w:val="22"/>
                <w:szCs w:val="22"/>
              </w:rPr>
              <w:t>Apologies</w:t>
            </w:r>
          </w:p>
        </w:tc>
      </w:tr>
    </w:tbl>
    <w:p w14:paraId="111B0980" w14:textId="77777777" w:rsidR="00AE7501" w:rsidRPr="00301054" w:rsidRDefault="00AE7501" w:rsidP="00AE7501">
      <w:pPr>
        <w:contextualSpacing/>
        <w:rPr>
          <w:b/>
          <w:color w:val="FF0000"/>
        </w:rPr>
      </w:pPr>
    </w:p>
    <w:p w14:paraId="5548307E" w14:textId="77777777" w:rsidR="00C863A0" w:rsidRDefault="00C863A0"/>
    <w:sectPr w:rsidR="00C863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43E0" w14:textId="77777777" w:rsidR="00102ED7" w:rsidRDefault="00092D23">
      <w:pPr>
        <w:spacing w:after="0" w:line="240" w:lineRule="auto"/>
      </w:pPr>
      <w:r>
        <w:separator/>
      </w:r>
    </w:p>
  </w:endnote>
  <w:endnote w:type="continuationSeparator" w:id="0">
    <w:p w14:paraId="05011AE6" w14:textId="77777777" w:rsidR="00102ED7" w:rsidRDefault="0009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A35B" w14:textId="77777777" w:rsidR="009615EE" w:rsidRDefault="00950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289083"/>
      <w:docPartObj>
        <w:docPartGallery w:val="Page Numbers (Bottom of Page)"/>
        <w:docPartUnique/>
      </w:docPartObj>
    </w:sdtPr>
    <w:sdtEndPr>
      <w:rPr>
        <w:noProof/>
      </w:rPr>
    </w:sdtEndPr>
    <w:sdtContent>
      <w:p w14:paraId="5893B6B5" w14:textId="77777777" w:rsidR="00DA302A" w:rsidRDefault="00AE750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5D52C0D" w14:textId="77777777" w:rsidR="00704637" w:rsidRDefault="00950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6587" w14:textId="77777777" w:rsidR="009615EE" w:rsidRDefault="0095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8FFF" w14:textId="77777777" w:rsidR="00102ED7" w:rsidRDefault="00092D23">
      <w:pPr>
        <w:spacing w:after="0" w:line="240" w:lineRule="auto"/>
      </w:pPr>
      <w:r>
        <w:separator/>
      </w:r>
    </w:p>
  </w:footnote>
  <w:footnote w:type="continuationSeparator" w:id="0">
    <w:p w14:paraId="66D18984" w14:textId="77777777" w:rsidR="00102ED7" w:rsidRDefault="0009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1622" w14:textId="77777777" w:rsidR="00977B3F" w:rsidRDefault="009509CB">
    <w:pPr>
      <w:pStyle w:val="Header"/>
    </w:pPr>
    <w:r>
      <w:rPr>
        <w:noProof/>
      </w:rPr>
      <w:pict w14:anchorId="366A6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49525" o:spid="_x0000_s1026" type="#_x0000_t136" style="position:absolute;margin-left:0;margin-top:0;width:603.55pt;height:32.6pt;rotation:315;z-index:-251656192;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8203" w14:textId="77777777" w:rsidR="00977B3F" w:rsidRDefault="009509CB">
    <w:pPr>
      <w:pStyle w:val="Header"/>
    </w:pPr>
    <w:r>
      <w:rPr>
        <w:noProof/>
      </w:rPr>
      <w:pict w14:anchorId="2BDFE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49526" o:spid="_x0000_s1027" type="#_x0000_t136" style="position:absolute;margin-left:0;margin-top:0;width:603.55pt;height:32.6pt;rotation:315;z-index:-251655168;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375F" w14:textId="77777777" w:rsidR="00977B3F" w:rsidRDefault="009509CB">
    <w:pPr>
      <w:pStyle w:val="Header"/>
    </w:pPr>
    <w:r>
      <w:rPr>
        <w:noProof/>
      </w:rPr>
      <w:pict w14:anchorId="481A2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49524" o:spid="_x0000_s1025" type="#_x0000_t136" style="position:absolute;margin-left:0;margin-top:0;width:603.55pt;height:32.6pt;rotation:315;z-index:-251658240;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AEF"/>
    <w:multiLevelType w:val="hybridMultilevel"/>
    <w:tmpl w:val="B3D80852"/>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6600420"/>
    <w:multiLevelType w:val="hybridMultilevel"/>
    <w:tmpl w:val="E13A2788"/>
    <w:lvl w:ilvl="0" w:tplc="9F8069F8">
      <w:start w:val="3"/>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561EC"/>
    <w:multiLevelType w:val="hybridMultilevel"/>
    <w:tmpl w:val="CFF6985A"/>
    <w:lvl w:ilvl="0" w:tplc="D542FDCA">
      <w:start w:val="1"/>
      <w:numFmt w:val="lowerLetter"/>
      <w:lvlText w:val="%1."/>
      <w:lvlJc w:val="left"/>
      <w:pPr>
        <w:ind w:left="1080" w:hanging="360"/>
      </w:pPr>
      <w:rPr>
        <w:rFonts w:eastAsiaTheme="minorHAns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D7E18"/>
    <w:multiLevelType w:val="hybridMultilevel"/>
    <w:tmpl w:val="3518335A"/>
    <w:lvl w:ilvl="0" w:tplc="41026F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1547C1"/>
    <w:multiLevelType w:val="hybridMultilevel"/>
    <w:tmpl w:val="10A00C78"/>
    <w:lvl w:ilvl="0" w:tplc="2D64C8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D25919"/>
    <w:multiLevelType w:val="hybridMultilevel"/>
    <w:tmpl w:val="11843992"/>
    <w:lvl w:ilvl="0" w:tplc="E1C4E18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124C76"/>
    <w:multiLevelType w:val="hybridMultilevel"/>
    <w:tmpl w:val="6F1E4FD2"/>
    <w:lvl w:ilvl="0" w:tplc="A2A2BC3A">
      <w:start w:val="1"/>
      <w:numFmt w:val="lowerRoman"/>
      <w:lvlText w:val="%1."/>
      <w:lvlJc w:val="righ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D232EB5"/>
    <w:multiLevelType w:val="hybridMultilevel"/>
    <w:tmpl w:val="1BF03C54"/>
    <w:lvl w:ilvl="0" w:tplc="5AF8442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AA55386"/>
    <w:multiLevelType w:val="hybridMultilevel"/>
    <w:tmpl w:val="D898CAD2"/>
    <w:lvl w:ilvl="0" w:tplc="55A27BB8">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E5F5871"/>
    <w:multiLevelType w:val="hybridMultilevel"/>
    <w:tmpl w:val="2F702384"/>
    <w:lvl w:ilvl="0" w:tplc="AB02DC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74439D"/>
    <w:multiLevelType w:val="hybridMultilevel"/>
    <w:tmpl w:val="21B206AA"/>
    <w:lvl w:ilvl="0" w:tplc="08090013">
      <w:start w:val="1"/>
      <w:numFmt w:val="upperRoman"/>
      <w:lvlText w:val="%1."/>
      <w:lvlJc w:val="right"/>
      <w:pPr>
        <w:ind w:left="720" w:hanging="360"/>
      </w:pPr>
    </w:lvl>
    <w:lvl w:ilvl="1" w:tplc="898AF64E">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1457" w:hanging="180"/>
      </w:pPr>
    </w:lvl>
    <w:lvl w:ilvl="3" w:tplc="0809000F">
      <w:start w:val="1"/>
      <w:numFmt w:val="decimal"/>
      <w:lvlText w:val="%4."/>
      <w:lvlJc w:val="left"/>
      <w:pPr>
        <w:ind w:left="2880" w:hanging="360"/>
      </w:pPr>
    </w:lvl>
    <w:lvl w:ilvl="4" w:tplc="FC446B7C">
      <w:start w:val="6"/>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029F0"/>
    <w:multiLevelType w:val="multilevel"/>
    <w:tmpl w:val="8D8A7B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8297030"/>
    <w:multiLevelType w:val="hybridMultilevel"/>
    <w:tmpl w:val="D1B0CECE"/>
    <w:lvl w:ilvl="0" w:tplc="D0086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F049C"/>
    <w:multiLevelType w:val="hybridMultilevel"/>
    <w:tmpl w:val="420E5EC0"/>
    <w:lvl w:ilvl="0" w:tplc="69DC861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C011EC"/>
    <w:multiLevelType w:val="hybridMultilevel"/>
    <w:tmpl w:val="1688B9FA"/>
    <w:lvl w:ilvl="0" w:tplc="F95860EE">
      <w:start w:val="2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21342C"/>
    <w:multiLevelType w:val="hybridMultilevel"/>
    <w:tmpl w:val="88269436"/>
    <w:lvl w:ilvl="0" w:tplc="944CC61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B6151D"/>
    <w:multiLevelType w:val="hybridMultilevel"/>
    <w:tmpl w:val="4594AA08"/>
    <w:lvl w:ilvl="0" w:tplc="DE9A7A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BDD2831"/>
    <w:multiLevelType w:val="hybridMultilevel"/>
    <w:tmpl w:val="E6828A0E"/>
    <w:lvl w:ilvl="0" w:tplc="9D289BE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4020D8"/>
    <w:multiLevelType w:val="hybridMultilevel"/>
    <w:tmpl w:val="0EECCC70"/>
    <w:lvl w:ilvl="0" w:tplc="A10CF24C">
      <w:start w:val="9"/>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11"/>
  </w:num>
  <w:num w:numId="2">
    <w:abstractNumId w:val="1"/>
  </w:num>
  <w:num w:numId="3">
    <w:abstractNumId w:val="14"/>
  </w:num>
  <w:num w:numId="4">
    <w:abstractNumId w:val="3"/>
  </w:num>
  <w:num w:numId="5">
    <w:abstractNumId w:val="9"/>
  </w:num>
  <w:num w:numId="6">
    <w:abstractNumId w:val="17"/>
  </w:num>
  <w:num w:numId="7">
    <w:abstractNumId w:val="8"/>
  </w:num>
  <w:num w:numId="8">
    <w:abstractNumId w:val="15"/>
  </w:num>
  <w:num w:numId="9">
    <w:abstractNumId w:val="12"/>
  </w:num>
  <w:num w:numId="10">
    <w:abstractNumId w:val="13"/>
  </w:num>
  <w:num w:numId="11">
    <w:abstractNumId w:val="16"/>
  </w:num>
  <w:num w:numId="12">
    <w:abstractNumId w:val="4"/>
  </w:num>
  <w:num w:numId="13">
    <w:abstractNumId w:val="7"/>
  </w:num>
  <w:num w:numId="14">
    <w:abstractNumId w:val="18"/>
  </w:num>
  <w:num w:numId="15">
    <w:abstractNumId w:val="10"/>
  </w:num>
  <w:num w:numId="16">
    <w:abstractNumId w:val="5"/>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01"/>
    <w:rsid w:val="00021BF5"/>
    <w:rsid w:val="00092D23"/>
    <w:rsid w:val="000A255A"/>
    <w:rsid w:val="00102ED7"/>
    <w:rsid w:val="00152DD4"/>
    <w:rsid w:val="0017637F"/>
    <w:rsid w:val="001A17B8"/>
    <w:rsid w:val="001C7CB9"/>
    <w:rsid w:val="002D3571"/>
    <w:rsid w:val="0030797A"/>
    <w:rsid w:val="003132BB"/>
    <w:rsid w:val="00313860"/>
    <w:rsid w:val="003454FA"/>
    <w:rsid w:val="00347731"/>
    <w:rsid w:val="003A23CA"/>
    <w:rsid w:val="003A7C68"/>
    <w:rsid w:val="003C4D80"/>
    <w:rsid w:val="003C6F92"/>
    <w:rsid w:val="003E7996"/>
    <w:rsid w:val="00482EB7"/>
    <w:rsid w:val="00497DD0"/>
    <w:rsid w:val="004D69AF"/>
    <w:rsid w:val="004E54AA"/>
    <w:rsid w:val="005C7654"/>
    <w:rsid w:val="00600E08"/>
    <w:rsid w:val="006344F7"/>
    <w:rsid w:val="006623B8"/>
    <w:rsid w:val="006B1C47"/>
    <w:rsid w:val="00705123"/>
    <w:rsid w:val="00762C0C"/>
    <w:rsid w:val="00785F37"/>
    <w:rsid w:val="007C585E"/>
    <w:rsid w:val="007D3315"/>
    <w:rsid w:val="007E7E62"/>
    <w:rsid w:val="007F1A83"/>
    <w:rsid w:val="00800DDA"/>
    <w:rsid w:val="00917BF5"/>
    <w:rsid w:val="009509CB"/>
    <w:rsid w:val="00973893"/>
    <w:rsid w:val="009E4CD9"/>
    <w:rsid w:val="009E7CD2"/>
    <w:rsid w:val="009F015F"/>
    <w:rsid w:val="00A75249"/>
    <w:rsid w:val="00A92BC6"/>
    <w:rsid w:val="00AA7122"/>
    <w:rsid w:val="00AC17BC"/>
    <w:rsid w:val="00AE7501"/>
    <w:rsid w:val="00B354EC"/>
    <w:rsid w:val="00B61B4E"/>
    <w:rsid w:val="00B6397B"/>
    <w:rsid w:val="00C52CE8"/>
    <w:rsid w:val="00C863A0"/>
    <w:rsid w:val="00C96FAE"/>
    <w:rsid w:val="00CD04C1"/>
    <w:rsid w:val="00CD3070"/>
    <w:rsid w:val="00D14DD3"/>
    <w:rsid w:val="00DE1846"/>
    <w:rsid w:val="00E32414"/>
    <w:rsid w:val="00E4293A"/>
    <w:rsid w:val="00E856BF"/>
    <w:rsid w:val="00F859DB"/>
    <w:rsid w:val="00F9011A"/>
    <w:rsid w:val="00FE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465B"/>
  <w15:chartTrackingRefBased/>
  <w15:docId w15:val="{DDB2730C-5394-4ECD-93C2-A2BAA2F8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01"/>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01"/>
    <w:rPr>
      <w:rFonts w:ascii="Arial" w:hAnsi="Arial" w:cs="Arial"/>
      <w:sz w:val="24"/>
      <w:szCs w:val="24"/>
    </w:rPr>
  </w:style>
  <w:style w:type="paragraph" w:styleId="Footer">
    <w:name w:val="footer"/>
    <w:basedOn w:val="Normal"/>
    <w:link w:val="FooterChar"/>
    <w:uiPriority w:val="99"/>
    <w:unhideWhenUsed/>
    <w:rsid w:val="00AE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01"/>
    <w:rPr>
      <w:rFonts w:ascii="Arial" w:hAnsi="Arial" w:cs="Arial"/>
      <w:sz w:val="24"/>
      <w:szCs w:val="24"/>
    </w:rPr>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AE7501"/>
    <w:pPr>
      <w:ind w:left="720"/>
      <w:contextualSpacing/>
    </w:pPr>
  </w:style>
  <w:style w:type="table" w:styleId="TableGrid">
    <w:name w:val="Table Grid"/>
    <w:basedOn w:val="TableNormal"/>
    <w:uiPriority w:val="59"/>
    <w:rsid w:val="00AE750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7501"/>
    <w:rPr>
      <w:sz w:val="16"/>
      <w:szCs w:val="16"/>
    </w:rPr>
  </w:style>
  <w:style w:type="paragraph" w:styleId="CommentText">
    <w:name w:val="annotation text"/>
    <w:basedOn w:val="Normal"/>
    <w:link w:val="CommentTextChar"/>
    <w:uiPriority w:val="99"/>
    <w:semiHidden/>
    <w:unhideWhenUsed/>
    <w:rsid w:val="00AE7501"/>
    <w:pPr>
      <w:spacing w:line="240" w:lineRule="auto"/>
    </w:pPr>
    <w:rPr>
      <w:sz w:val="20"/>
      <w:szCs w:val="20"/>
    </w:rPr>
  </w:style>
  <w:style w:type="character" w:customStyle="1" w:styleId="CommentTextChar">
    <w:name w:val="Comment Text Char"/>
    <w:basedOn w:val="DefaultParagraphFont"/>
    <w:link w:val="CommentText"/>
    <w:uiPriority w:val="99"/>
    <w:semiHidden/>
    <w:rsid w:val="00AE7501"/>
    <w:rPr>
      <w:rFonts w:ascii="Arial" w:hAnsi="Arial" w:cs="Arial"/>
      <w:sz w:val="20"/>
      <w:szCs w:val="20"/>
    </w:rPr>
  </w:style>
  <w:style w:type="paragraph" w:styleId="BalloonText">
    <w:name w:val="Balloon Text"/>
    <w:basedOn w:val="Normal"/>
    <w:link w:val="BalloonTextChar"/>
    <w:uiPriority w:val="99"/>
    <w:semiHidden/>
    <w:unhideWhenUsed/>
    <w:rsid w:val="00AE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501"/>
    <w:rPr>
      <w:rFonts w:ascii="Segoe UI" w:hAnsi="Segoe UI" w:cs="Segoe UI"/>
      <w:sz w:val="18"/>
      <w:szCs w:val="18"/>
    </w:rPr>
  </w:style>
  <w:style w:type="paragraph" w:styleId="Revision">
    <w:name w:val="Revision"/>
    <w:hidden/>
    <w:uiPriority w:val="99"/>
    <w:semiHidden/>
    <w:rsid w:val="00AE7501"/>
    <w:pPr>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AE7501"/>
    <w:rPr>
      <w:b/>
      <w:bCs/>
    </w:rPr>
  </w:style>
  <w:style w:type="character" w:customStyle="1" w:styleId="CommentSubjectChar">
    <w:name w:val="Comment Subject Char"/>
    <w:basedOn w:val="CommentTextChar"/>
    <w:link w:val="CommentSubject"/>
    <w:uiPriority w:val="99"/>
    <w:semiHidden/>
    <w:rsid w:val="00AE750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1F35-4500-48BF-8993-C7662F40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MHCLG</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Kennett</dc:creator>
  <cp:keywords/>
  <dc:description/>
  <cp:lastModifiedBy>Joe Murray</cp:lastModifiedBy>
  <cp:revision>2</cp:revision>
  <dcterms:created xsi:type="dcterms:W3CDTF">2019-06-19T16:10:00Z</dcterms:created>
  <dcterms:modified xsi:type="dcterms:W3CDTF">2019-06-19T16:10:00Z</dcterms:modified>
</cp:coreProperties>
</file>