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68" w:rsidRDefault="00413168" w:rsidP="00413168">
      <w:pPr>
        <w:pBdr>
          <w:bottom w:val="single" w:sz="12" w:space="1" w:color="auto"/>
        </w:pBdr>
        <w:rPr>
          <w:rFonts w:ascii="Arial" w:hAnsi="Arial" w:cs="Arial"/>
          <w:b/>
          <w:sz w:val="24"/>
          <w:szCs w:val="24"/>
        </w:rPr>
      </w:pPr>
    </w:p>
    <w:p w:rsidR="00413168" w:rsidRDefault="00413168" w:rsidP="00413168">
      <w:pPr>
        <w:pBdr>
          <w:bottom w:val="single" w:sz="12" w:space="1" w:color="auto"/>
        </w:pBdr>
        <w:rPr>
          <w:rFonts w:ascii="Arial" w:hAnsi="Arial" w:cs="Arial"/>
          <w:b/>
          <w:sz w:val="24"/>
          <w:szCs w:val="24"/>
        </w:rPr>
      </w:pPr>
    </w:p>
    <w:p w:rsidR="00413168" w:rsidRPr="00413168" w:rsidRDefault="00413168" w:rsidP="00413168">
      <w:pPr>
        <w:pBdr>
          <w:bottom w:val="single" w:sz="12" w:space="1" w:color="auto"/>
        </w:pBdr>
        <w:rPr>
          <w:rFonts w:ascii="Arial" w:hAnsi="Arial" w:cs="Arial"/>
          <w:b/>
          <w:sz w:val="24"/>
          <w:szCs w:val="24"/>
        </w:rPr>
      </w:pPr>
    </w:p>
    <w:p w:rsidR="00413168" w:rsidRPr="00413168" w:rsidRDefault="00413168" w:rsidP="00413168">
      <w:pPr>
        <w:spacing w:line="240" w:lineRule="auto"/>
        <w:rPr>
          <w:rFonts w:ascii="Arial" w:hAnsi="Arial" w:cs="Arial"/>
          <w:sz w:val="24"/>
          <w:szCs w:val="24"/>
        </w:rPr>
      </w:pPr>
    </w:p>
    <w:p w:rsidR="00413168" w:rsidRPr="00413168" w:rsidRDefault="00413168" w:rsidP="00413168">
      <w:pPr>
        <w:spacing w:line="240" w:lineRule="auto"/>
        <w:rPr>
          <w:rFonts w:ascii="Arial" w:hAnsi="Arial" w:cs="Arial"/>
          <w:color w:val="FF0000"/>
          <w:sz w:val="24"/>
          <w:szCs w:val="24"/>
        </w:rPr>
      </w:pPr>
      <w:r w:rsidRPr="00413168">
        <w:rPr>
          <w:rFonts w:ascii="Arial" w:hAnsi="Arial" w:cs="Arial"/>
          <w:sz w:val="24"/>
          <w:szCs w:val="24"/>
        </w:rPr>
        <w:t xml:space="preserve">Title:  </w:t>
      </w:r>
      <w:r w:rsidRPr="00413168">
        <w:rPr>
          <w:rFonts w:ascii="Arial" w:hAnsi="Arial" w:cs="Arial"/>
          <w:sz w:val="24"/>
          <w:szCs w:val="24"/>
        </w:rPr>
        <w:tab/>
      </w:r>
      <w:r w:rsidRPr="00413168">
        <w:rPr>
          <w:rFonts w:ascii="Arial" w:hAnsi="Arial" w:cs="Arial"/>
          <w:sz w:val="24"/>
          <w:szCs w:val="24"/>
        </w:rPr>
        <w:tab/>
      </w:r>
      <w:r w:rsidRPr="00413168">
        <w:rPr>
          <w:rFonts w:ascii="Arial" w:hAnsi="Arial" w:cs="Arial"/>
          <w:b/>
          <w:sz w:val="24"/>
          <w:szCs w:val="24"/>
        </w:rPr>
        <w:t>Needs &amp; Redistribution Technical Working Group</w:t>
      </w:r>
    </w:p>
    <w:p w:rsidR="00413168" w:rsidRPr="00413168" w:rsidRDefault="00413168" w:rsidP="00413168">
      <w:pPr>
        <w:spacing w:line="240" w:lineRule="auto"/>
        <w:rPr>
          <w:rFonts w:ascii="Arial" w:hAnsi="Arial" w:cs="Arial"/>
          <w:sz w:val="24"/>
          <w:szCs w:val="24"/>
        </w:rPr>
      </w:pPr>
    </w:p>
    <w:p w:rsidR="00413168" w:rsidRPr="00413168" w:rsidRDefault="00413168" w:rsidP="00413168">
      <w:pPr>
        <w:ind w:left="1440" w:hanging="1440"/>
        <w:rPr>
          <w:rFonts w:ascii="Arial" w:hAnsi="Arial" w:cs="Arial"/>
          <w:b/>
          <w:sz w:val="24"/>
          <w:szCs w:val="24"/>
        </w:rPr>
      </w:pPr>
      <w:r w:rsidRPr="00413168">
        <w:rPr>
          <w:rFonts w:ascii="Arial" w:hAnsi="Arial" w:cs="Arial"/>
          <w:sz w:val="24"/>
          <w:szCs w:val="24"/>
        </w:rPr>
        <w:t>Paper:</w:t>
      </w:r>
      <w:r w:rsidRPr="00413168">
        <w:rPr>
          <w:rFonts w:ascii="Arial" w:hAnsi="Arial" w:cs="Arial"/>
          <w:sz w:val="24"/>
          <w:szCs w:val="24"/>
        </w:rPr>
        <w:tab/>
        <w:t>NR TWG 17-</w:t>
      </w:r>
      <w:r>
        <w:rPr>
          <w:rFonts w:ascii="Arial" w:hAnsi="Arial" w:cs="Arial"/>
          <w:sz w:val="24"/>
          <w:szCs w:val="24"/>
        </w:rPr>
        <w:t>09</w:t>
      </w:r>
      <w:r w:rsidRPr="00413168">
        <w:rPr>
          <w:rFonts w:ascii="Arial" w:hAnsi="Arial" w:cs="Arial"/>
          <w:sz w:val="24"/>
          <w:szCs w:val="24"/>
        </w:rPr>
        <w:t xml:space="preserve"> Discussion paper regarding the approach to Local Council Tax Support in the Fair Funding Review by </w:t>
      </w:r>
      <w:r>
        <w:rPr>
          <w:rFonts w:ascii="Arial" w:hAnsi="Arial" w:cs="Arial"/>
          <w:sz w:val="24"/>
          <w:szCs w:val="24"/>
        </w:rPr>
        <w:t xml:space="preserve">the </w:t>
      </w:r>
      <w:r w:rsidRPr="00413168">
        <w:rPr>
          <w:rFonts w:ascii="Arial" w:hAnsi="Arial" w:cs="Arial"/>
          <w:sz w:val="24"/>
          <w:szCs w:val="24"/>
        </w:rPr>
        <w:t>Special Interest Group of Municipal Authoritie</w:t>
      </w:r>
      <w:r>
        <w:rPr>
          <w:rFonts w:ascii="Arial" w:hAnsi="Arial" w:cs="Arial"/>
          <w:sz w:val="24"/>
          <w:szCs w:val="24"/>
        </w:rPr>
        <w:t>s (SIGOMA)</w:t>
      </w:r>
    </w:p>
    <w:p w:rsidR="00413168" w:rsidRPr="00413168" w:rsidRDefault="00413168" w:rsidP="00413168">
      <w:pPr>
        <w:spacing w:line="240" w:lineRule="auto"/>
        <w:rPr>
          <w:rFonts w:ascii="Arial" w:hAnsi="Arial" w:cs="Arial"/>
          <w:sz w:val="24"/>
          <w:szCs w:val="24"/>
        </w:rPr>
      </w:pPr>
    </w:p>
    <w:p w:rsidR="00413168" w:rsidRPr="00413168" w:rsidRDefault="00413168" w:rsidP="00413168">
      <w:pPr>
        <w:spacing w:line="240" w:lineRule="auto"/>
        <w:rPr>
          <w:rFonts w:ascii="Arial" w:hAnsi="Arial" w:cs="Arial"/>
          <w:b/>
          <w:sz w:val="24"/>
          <w:szCs w:val="24"/>
        </w:rPr>
      </w:pPr>
      <w:r w:rsidRPr="00413168">
        <w:rPr>
          <w:rFonts w:ascii="Arial" w:hAnsi="Arial" w:cs="Arial"/>
          <w:sz w:val="24"/>
          <w:szCs w:val="24"/>
        </w:rPr>
        <w:t xml:space="preserve">Date: </w:t>
      </w:r>
      <w:r w:rsidRPr="00413168">
        <w:rPr>
          <w:rFonts w:ascii="Arial" w:hAnsi="Arial" w:cs="Arial"/>
          <w:sz w:val="24"/>
          <w:szCs w:val="24"/>
        </w:rPr>
        <w:tab/>
      </w:r>
      <w:r w:rsidRPr="00413168">
        <w:rPr>
          <w:rFonts w:ascii="Arial" w:hAnsi="Arial" w:cs="Arial"/>
          <w:sz w:val="24"/>
          <w:szCs w:val="24"/>
        </w:rPr>
        <w:tab/>
        <w:t>16 November 2017</w:t>
      </w:r>
    </w:p>
    <w:p w:rsidR="00413168" w:rsidRPr="00413168" w:rsidRDefault="00413168" w:rsidP="00413168">
      <w:pPr>
        <w:spacing w:line="240" w:lineRule="auto"/>
        <w:rPr>
          <w:rFonts w:ascii="Arial" w:hAnsi="Arial" w:cs="Arial"/>
          <w:color w:val="FF0000"/>
          <w:sz w:val="24"/>
          <w:szCs w:val="24"/>
        </w:rPr>
      </w:pPr>
    </w:p>
    <w:p w:rsidR="00413168" w:rsidRPr="00413168" w:rsidRDefault="00413168" w:rsidP="00413168">
      <w:pPr>
        <w:pBdr>
          <w:bottom w:val="single" w:sz="12" w:space="1" w:color="auto"/>
        </w:pBdr>
        <w:spacing w:line="240" w:lineRule="auto"/>
        <w:ind w:left="1440" w:hanging="1440"/>
        <w:rPr>
          <w:rFonts w:ascii="Arial" w:hAnsi="Arial" w:cs="Arial"/>
          <w:b/>
          <w:sz w:val="24"/>
          <w:szCs w:val="24"/>
        </w:rPr>
      </w:pPr>
      <w:r w:rsidRPr="00413168">
        <w:rPr>
          <w:rFonts w:ascii="Arial" w:hAnsi="Arial" w:cs="Arial"/>
          <w:sz w:val="24"/>
          <w:szCs w:val="24"/>
        </w:rPr>
        <w:t xml:space="preserve">Venue: </w:t>
      </w:r>
      <w:r w:rsidRPr="00413168">
        <w:rPr>
          <w:rFonts w:ascii="Arial" w:hAnsi="Arial" w:cs="Arial"/>
          <w:sz w:val="24"/>
          <w:szCs w:val="24"/>
        </w:rPr>
        <w:tab/>
        <w:t>Southwark Council</w:t>
      </w:r>
    </w:p>
    <w:p w:rsidR="00413168" w:rsidRPr="00413168" w:rsidRDefault="00413168" w:rsidP="00413168">
      <w:pPr>
        <w:pBdr>
          <w:bottom w:val="single" w:sz="12" w:space="1" w:color="auto"/>
        </w:pBdr>
        <w:spacing w:line="240" w:lineRule="auto"/>
        <w:ind w:left="1440" w:hanging="1440"/>
        <w:rPr>
          <w:rFonts w:ascii="Arial" w:hAnsi="Arial" w:cs="Arial"/>
          <w:b/>
          <w:sz w:val="24"/>
          <w:szCs w:val="24"/>
        </w:rPr>
      </w:pPr>
    </w:p>
    <w:p w:rsidR="005760BA" w:rsidRDefault="005760BA">
      <w:pPr>
        <w:rPr>
          <w:rFonts w:ascii="Arial" w:hAnsi="Arial" w:cs="Arial"/>
          <w:sz w:val="28"/>
          <w:szCs w:val="28"/>
        </w:rPr>
      </w:pPr>
    </w:p>
    <w:p w:rsidR="00413168" w:rsidRPr="005760BA" w:rsidRDefault="00413168">
      <w:pPr>
        <w:rPr>
          <w:rFonts w:ascii="Arial" w:hAnsi="Arial" w:cs="Arial"/>
          <w:sz w:val="28"/>
          <w:szCs w:val="28"/>
        </w:rPr>
      </w:pPr>
      <w:bookmarkStart w:id="0" w:name="_GoBack"/>
      <w:bookmarkEnd w:id="0"/>
    </w:p>
    <w:p w:rsidR="005760BA" w:rsidRPr="007A5654" w:rsidRDefault="005760BA" w:rsidP="007A5654">
      <w:pPr>
        <w:pStyle w:val="ListParagraph"/>
        <w:numPr>
          <w:ilvl w:val="0"/>
          <w:numId w:val="2"/>
        </w:numPr>
        <w:rPr>
          <w:rFonts w:ascii="Arial" w:hAnsi="Arial" w:cs="Arial"/>
          <w:b/>
          <w:sz w:val="28"/>
          <w:szCs w:val="28"/>
          <w:u w:val="single"/>
        </w:rPr>
      </w:pPr>
      <w:r w:rsidRPr="007A5654">
        <w:rPr>
          <w:rFonts w:ascii="Arial" w:hAnsi="Arial" w:cs="Arial"/>
          <w:b/>
          <w:sz w:val="28"/>
          <w:szCs w:val="28"/>
          <w:u w:val="single"/>
        </w:rPr>
        <w:t>Background</w:t>
      </w:r>
    </w:p>
    <w:p w:rsidR="009D383A" w:rsidRDefault="009D383A">
      <w:pPr>
        <w:rPr>
          <w:rFonts w:ascii="Arial" w:hAnsi="Arial" w:cs="Arial"/>
        </w:rPr>
      </w:pPr>
    </w:p>
    <w:p w:rsidR="009D383A" w:rsidRPr="007A5654" w:rsidRDefault="00007598" w:rsidP="00DB6C1C">
      <w:pPr>
        <w:pStyle w:val="ListParagraph"/>
        <w:numPr>
          <w:ilvl w:val="1"/>
          <w:numId w:val="2"/>
        </w:numPr>
        <w:ind w:left="426"/>
        <w:rPr>
          <w:rFonts w:ascii="Arial" w:hAnsi="Arial" w:cs="Arial"/>
        </w:rPr>
      </w:pPr>
      <w:r w:rsidRPr="007A5654">
        <w:rPr>
          <w:rFonts w:ascii="Arial" w:hAnsi="Arial" w:cs="Arial"/>
        </w:rPr>
        <w:t xml:space="preserve">As central funding diminishes Council Tax is becoming an increasingly important element of funding. </w:t>
      </w:r>
      <w:r w:rsidR="009D383A" w:rsidRPr="007A5654">
        <w:rPr>
          <w:rFonts w:ascii="Arial" w:hAnsi="Arial" w:cs="Arial"/>
        </w:rPr>
        <w:t xml:space="preserve">This is true of every authority but the following </w:t>
      </w:r>
      <w:r w:rsidR="00C044B0" w:rsidRPr="007A5654">
        <w:rPr>
          <w:rFonts w:ascii="Arial" w:hAnsi="Arial" w:cs="Arial"/>
        </w:rPr>
        <w:t xml:space="preserve">chart </w:t>
      </w:r>
      <w:r w:rsidR="009D383A" w:rsidRPr="007A5654">
        <w:rPr>
          <w:rFonts w:ascii="Arial" w:hAnsi="Arial" w:cs="Arial"/>
        </w:rPr>
        <w:t>may help to illustrate why the members we represent are concerned at the prospect of a trend in this direction without any balancing adjustment.</w:t>
      </w:r>
    </w:p>
    <w:p w:rsidR="009D383A" w:rsidRPr="007A5654" w:rsidRDefault="009D383A" w:rsidP="00DB6C1C">
      <w:pPr>
        <w:ind w:left="426"/>
        <w:rPr>
          <w:rFonts w:ascii="Arial" w:hAnsi="Arial" w:cs="Arial"/>
        </w:rPr>
      </w:pPr>
    </w:p>
    <w:p w:rsidR="009D383A" w:rsidRPr="007A5654" w:rsidRDefault="00C044B0" w:rsidP="00DB6C1C">
      <w:pPr>
        <w:pStyle w:val="ListParagraph"/>
        <w:ind w:left="426"/>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564A4891" wp14:editId="7ACEB5D8">
                <wp:simplePos x="0" y="0"/>
                <wp:positionH relativeFrom="column">
                  <wp:posOffset>3527946</wp:posOffset>
                </wp:positionH>
                <wp:positionV relativeFrom="paragraph">
                  <wp:posOffset>100377</wp:posOffset>
                </wp:positionV>
                <wp:extent cx="3063544" cy="2019480"/>
                <wp:effectExtent l="0" t="0" r="22860" b="19050"/>
                <wp:wrapNone/>
                <wp:docPr id="4" name="Rectangle 4"/>
                <wp:cNvGraphicFramePr/>
                <a:graphic xmlns:a="http://schemas.openxmlformats.org/drawingml/2006/main">
                  <a:graphicData uri="http://schemas.microsoft.com/office/word/2010/wordprocessingShape">
                    <wps:wsp>
                      <wps:cNvSpPr/>
                      <wps:spPr>
                        <a:xfrm>
                          <a:off x="0" y="0"/>
                          <a:ext cx="3063544" cy="2019480"/>
                        </a:xfrm>
                        <a:prstGeom prst="rect">
                          <a:avLst/>
                        </a:prstGeom>
                      </wps:spPr>
                      <wps:style>
                        <a:lnRef idx="2">
                          <a:schemeClr val="accent1"/>
                        </a:lnRef>
                        <a:fillRef idx="1">
                          <a:schemeClr val="lt1"/>
                        </a:fillRef>
                        <a:effectRef idx="0">
                          <a:schemeClr val="accent1"/>
                        </a:effectRef>
                        <a:fontRef idx="minor">
                          <a:schemeClr val="dk1"/>
                        </a:fontRef>
                      </wps:style>
                      <wps:txbx>
                        <w:txbxContent>
                          <w:p w:rsidR="00C044B0" w:rsidRPr="00C044B0" w:rsidRDefault="00C044B0" w:rsidP="00C044B0">
                            <w:pPr>
                              <w:jc w:val="center"/>
                              <w:rPr>
                                <w:b/>
                                <w:color w:val="548DD4" w:themeColor="text2" w:themeTint="99"/>
                              </w:rPr>
                            </w:pPr>
                            <w:r w:rsidRPr="00C044B0">
                              <w:rPr>
                                <w:b/>
                                <w:color w:val="548DD4" w:themeColor="text2" w:themeTint="99"/>
                              </w:rPr>
                              <w:t>In 2013 -14 Council Tax of £20,637 million represented 43% of overall local authority funding. The proportion at individual authority level varied from as low as 18%</w:t>
                            </w:r>
                            <w:r>
                              <w:rPr>
                                <w:b/>
                                <w:color w:val="548DD4" w:themeColor="text2" w:themeTint="99"/>
                              </w:rPr>
                              <w:t xml:space="preserve"> to as high as 68%. The </w:t>
                            </w:r>
                            <w:r w:rsidR="00A175AE">
                              <w:rPr>
                                <w:b/>
                                <w:color w:val="548DD4" w:themeColor="text2" w:themeTint="99"/>
                              </w:rPr>
                              <w:t>chart shows</w:t>
                            </w:r>
                            <w:r w:rsidRPr="00C044B0">
                              <w:rPr>
                                <w:b/>
                                <w:color w:val="548DD4" w:themeColor="text2" w:themeTint="99"/>
                              </w:rPr>
                              <w:t xml:space="preserve"> i</w:t>
                            </w:r>
                            <w:r w:rsidR="00D74ADC">
                              <w:rPr>
                                <w:b/>
                                <w:color w:val="548DD4" w:themeColor="text2" w:themeTint="99"/>
                              </w:rPr>
                              <w:t>t was the less deprived councils</w:t>
                            </w:r>
                            <w:r w:rsidRPr="00C044B0">
                              <w:rPr>
                                <w:b/>
                                <w:color w:val="548DD4" w:themeColor="text2" w:themeTint="99"/>
                              </w:rPr>
                              <w:t xml:space="preserve"> that tended to have the highest proportions of Council Tax Funding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left:0;text-align:left;margin-left:277.8pt;margin-top:7.9pt;width:241.2pt;height:1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YawIAAB4FAAAOAAAAZHJzL2Uyb0RvYy54bWysVEtv2zAMvg/YfxB0X5ykbtcGdYogRYcB&#10;RVu0HXpWZCkxJosapcTOfv0o2XEfy2nYRSbN96ePurxqa8N2Cn0FtuCT0ZgzZSWUlV0X/MfzzZdz&#10;znwQthQGrCr4Xnl+Nf/86bJxMzWFDZhSIaMk1s8aV/BNCG6WZV5uVC38CJyyZNSAtQik4jorUTSU&#10;vTbZdDw+yxrA0iFI5T39ve6MfJ7ya61kuNfaq8BMwam3kE5M5yqe2fxSzNYo3KaSfRviH7qoRWWp&#10;6JDqWgTBtlj9laquJIIHHUYS6gy0rqRKM9A0k/GHaZ42wqk0C4Hj3QCT/39p5d3uAVlVFjznzIqa&#10;ruiRQBN2bRTLIzyN8zPyenIP2GuexDhrq7GOX5qCtQnS/QCpagOT9PNkfHZymlNuSTYa8SI/T6Bn&#10;r+EOffimoGZRKDhS+QSl2N36QCXJ9eBCSmynayBJYW9U7MHYR6VpDio5TdGJQWppkO0E3b2QUtkw&#10;iQNRvuQdw3RlzBA4ORZohqDeN4apxKwhcHws8H3FISJVBRuG4LqygMcSlD8P7erO/zB9N3McP7Sr&#10;tr+UFZR7ukmEjuLeyZuK8LwVPjwIJE4T+2lPwz0d2kBTcOglzjaAv4/9j/5ENbJy1tCOFNz/2gpU&#10;nJnvlkh4McnzuFRJyU+/TknBt5bVW4vd1kugq5jQi+BkEqN/MAdRI9QvtM6LWJVMwkqqXXAZ8KAs&#10;Q7e79CBItVgkN1okJ8KtfXIyJo8AR748ty8CXU+qQHy8g8M+idkHbnW+MdLCYhtAV4l4EeIO1x56&#10;WsLEn/7BiFv+Vk9er8/a/A8AAAD//wMAUEsDBBQABgAIAAAAIQDg/zeo3wAAAAsBAAAPAAAAZHJz&#10;L2Rvd25yZXYueG1sTI9Ba4NAEIXvhfyHZQK9NWsiirWuIRR6Ki00Se8bd6qiOyvumpj8+k5O7XF4&#10;jzffV2xn24szjr51pGC9ikAgVc60VCs4Ht6eMhA+aDK6d4QKruhhWy4eCp0bd6EvPO9DLXiEfK4V&#10;NCEMuZS+atBqv3IDEmc/brQ68DnW0oz6wuO2l5soSqXVLfGHRg/42mDV7SerYLeZp1v1cU2Pz/K2&#10;fv/+7KydO6Uel/PuBUTAOfyV4Y7P6FAy08lNZLzoFSRJknKVg4QV7oUoztjupCCO4wxkWcj/DuUv&#10;AAAA//8DAFBLAQItABQABgAIAAAAIQC2gziS/gAAAOEBAAATAAAAAAAAAAAAAAAAAAAAAABbQ29u&#10;dGVudF9UeXBlc10ueG1sUEsBAi0AFAAGAAgAAAAhADj9If/WAAAAlAEAAAsAAAAAAAAAAAAAAAAA&#10;LwEAAF9yZWxzLy5yZWxzUEsBAi0AFAAGAAgAAAAhAJu7h9hrAgAAHgUAAA4AAAAAAAAAAAAAAAAA&#10;LgIAAGRycy9lMm9Eb2MueG1sUEsBAi0AFAAGAAgAAAAhAOD/N6jfAAAACwEAAA8AAAAAAAAAAAAA&#10;AAAAxQQAAGRycy9kb3ducmV2LnhtbFBLBQYAAAAABAAEAPMAAADRBQAAAAA=&#10;" fillcolor="white [3201]" strokecolor="#4f81bd [3204]" strokeweight="2pt">
                <v:textbox>
                  <w:txbxContent>
                    <w:p w:rsidR="00C044B0" w:rsidRPr="00C044B0" w:rsidRDefault="00C044B0" w:rsidP="00C044B0">
                      <w:pPr>
                        <w:jc w:val="center"/>
                        <w:rPr>
                          <w:b/>
                          <w:color w:val="548DD4" w:themeColor="text2" w:themeTint="99"/>
                        </w:rPr>
                      </w:pPr>
                      <w:r w:rsidRPr="00C044B0">
                        <w:rPr>
                          <w:b/>
                          <w:color w:val="548DD4" w:themeColor="text2" w:themeTint="99"/>
                        </w:rPr>
                        <w:t>In 2013 -14 Council Tax of £20,637 million represented 43% of overall local authority funding. The proportion at individual authority level varied from as low as 18%</w:t>
                      </w:r>
                      <w:r>
                        <w:rPr>
                          <w:b/>
                          <w:color w:val="548DD4" w:themeColor="text2" w:themeTint="99"/>
                        </w:rPr>
                        <w:t xml:space="preserve"> to as high as 68%. The </w:t>
                      </w:r>
                      <w:r w:rsidR="00A175AE">
                        <w:rPr>
                          <w:b/>
                          <w:color w:val="548DD4" w:themeColor="text2" w:themeTint="99"/>
                        </w:rPr>
                        <w:t>chart shows</w:t>
                      </w:r>
                      <w:r w:rsidRPr="00C044B0">
                        <w:rPr>
                          <w:b/>
                          <w:color w:val="548DD4" w:themeColor="text2" w:themeTint="99"/>
                        </w:rPr>
                        <w:t xml:space="preserve"> i</w:t>
                      </w:r>
                      <w:r w:rsidR="00D74ADC">
                        <w:rPr>
                          <w:b/>
                          <w:color w:val="548DD4" w:themeColor="text2" w:themeTint="99"/>
                        </w:rPr>
                        <w:t>t was the less deprived councils</w:t>
                      </w:r>
                      <w:r w:rsidRPr="00C044B0">
                        <w:rPr>
                          <w:b/>
                          <w:color w:val="548DD4" w:themeColor="text2" w:themeTint="99"/>
                        </w:rPr>
                        <w:t xml:space="preserve"> that tended to have the highest proportions of Council Tax Funding</w:t>
                      </w:r>
                    </w:p>
                  </w:txbxContent>
                </v:textbox>
              </v:rect>
            </w:pict>
          </mc:Fallback>
        </mc:AlternateContent>
      </w:r>
      <w:r w:rsidR="009D383A" w:rsidRPr="005760BA">
        <w:rPr>
          <w:noProof/>
          <w:lang w:eastAsia="en-GB"/>
        </w:rPr>
        <w:drawing>
          <wp:inline distT="0" distB="0" distL="0" distR="0" wp14:anchorId="67231122" wp14:editId="47553452">
            <wp:extent cx="3493827" cy="22988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93933" cy="2298874"/>
                    </a:xfrm>
                    <a:prstGeom prst="rect">
                      <a:avLst/>
                    </a:prstGeom>
                    <a:noFill/>
                    <a:ln>
                      <a:noFill/>
                    </a:ln>
                  </pic:spPr>
                </pic:pic>
              </a:graphicData>
            </a:graphic>
          </wp:inline>
        </w:drawing>
      </w:r>
    </w:p>
    <w:p w:rsidR="009D383A" w:rsidRPr="007A5654" w:rsidRDefault="009D383A" w:rsidP="00DB6C1C">
      <w:pPr>
        <w:pStyle w:val="ListParagraph"/>
        <w:numPr>
          <w:ilvl w:val="1"/>
          <w:numId w:val="2"/>
        </w:numPr>
        <w:ind w:left="426"/>
        <w:rPr>
          <w:rFonts w:ascii="Arial" w:hAnsi="Arial" w:cs="Arial"/>
        </w:rPr>
      </w:pPr>
      <w:r w:rsidRPr="007A5654">
        <w:rPr>
          <w:rFonts w:ascii="Arial" w:hAnsi="Arial" w:cs="Arial"/>
        </w:rPr>
        <w:t xml:space="preserve">This trend is projected to continue, with Council Tax at 2019-20 projected at £27,585 million, representing on average 61% of Spending Power and as much as 90% at individual authority level. </w:t>
      </w:r>
    </w:p>
    <w:p w:rsidR="009D383A" w:rsidRDefault="009D383A" w:rsidP="00DB6C1C">
      <w:pPr>
        <w:ind w:left="426"/>
        <w:rPr>
          <w:rFonts w:ascii="Arial" w:hAnsi="Arial" w:cs="Arial"/>
        </w:rPr>
      </w:pPr>
    </w:p>
    <w:p w:rsidR="005760BA" w:rsidRPr="007A5654" w:rsidRDefault="00A46896" w:rsidP="00DB6C1C">
      <w:pPr>
        <w:pStyle w:val="ListParagraph"/>
        <w:numPr>
          <w:ilvl w:val="1"/>
          <w:numId w:val="2"/>
        </w:numPr>
        <w:ind w:left="426"/>
        <w:rPr>
          <w:rFonts w:ascii="Arial" w:hAnsi="Arial" w:cs="Arial"/>
        </w:rPr>
      </w:pPr>
      <w:r w:rsidRPr="007A5654">
        <w:rPr>
          <w:rFonts w:ascii="Arial" w:hAnsi="Arial" w:cs="Arial"/>
        </w:rPr>
        <w:t>The resource adjustment has been a historic and important feature</w:t>
      </w:r>
      <w:r w:rsidR="003E015B" w:rsidRPr="007A5654">
        <w:rPr>
          <w:rFonts w:ascii="Arial" w:hAnsi="Arial" w:cs="Arial"/>
        </w:rPr>
        <w:t xml:space="preserve"> of settlement formula</w:t>
      </w:r>
      <w:r w:rsidR="00A87FF9" w:rsidRPr="007A5654">
        <w:rPr>
          <w:rFonts w:ascii="Arial" w:hAnsi="Arial" w:cs="Arial"/>
        </w:rPr>
        <w:t xml:space="preserve"> and remains a feature o</w:t>
      </w:r>
      <w:r w:rsidR="002909FF" w:rsidRPr="007A5654">
        <w:rPr>
          <w:rFonts w:ascii="Arial" w:hAnsi="Arial" w:cs="Arial"/>
        </w:rPr>
        <w:t>f the baseline needs calculation</w:t>
      </w:r>
      <w:r w:rsidR="00A87FF9" w:rsidRPr="007A5654">
        <w:rPr>
          <w:rFonts w:ascii="Arial" w:hAnsi="Arial" w:cs="Arial"/>
        </w:rPr>
        <w:t xml:space="preserve"> within </w:t>
      </w:r>
      <w:r w:rsidR="009F5BC6" w:rsidRPr="007A5654">
        <w:rPr>
          <w:rFonts w:ascii="Arial" w:hAnsi="Arial" w:cs="Arial"/>
        </w:rPr>
        <w:t>business rates retention</w:t>
      </w:r>
      <w:r w:rsidR="00A87FF9" w:rsidRPr="007A5654">
        <w:rPr>
          <w:rFonts w:ascii="Arial" w:hAnsi="Arial" w:cs="Arial"/>
        </w:rPr>
        <w:t>, albeit the value of</w:t>
      </w:r>
      <w:r w:rsidR="009F5BC6" w:rsidRPr="007A5654">
        <w:rPr>
          <w:rFonts w:ascii="Arial" w:hAnsi="Arial" w:cs="Arial"/>
        </w:rPr>
        <w:t xml:space="preserve"> resource adjustment diminishes </w:t>
      </w:r>
      <w:r w:rsidR="00A87FF9" w:rsidRPr="007A5654">
        <w:rPr>
          <w:rFonts w:ascii="Arial" w:hAnsi="Arial" w:cs="Arial"/>
        </w:rPr>
        <w:t>as settlement funding diminishes.</w:t>
      </w:r>
    </w:p>
    <w:p w:rsidR="00A46896" w:rsidRDefault="00A46896" w:rsidP="00DB6C1C">
      <w:pPr>
        <w:ind w:left="426"/>
        <w:rPr>
          <w:rFonts w:ascii="Arial" w:hAnsi="Arial" w:cs="Arial"/>
        </w:rPr>
      </w:pPr>
    </w:p>
    <w:p w:rsidR="00A175AE" w:rsidRDefault="00A87FF9" w:rsidP="00DB6C1C">
      <w:pPr>
        <w:pStyle w:val="ListParagraph"/>
        <w:numPr>
          <w:ilvl w:val="1"/>
          <w:numId w:val="2"/>
        </w:numPr>
        <w:ind w:left="426"/>
        <w:rPr>
          <w:rFonts w:ascii="Arial" w:hAnsi="Arial" w:cs="Arial"/>
        </w:rPr>
      </w:pPr>
      <w:r w:rsidRPr="007A5654">
        <w:rPr>
          <w:rFonts w:ascii="Arial" w:hAnsi="Arial" w:cs="Arial"/>
        </w:rPr>
        <w:t xml:space="preserve">The value </w:t>
      </w:r>
      <w:r w:rsidR="00C521F1" w:rsidRPr="007A5654">
        <w:rPr>
          <w:rFonts w:ascii="Arial" w:hAnsi="Arial" w:cs="Arial"/>
        </w:rPr>
        <w:t>of the resource adjustment in 2013-14</w:t>
      </w:r>
      <w:r w:rsidRPr="007A5654">
        <w:rPr>
          <w:rFonts w:ascii="Arial" w:hAnsi="Arial" w:cs="Arial"/>
        </w:rPr>
        <w:t xml:space="preserve"> to local</w:t>
      </w:r>
      <w:r w:rsidR="00D74CD3" w:rsidRPr="007A5654">
        <w:rPr>
          <w:rFonts w:ascii="Arial" w:hAnsi="Arial" w:cs="Arial"/>
        </w:rPr>
        <w:t xml:space="preserve"> authorities was £16.2</w:t>
      </w:r>
      <w:r w:rsidR="00C521F1" w:rsidRPr="007A5654">
        <w:rPr>
          <w:rFonts w:ascii="Arial" w:hAnsi="Arial" w:cs="Arial"/>
        </w:rPr>
        <w:t xml:space="preserve"> billion. </w:t>
      </w:r>
    </w:p>
    <w:p w:rsidR="00A175AE" w:rsidRPr="00A175AE" w:rsidRDefault="00A175AE" w:rsidP="00A175AE">
      <w:pPr>
        <w:pStyle w:val="ListParagraph"/>
        <w:rPr>
          <w:rFonts w:ascii="Arial" w:hAnsi="Arial" w:cs="Arial"/>
        </w:rPr>
      </w:pPr>
    </w:p>
    <w:p w:rsidR="00A175AE" w:rsidRDefault="00C521F1" w:rsidP="00DB6C1C">
      <w:pPr>
        <w:pStyle w:val="ListParagraph"/>
        <w:numPr>
          <w:ilvl w:val="1"/>
          <w:numId w:val="2"/>
        </w:numPr>
        <w:ind w:left="426"/>
        <w:rPr>
          <w:rFonts w:ascii="Arial" w:hAnsi="Arial" w:cs="Arial"/>
        </w:rPr>
      </w:pPr>
      <w:r w:rsidRPr="007A5654">
        <w:rPr>
          <w:rFonts w:ascii="Arial" w:hAnsi="Arial" w:cs="Arial"/>
        </w:rPr>
        <w:t>£6.2</w:t>
      </w:r>
      <w:r w:rsidR="00A87FF9" w:rsidRPr="007A5654">
        <w:rPr>
          <w:rFonts w:ascii="Arial" w:hAnsi="Arial" w:cs="Arial"/>
        </w:rPr>
        <w:t xml:space="preserve"> billion was within the headline</w:t>
      </w:r>
      <w:r w:rsidRPr="007A5654">
        <w:rPr>
          <w:rFonts w:ascii="Arial" w:hAnsi="Arial" w:cs="Arial"/>
        </w:rPr>
        <w:t xml:space="preserve"> £6,</w:t>
      </w:r>
      <w:r w:rsidR="008A20AD" w:rsidRPr="007A5654">
        <w:rPr>
          <w:rFonts w:ascii="Arial" w:hAnsi="Arial" w:cs="Arial"/>
        </w:rPr>
        <w:t>550 million</w:t>
      </w:r>
      <w:r w:rsidR="00A87FF9" w:rsidRPr="007A5654">
        <w:rPr>
          <w:rFonts w:ascii="Arial" w:hAnsi="Arial" w:cs="Arial"/>
        </w:rPr>
        <w:t xml:space="preserve"> Relative Resource </w:t>
      </w:r>
      <w:r w:rsidR="008F3365" w:rsidRPr="007A5654">
        <w:rPr>
          <w:rFonts w:ascii="Arial" w:hAnsi="Arial" w:cs="Arial"/>
        </w:rPr>
        <w:t xml:space="preserve">(RR) </w:t>
      </w:r>
      <w:r w:rsidR="00A87FF9" w:rsidRPr="007A5654">
        <w:rPr>
          <w:rFonts w:ascii="Arial" w:hAnsi="Arial" w:cs="Arial"/>
        </w:rPr>
        <w:t>adjustment</w:t>
      </w:r>
      <w:r w:rsidRPr="007A5654">
        <w:rPr>
          <w:rFonts w:ascii="Arial" w:hAnsi="Arial" w:cs="Arial"/>
        </w:rPr>
        <w:t xml:space="preserve"> “block”. </w:t>
      </w:r>
      <w:r w:rsidR="008A20AD" w:rsidRPr="007A5654">
        <w:rPr>
          <w:rFonts w:ascii="Arial" w:hAnsi="Arial" w:cs="Arial"/>
        </w:rPr>
        <w:t>Gr</w:t>
      </w:r>
      <w:r w:rsidR="00EF33DC" w:rsidRPr="007A5654">
        <w:rPr>
          <w:rFonts w:ascii="Arial" w:hAnsi="Arial" w:cs="Arial"/>
        </w:rPr>
        <w:t>oup members will be aware that “N</w:t>
      </w:r>
      <w:r w:rsidR="008A20AD" w:rsidRPr="007A5654">
        <w:rPr>
          <w:rFonts w:ascii="Arial" w:hAnsi="Arial" w:cs="Arial"/>
        </w:rPr>
        <w:t>eeds</w:t>
      </w:r>
      <w:r w:rsidR="00EF33DC" w:rsidRPr="007A5654">
        <w:rPr>
          <w:rFonts w:ascii="Arial" w:hAnsi="Arial" w:cs="Arial"/>
        </w:rPr>
        <w:t>” and “Central S</w:t>
      </w:r>
      <w:r w:rsidR="008A20AD" w:rsidRPr="007A5654">
        <w:rPr>
          <w:rFonts w:ascii="Arial" w:hAnsi="Arial" w:cs="Arial"/>
        </w:rPr>
        <w:t>hare</w:t>
      </w:r>
      <w:r w:rsidR="00EF33DC" w:rsidRPr="007A5654">
        <w:rPr>
          <w:rFonts w:ascii="Arial" w:hAnsi="Arial" w:cs="Arial"/>
        </w:rPr>
        <w:t>”</w:t>
      </w:r>
      <w:r w:rsidR="008A20AD" w:rsidRPr="007A5654">
        <w:rPr>
          <w:rFonts w:ascii="Arial" w:hAnsi="Arial" w:cs="Arial"/>
        </w:rPr>
        <w:t xml:space="preserve"> allocations are inflated</w:t>
      </w:r>
      <w:r w:rsidR="00EF33DC" w:rsidRPr="007A5654">
        <w:rPr>
          <w:rFonts w:ascii="Arial" w:hAnsi="Arial" w:cs="Arial"/>
        </w:rPr>
        <w:t xml:space="preserve"> by the Relative Resource value. A</w:t>
      </w:r>
      <w:r w:rsidR="008F3365" w:rsidRPr="007A5654">
        <w:rPr>
          <w:rFonts w:ascii="Arial" w:hAnsi="Arial" w:cs="Arial"/>
        </w:rPr>
        <w:t>uthorit</w:t>
      </w:r>
      <w:r w:rsidR="00EF33DC" w:rsidRPr="007A5654">
        <w:rPr>
          <w:rFonts w:ascii="Arial" w:hAnsi="Arial" w:cs="Arial"/>
        </w:rPr>
        <w:t>ies are allocated an increased N</w:t>
      </w:r>
      <w:r w:rsidR="008F3365" w:rsidRPr="007A5654">
        <w:rPr>
          <w:rFonts w:ascii="Arial" w:hAnsi="Arial" w:cs="Arial"/>
        </w:rPr>
        <w:t>eeds</w:t>
      </w:r>
      <w:r w:rsidR="00EF33DC" w:rsidRPr="007A5654">
        <w:rPr>
          <w:rFonts w:ascii="Arial" w:hAnsi="Arial" w:cs="Arial"/>
        </w:rPr>
        <w:t xml:space="preserve"> &amp; Central</w:t>
      </w:r>
      <w:r w:rsidR="008F3365" w:rsidRPr="007A5654">
        <w:rPr>
          <w:rFonts w:ascii="Arial" w:hAnsi="Arial" w:cs="Arial"/>
        </w:rPr>
        <w:t xml:space="preserve"> share but have that allocation reduced by their share of RR</w:t>
      </w:r>
      <w:r w:rsidR="009D383A" w:rsidRPr="007A5654">
        <w:rPr>
          <w:rFonts w:ascii="Arial" w:hAnsi="Arial" w:cs="Arial"/>
        </w:rPr>
        <w:t xml:space="preserve"> value</w:t>
      </w:r>
      <w:r w:rsidR="008F3365" w:rsidRPr="007A5654">
        <w:rPr>
          <w:rFonts w:ascii="Arial" w:hAnsi="Arial" w:cs="Arial"/>
        </w:rPr>
        <w:t xml:space="preserve"> with</w:t>
      </w:r>
      <w:r w:rsidR="002909FF" w:rsidRPr="007A5654">
        <w:rPr>
          <w:rFonts w:ascii="Arial" w:hAnsi="Arial" w:cs="Arial"/>
        </w:rPr>
        <w:t>in</w:t>
      </w:r>
      <w:r w:rsidR="008F3365" w:rsidRPr="007A5654">
        <w:rPr>
          <w:rFonts w:ascii="Arial" w:hAnsi="Arial" w:cs="Arial"/>
        </w:rPr>
        <w:t xml:space="preserve"> net funding</w:t>
      </w:r>
      <w:r w:rsidR="009F5BC6" w:rsidRPr="007A5654">
        <w:rPr>
          <w:rFonts w:ascii="Arial" w:hAnsi="Arial" w:cs="Arial"/>
        </w:rPr>
        <w:t>,</w:t>
      </w:r>
      <w:r w:rsidR="008F3365" w:rsidRPr="007A5654">
        <w:rPr>
          <w:rFonts w:ascii="Arial" w:hAnsi="Arial" w:cs="Arial"/>
        </w:rPr>
        <w:t xml:space="preserve"> coming back to DCLGs </w:t>
      </w:r>
      <w:r w:rsidR="009D383A" w:rsidRPr="007A5654">
        <w:rPr>
          <w:rFonts w:ascii="Arial" w:hAnsi="Arial" w:cs="Arial"/>
        </w:rPr>
        <w:t xml:space="preserve">overall </w:t>
      </w:r>
      <w:r w:rsidR="008F3365" w:rsidRPr="007A5654">
        <w:rPr>
          <w:rFonts w:ascii="Arial" w:hAnsi="Arial" w:cs="Arial"/>
        </w:rPr>
        <w:t>control total for formula.</w:t>
      </w:r>
      <w:r w:rsidR="009F5BC6" w:rsidRPr="007A5654">
        <w:rPr>
          <w:rFonts w:ascii="Arial" w:hAnsi="Arial" w:cs="Arial"/>
        </w:rPr>
        <w:t xml:space="preserve"> </w:t>
      </w:r>
    </w:p>
    <w:p w:rsidR="00A175AE" w:rsidRPr="00A175AE" w:rsidRDefault="00A175AE" w:rsidP="00A175AE">
      <w:pPr>
        <w:pStyle w:val="ListParagraph"/>
        <w:rPr>
          <w:rFonts w:ascii="Arial" w:hAnsi="Arial" w:cs="Arial"/>
        </w:rPr>
      </w:pPr>
    </w:p>
    <w:p w:rsidR="004C1740" w:rsidRPr="007A5654" w:rsidRDefault="009F5BC6" w:rsidP="00DB6C1C">
      <w:pPr>
        <w:pStyle w:val="ListParagraph"/>
        <w:numPr>
          <w:ilvl w:val="1"/>
          <w:numId w:val="2"/>
        </w:numPr>
        <w:ind w:left="426"/>
        <w:rPr>
          <w:rFonts w:ascii="Arial" w:hAnsi="Arial" w:cs="Arial"/>
        </w:rPr>
      </w:pPr>
      <w:r w:rsidRPr="007A5654">
        <w:rPr>
          <w:rFonts w:ascii="Arial" w:hAnsi="Arial" w:cs="Arial"/>
        </w:rPr>
        <w:lastRenderedPageBreak/>
        <w:t>In addition</w:t>
      </w:r>
      <w:r w:rsidR="00EF33DC" w:rsidRPr="007A5654">
        <w:rPr>
          <w:rFonts w:ascii="Arial" w:hAnsi="Arial" w:cs="Arial"/>
        </w:rPr>
        <w:t>, there wa</w:t>
      </w:r>
      <w:r w:rsidRPr="007A5654">
        <w:rPr>
          <w:rFonts w:ascii="Arial" w:hAnsi="Arial" w:cs="Arial"/>
        </w:rPr>
        <w:t xml:space="preserve">s a similar adjustment </w:t>
      </w:r>
      <w:r w:rsidR="00D74CD3" w:rsidRPr="007A5654">
        <w:rPr>
          <w:rFonts w:ascii="Arial" w:hAnsi="Arial" w:cs="Arial"/>
        </w:rPr>
        <w:t xml:space="preserve">of £10 billion </w:t>
      </w:r>
      <w:r w:rsidR="00EF33DC" w:rsidRPr="007A5654">
        <w:rPr>
          <w:rFonts w:ascii="Arial" w:hAnsi="Arial" w:cs="Arial"/>
        </w:rPr>
        <w:t>within Central S</w:t>
      </w:r>
      <w:r w:rsidRPr="007A5654">
        <w:rPr>
          <w:rFonts w:ascii="Arial" w:hAnsi="Arial" w:cs="Arial"/>
        </w:rPr>
        <w:t>hare or “Basic Amount</w:t>
      </w:r>
      <w:r w:rsidR="002909FF" w:rsidRPr="007A5654">
        <w:rPr>
          <w:rFonts w:ascii="Arial" w:hAnsi="Arial" w:cs="Arial"/>
        </w:rPr>
        <w:t>”</w:t>
      </w:r>
      <w:r w:rsidRPr="007A5654">
        <w:rPr>
          <w:rFonts w:ascii="Arial" w:hAnsi="Arial" w:cs="Arial"/>
        </w:rPr>
        <w:t xml:space="preserve"> </w:t>
      </w:r>
      <w:r w:rsidR="002909FF" w:rsidRPr="007A5654">
        <w:rPr>
          <w:rFonts w:ascii="Arial" w:hAnsi="Arial" w:cs="Arial"/>
        </w:rPr>
        <w:t xml:space="preserve">(BA) </w:t>
      </w:r>
      <w:r w:rsidRPr="007A5654">
        <w:rPr>
          <w:rFonts w:ascii="Arial" w:hAnsi="Arial" w:cs="Arial"/>
        </w:rPr>
        <w:t xml:space="preserve">block. The amount </w:t>
      </w:r>
      <w:r w:rsidR="002909FF" w:rsidRPr="007A5654">
        <w:rPr>
          <w:rFonts w:ascii="Arial" w:hAnsi="Arial" w:cs="Arial"/>
        </w:rPr>
        <w:t xml:space="preserve">of BA </w:t>
      </w:r>
      <w:r w:rsidRPr="007A5654">
        <w:rPr>
          <w:rFonts w:ascii="Arial" w:hAnsi="Arial" w:cs="Arial"/>
        </w:rPr>
        <w:t xml:space="preserve">allocated in 2013-14 of £9,987 million </w:t>
      </w:r>
      <w:r w:rsidR="00231700" w:rsidRPr="007A5654">
        <w:rPr>
          <w:rFonts w:ascii="Arial" w:hAnsi="Arial" w:cs="Arial"/>
        </w:rPr>
        <w:t>comprised</w:t>
      </w:r>
      <w:r w:rsidRPr="007A5654">
        <w:rPr>
          <w:rFonts w:ascii="Arial" w:hAnsi="Arial" w:cs="Arial"/>
        </w:rPr>
        <w:t xml:space="preserve"> a basic needs element of £21,414 and a basic resource element of £1</w:t>
      </w:r>
      <w:r w:rsidR="005D3C91" w:rsidRPr="007A5654">
        <w:rPr>
          <w:rFonts w:ascii="Arial" w:hAnsi="Arial" w:cs="Arial"/>
        </w:rPr>
        <w:t>1,423</w:t>
      </w:r>
      <w:r>
        <w:rPr>
          <w:rStyle w:val="FootnoteReference"/>
          <w:rFonts w:ascii="Arial" w:hAnsi="Arial" w:cs="Arial"/>
        </w:rPr>
        <w:footnoteReference w:id="1"/>
      </w:r>
      <w:r w:rsidRPr="007A5654">
        <w:rPr>
          <w:rFonts w:ascii="Arial" w:hAnsi="Arial" w:cs="Arial"/>
        </w:rPr>
        <w:t>, offsetting each other for a net allocation to each authority</w:t>
      </w:r>
      <w:r w:rsidR="005D3C91" w:rsidRPr="007A5654">
        <w:rPr>
          <w:rFonts w:ascii="Arial" w:hAnsi="Arial" w:cs="Arial"/>
        </w:rPr>
        <w:t>.</w:t>
      </w:r>
    </w:p>
    <w:p w:rsidR="005D3C91" w:rsidRDefault="005D3C91" w:rsidP="00DB6C1C">
      <w:pPr>
        <w:ind w:left="426"/>
        <w:rPr>
          <w:rFonts w:ascii="Arial" w:hAnsi="Arial" w:cs="Arial"/>
        </w:rPr>
      </w:pPr>
    </w:p>
    <w:p w:rsidR="005D3C91" w:rsidRPr="007A5654" w:rsidRDefault="005D3C91" w:rsidP="00DB6C1C">
      <w:pPr>
        <w:pStyle w:val="ListParagraph"/>
        <w:numPr>
          <w:ilvl w:val="1"/>
          <w:numId w:val="2"/>
        </w:numPr>
        <w:ind w:left="426"/>
        <w:rPr>
          <w:rFonts w:ascii="Arial" w:hAnsi="Arial" w:cs="Arial"/>
        </w:rPr>
      </w:pPr>
      <w:r w:rsidRPr="007A5654">
        <w:rPr>
          <w:rFonts w:ascii="Arial" w:hAnsi="Arial" w:cs="Arial"/>
        </w:rPr>
        <w:t>The quantum of the resource adjust</w:t>
      </w:r>
      <w:r w:rsidR="00D74CD3" w:rsidRPr="007A5654">
        <w:rPr>
          <w:rFonts w:ascii="Arial" w:hAnsi="Arial" w:cs="Arial"/>
        </w:rPr>
        <w:t>ment was part of the Government-</w:t>
      </w:r>
      <w:r w:rsidRPr="007A5654">
        <w:rPr>
          <w:rFonts w:ascii="Arial" w:hAnsi="Arial" w:cs="Arial"/>
        </w:rPr>
        <w:t>set</w:t>
      </w:r>
      <w:r w:rsidR="002909FF" w:rsidRPr="007A5654">
        <w:rPr>
          <w:rFonts w:ascii="Arial" w:hAnsi="Arial" w:cs="Arial"/>
        </w:rPr>
        <w:t xml:space="preserve"> control totals and, it will </w:t>
      </w:r>
      <w:r w:rsidRPr="007A5654">
        <w:rPr>
          <w:rFonts w:ascii="Arial" w:hAnsi="Arial" w:cs="Arial"/>
        </w:rPr>
        <w:t xml:space="preserve">hopefully </w:t>
      </w:r>
      <w:r w:rsidR="002909FF" w:rsidRPr="007A5654">
        <w:rPr>
          <w:rFonts w:ascii="Arial" w:hAnsi="Arial" w:cs="Arial"/>
        </w:rPr>
        <w:t>be clear</w:t>
      </w:r>
      <w:r w:rsidRPr="007A5654">
        <w:rPr>
          <w:rFonts w:ascii="Arial" w:hAnsi="Arial" w:cs="Arial"/>
        </w:rPr>
        <w:t xml:space="preserve"> from the above, did not impact on the overall funding total. If the total value of RR increased then either total needs block or total basic amount would also increase and vice-versa. The amounts of </w:t>
      </w:r>
      <w:r w:rsidR="00007598" w:rsidRPr="007A5654">
        <w:rPr>
          <w:rFonts w:ascii="Arial" w:hAnsi="Arial" w:cs="Arial"/>
        </w:rPr>
        <w:t>RR and</w:t>
      </w:r>
      <w:r w:rsidR="002909FF" w:rsidRPr="007A5654">
        <w:rPr>
          <w:rFonts w:ascii="Arial" w:hAnsi="Arial" w:cs="Arial"/>
        </w:rPr>
        <w:t xml:space="preserve"> BA </w:t>
      </w:r>
      <w:r w:rsidRPr="007A5654">
        <w:rPr>
          <w:rFonts w:ascii="Arial" w:hAnsi="Arial" w:cs="Arial"/>
        </w:rPr>
        <w:t>were set by Mini</w:t>
      </w:r>
      <w:r w:rsidR="00A175AE">
        <w:rPr>
          <w:rFonts w:ascii="Arial" w:hAnsi="Arial" w:cs="Arial"/>
        </w:rPr>
        <w:t>sters and not linked</w:t>
      </w:r>
      <w:r w:rsidR="002909FF" w:rsidRPr="007A5654">
        <w:rPr>
          <w:rFonts w:ascii="Arial" w:hAnsi="Arial" w:cs="Arial"/>
        </w:rPr>
        <w:t xml:space="preserve"> </w:t>
      </w:r>
      <w:r w:rsidR="006C66B8" w:rsidRPr="007A5654">
        <w:rPr>
          <w:rFonts w:ascii="Arial" w:hAnsi="Arial" w:cs="Arial"/>
        </w:rPr>
        <w:t xml:space="preserve">explicitly </w:t>
      </w:r>
      <w:r w:rsidR="002909FF" w:rsidRPr="007A5654">
        <w:rPr>
          <w:rFonts w:ascii="Arial" w:hAnsi="Arial" w:cs="Arial"/>
        </w:rPr>
        <w:t>to values of</w:t>
      </w:r>
      <w:r w:rsidR="00231700" w:rsidRPr="007A5654">
        <w:rPr>
          <w:rFonts w:ascii="Arial" w:hAnsi="Arial" w:cs="Arial"/>
        </w:rPr>
        <w:t xml:space="preserve"> </w:t>
      </w:r>
      <w:r w:rsidRPr="007A5654">
        <w:rPr>
          <w:rFonts w:ascii="Arial" w:hAnsi="Arial" w:cs="Arial"/>
        </w:rPr>
        <w:t>band d tax or council tax requirement.</w:t>
      </w:r>
      <w:r w:rsidR="002909FF" w:rsidRPr="007A5654">
        <w:rPr>
          <w:rFonts w:ascii="Arial" w:hAnsi="Arial" w:cs="Arial"/>
        </w:rPr>
        <w:t xml:space="preserve"> The impact on authorities depended on whether their needs share proportions were higher or lower than their resource proportions.</w:t>
      </w:r>
    </w:p>
    <w:p w:rsidR="005D3C91" w:rsidRDefault="005D3C91">
      <w:pPr>
        <w:rPr>
          <w:rFonts w:ascii="Arial" w:hAnsi="Arial" w:cs="Arial"/>
        </w:rPr>
      </w:pPr>
    </w:p>
    <w:p w:rsidR="00C044B0" w:rsidRPr="007A5654" w:rsidRDefault="00477965" w:rsidP="00DB6C1C">
      <w:pPr>
        <w:pStyle w:val="ListParagraph"/>
        <w:numPr>
          <w:ilvl w:val="1"/>
          <w:numId w:val="2"/>
        </w:numPr>
        <w:ind w:left="426"/>
        <w:rPr>
          <w:rFonts w:ascii="Arial" w:hAnsi="Arial" w:cs="Arial"/>
        </w:rPr>
      </w:pPr>
      <w:r w:rsidRPr="007A5654">
        <w:rPr>
          <w:rFonts w:ascii="Arial" w:hAnsi="Arial" w:cs="Arial"/>
        </w:rPr>
        <w:t>In 2013-14 when the gros</w:t>
      </w:r>
      <w:r w:rsidR="00D74CD3" w:rsidRPr="007A5654">
        <w:rPr>
          <w:rFonts w:ascii="Arial" w:hAnsi="Arial" w:cs="Arial"/>
        </w:rPr>
        <w:t>s adjustment was £16.2</w:t>
      </w:r>
      <w:r w:rsidRPr="007A5654">
        <w:rPr>
          <w:rFonts w:ascii="Arial" w:hAnsi="Arial" w:cs="Arial"/>
        </w:rPr>
        <w:t xml:space="preserve"> billion the total value of Coun</w:t>
      </w:r>
      <w:r w:rsidR="00814579" w:rsidRPr="007A5654">
        <w:rPr>
          <w:rFonts w:ascii="Arial" w:hAnsi="Arial" w:cs="Arial"/>
        </w:rPr>
        <w:t>cil Tax</w:t>
      </w:r>
      <w:r w:rsidR="00814579">
        <w:rPr>
          <w:rStyle w:val="FootnoteReference"/>
          <w:rFonts w:ascii="Arial" w:hAnsi="Arial" w:cs="Arial"/>
        </w:rPr>
        <w:footnoteReference w:id="2"/>
      </w:r>
      <w:r w:rsidR="00231700" w:rsidRPr="007A5654">
        <w:rPr>
          <w:rFonts w:ascii="Arial" w:hAnsi="Arial" w:cs="Arial"/>
        </w:rPr>
        <w:t xml:space="preserve"> was £19.1</w:t>
      </w:r>
      <w:r w:rsidR="0003370D" w:rsidRPr="007A5654">
        <w:rPr>
          <w:rFonts w:ascii="Arial" w:hAnsi="Arial" w:cs="Arial"/>
        </w:rPr>
        <w:t xml:space="preserve"> </w:t>
      </w:r>
      <w:r w:rsidR="00814579" w:rsidRPr="007A5654">
        <w:rPr>
          <w:rFonts w:ascii="Arial" w:hAnsi="Arial" w:cs="Arial"/>
        </w:rPr>
        <w:t xml:space="preserve">billion, the comparison for formula elements and Council Tax </w:t>
      </w:r>
      <w:r w:rsidR="00A175AE">
        <w:rPr>
          <w:rFonts w:ascii="Arial" w:hAnsi="Arial" w:cs="Arial"/>
        </w:rPr>
        <w:t xml:space="preserve">by region </w:t>
      </w:r>
      <w:r w:rsidR="00814579" w:rsidRPr="007A5654">
        <w:rPr>
          <w:rFonts w:ascii="Arial" w:hAnsi="Arial" w:cs="Arial"/>
        </w:rPr>
        <w:t>were:</w:t>
      </w:r>
    </w:p>
    <w:tbl>
      <w:tblPr>
        <w:tblStyle w:val="LightList-Accent1"/>
        <w:tblW w:w="0" w:type="auto"/>
        <w:tblInd w:w="392" w:type="dxa"/>
        <w:tblLayout w:type="fixed"/>
        <w:tblLook w:val="04A0" w:firstRow="1" w:lastRow="0" w:firstColumn="1" w:lastColumn="0" w:noHBand="0" w:noVBand="1"/>
      </w:tblPr>
      <w:tblGrid>
        <w:gridCol w:w="2268"/>
        <w:gridCol w:w="1417"/>
        <w:gridCol w:w="1276"/>
        <w:gridCol w:w="1276"/>
        <w:gridCol w:w="1134"/>
        <w:gridCol w:w="1276"/>
        <w:gridCol w:w="1134"/>
      </w:tblGrid>
      <w:tr w:rsidR="00AE2454" w:rsidTr="00EF33DC">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268" w:type="dxa"/>
          </w:tcPr>
          <w:p w:rsidR="006C35F0" w:rsidRPr="007A5654" w:rsidRDefault="006C35F0" w:rsidP="007A5654">
            <w:pPr>
              <w:rPr>
                <w:rFonts w:cs="Arial"/>
                <w:sz w:val="19"/>
                <w:szCs w:val="19"/>
              </w:rPr>
            </w:pPr>
          </w:p>
          <w:p w:rsidR="006C35F0" w:rsidRPr="007A5654" w:rsidRDefault="006E5832" w:rsidP="007A5654">
            <w:pPr>
              <w:rPr>
                <w:rFonts w:cs="Arial"/>
                <w:sz w:val="19"/>
                <w:szCs w:val="19"/>
              </w:rPr>
            </w:pPr>
            <w:r w:rsidRPr="007A5654">
              <w:rPr>
                <w:rFonts w:cs="Arial"/>
                <w:sz w:val="19"/>
                <w:szCs w:val="19"/>
              </w:rPr>
              <w:t>2013-14 Formula and Council Tax</w:t>
            </w:r>
            <w:r w:rsidR="00A72C66" w:rsidRPr="007A5654">
              <w:rPr>
                <w:rFonts w:cs="Arial"/>
                <w:sz w:val="19"/>
                <w:szCs w:val="19"/>
              </w:rPr>
              <w:t xml:space="preserve"> by Region</w:t>
            </w:r>
          </w:p>
          <w:p w:rsidR="00AE2454" w:rsidRPr="006C35F0" w:rsidRDefault="00AE2454" w:rsidP="007A5654">
            <w:pPr>
              <w:rPr>
                <w:rFonts w:cs="Arial"/>
                <w:sz w:val="19"/>
                <w:szCs w:val="19"/>
              </w:rPr>
            </w:pPr>
          </w:p>
        </w:tc>
        <w:tc>
          <w:tcPr>
            <w:tcW w:w="1417" w:type="dxa"/>
          </w:tcPr>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Gross formula allocations adjustment</w:t>
            </w:r>
            <w:r w:rsidRPr="006C35F0">
              <w:rPr>
                <w:rStyle w:val="FootnoteReference"/>
                <w:rFonts w:cs="Arial"/>
                <w:sz w:val="16"/>
                <w:szCs w:val="16"/>
              </w:rPr>
              <w:footnoteReference w:id="3"/>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£m</w:t>
            </w:r>
          </w:p>
        </w:tc>
        <w:tc>
          <w:tcPr>
            <w:tcW w:w="1276" w:type="dxa"/>
          </w:tcPr>
          <w:p w:rsidR="00AE2454" w:rsidRPr="007A5654" w:rsidRDefault="00EF33DC"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xml:space="preserve">Council Tax support grant  added to </w:t>
            </w:r>
            <w:r w:rsidR="00AE2454" w:rsidRPr="007A5654">
              <w:rPr>
                <w:rFonts w:cs="Arial"/>
                <w:sz w:val="16"/>
                <w:szCs w:val="16"/>
              </w:rPr>
              <w:t>formula £m</w:t>
            </w:r>
          </w:p>
        </w:tc>
        <w:tc>
          <w:tcPr>
            <w:tcW w:w="1276" w:type="dxa"/>
          </w:tcPr>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Gross resource adjustment</w:t>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£m</w:t>
            </w:r>
          </w:p>
        </w:tc>
        <w:tc>
          <w:tcPr>
            <w:tcW w:w="1134" w:type="dxa"/>
            <w:tcBorders>
              <w:right w:val="single" w:sz="18" w:space="0" w:color="FF0000"/>
            </w:tcBorders>
          </w:tcPr>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Resource</w:t>
            </w:r>
            <w:r w:rsidR="00B119C2" w:rsidRPr="007A5654">
              <w:rPr>
                <w:rFonts w:cs="Arial"/>
                <w:sz w:val="16"/>
                <w:szCs w:val="16"/>
              </w:rPr>
              <w:t xml:space="preserve">  </w:t>
            </w:r>
          </w:p>
          <w:p w:rsidR="00AE2454" w:rsidRPr="007A5654" w:rsidRDefault="00B119C2"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xml:space="preserve">/ </w:t>
            </w:r>
            <w:r w:rsidR="00231700" w:rsidRPr="007A5654">
              <w:rPr>
                <w:rFonts w:cs="Arial"/>
                <w:sz w:val="16"/>
                <w:szCs w:val="16"/>
              </w:rPr>
              <w:t>G</w:t>
            </w:r>
            <w:r w:rsidR="00AE2454" w:rsidRPr="007A5654">
              <w:rPr>
                <w:rFonts w:cs="Arial"/>
                <w:sz w:val="16"/>
                <w:szCs w:val="16"/>
              </w:rPr>
              <w:t>ross formula</w:t>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w:t>
            </w:r>
          </w:p>
        </w:tc>
        <w:tc>
          <w:tcPr>
            <w:tcW w:w="1276" w:type="dxa"/>
            <w:tcBorders>
              <w:top w:val="single" w:sz="8" w:space="0" w:color="4F81BD" w:themeColor="accent1"/>
              <w:left w:val="single" w:sz="18" w:space="0" w:color="FF0000"/>
              <w:bottom w:val="single" w:sz="8" w:space="0" w:color="4F81BD" w:themeColor="accent1"/>
            </w:tcBorders>
          </w:tcPr>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Net</w:t>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Council</w:t>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Tax</w:t>
            </w:r>
            <w:r w:rsidR="00EF33DC" w:rsidRPr="007A5654">
              <w:rPr>
                <w:rFonts w:cs="Arial"/>
                <w:sz w:val="16"/>
                <w:szCs w:val="16"/>
              </w:rPr>
              <w:t xml:space="preserve"> requirement</w:t>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m</w:t>
            </w:r>
          </w:p>
        </w:tc>
        <w:tc>
          <w:tcPr>
            <w:tcW w:w="1134" w:type="dxa"/>
          </w:tcPr>
          <w:p w:rsidR="006C35F0"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xml:space="preserve">Resource </w:t>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Council Tax</w:t>
            </w:r>
          </w:p>
          <w:p w:rsidR="00AE2454" w:rsidRPr="007A5654" w:rsidRDefault="00AE2454"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w:t>
            </w:r>
          </w:p>
        </w:tc>
      </w:tr>
      <w:tr w:rsidR="00AE2454" w:rsidTr="00EF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E2454" w:rsidRPr="007A5654" w:rsidRDefault="00AE2454" w:rsidP="007A5654">
            <w:pPr>
              <w:rPr>
                <w:rFonts w:cs="Arial"/>
                <w:sz w:val="19"/>
                <w:szCs w:val="19"/>
              </w:rPr>
            </w:pPr>
            <w:r w:rsidRPr="007A5654">
              <w:rPr>
                <w:rFonts w:cs="Arial"/>
                <w:sz w:val="19"/>
                <w:szCs w:val="19"/>
              </w:rPr>
              <w:t>Shire districts</w:t>
            </w:r>
          </w:p>
        </w:tc>
        <w:tc>
          <w:tcPr>
            <w:tcW w:w="1417"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2,083</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168</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-1,051</w:t>
            </w:r>
          </w:p>
        </w:tc>
        <w:tc>
          <w:tcPr>
            <w:tcW w:w="1134" w:type="dxa"/>
            <w:tcBorders>
              <w:righ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50.4</w:t>
            </w:r>
          </w:p>
        </w:tc>
        <w:tc>
          <w:tcPr>
            <w:tcW w:w="1276" w:type="dxa"/>
            <w:tcBorders>
              <w:lef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1,149</w:t>
            </w:r>
          </w:p>
        </w:tc>
        <w:tc>
          <w:tcPr>
            <w:tcW w:w="1134"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91.5</w:t>
            </w:r>
          </w:p>
        </w:tc>
      </w:tr>
      <w:tr w:rsidR="00AE2454" w:rsidTr="00EF33DC">
        <w:tc>
          <w:tcPr>
            <w:cnfStyle w:val="001000000000" w:firstRow="0" w:lastRow="0" w:firstColumn="1" w:lastColumn="0" w:oddVBand="0" w:evenVBand="0" w:oddHBand="0" w:evenHBand="0" w:firstRowFirstColumn="0" w:firstRowLastColumn="0" w:lastRowFirstColumn="0" w:lastRowLastColumn="0"/>
            <w:tcW w:w="2268" w:type="dxa"/>
          </w:tcPr>
          <w:p w:rsidR="00AE2454" w:rsidRPr="007A5654" w:rsidRDefault="00AE2454" w:rsidP="007A5654">
            <w:pPr>
              <w:rPr>
                <w:rFonts w:cs="Arial"/>
                <w:sz w:val="19"/>
                <w:szCs w:val="19"/>
              </w:rPr>
            </w:pPr>
            <w:r w:rsidRPr="007A5654">
              <w:rPr>
                <w:rFonts w:cs="Arial"/>
                <w:sz w:val="19"/>
                <w:szCs w:val="19"/>
              </w:rPr>
              <w:t>Shire Counties</w:t>
            </w:r>
          </w:p>
        </w:tc>
        <w:tc>
          <w:tcPr>
            <w:tcW w:w="1417"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9,666</w:t>
            </w:r>
          </w:p>
        </w:tc>
        <w:tc>
          <w:tcPr>
            <w:tcW w:w="1276"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921</w:t>
            </w:r>
          </w:p>
        </w:tc>
        <w:tc>
          <w:tcPr>
            <w:tcW w:w="1276"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-6,020</w:t>
            </w:r>
          </w:p>
        </w:tc>
        <w:tc>
          <w:tcPr>
            <w:tcW w:w="1134" w:type="dxa"/>
            <w:tcBorders>
              <w:right w:val="single" w:sz="18" w:space="0" w:color="FF0000"/>
            </w:tcBorders>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62.3</w:t>
            </w:r>
          </w:p>
        </w:tc>
        <w:tc>
          <w:tcPr>
            <w:tcW w:w="1276" w:type="dxa"/>
            <w:tcBorders>
              <w:top w:val="single" w:sz="8" w:space="0" w:color="4F81BD" w:themeColor="accent1"/>
              <w:left w:val="single" w:sz="18" w:space="0" w:color="FF0000"/>
              <w:bottom w:val="single" w:sz="8" w:space="0" w:color="4F81BD" w:themeColor="accent1"/>
            </w:tcBorders>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7,797</w:t>
            </w:r>
          </w:p>
        </w:tc>
        <w:tc>
          <w:tcPr>
            <w:tcW w:w="1134"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77.2</w:t>
            </w:r>
          </w:p>
        </w:tc>
      </w:tr>
      <w:tr w:rsidR="00AE2454" w:rsidTr="00EF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E2454" w:rsidRPr="007A5654" w:rsidRDefault="00AE2454" w:rsidP="007A5654">
            <w:pPr>
              <w:rPr>
                <w:rFonts w:cs="Arial"/>
                <w:sz w:val="19"/>
                <w:szCs w:val="19"/>
              </w:rPr>
            </w:pPr>
            <w:r w:rsidRPr="007A5654">
              <w:rPr>
                <w:rFonts w:cs="Arial"/>
                <w:sz w:val="19"/>
                <w:szCs w:val="19"/>
              </w:rPr>
              <w:t>Inner London</w:t>
            </w:r>
          </w:p>
        </w:tc>
        <w:tc>
          <w:tcPr>
            <w:tcW w:w="1417"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2,804</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187</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-1,079</w:t>
            </w:r>
          </w:p>
        </w:tc>
        <w:tc>
          <w:tcPr>
            <w:tcW w:w="1134" w:type="dxa"/>
            <w:tcBorders>
              <w:righ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38.5</w:t>
            </w:r>
          </w:p>
        </w:tc>
        <w:tc>
          <w:tcPr>
            <w:tcW w:w="1276" w:type="dxa"/>
            <w:tcBorders>
              <w:lef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764</w:t>
            </w:r>
          </w:p>
        </w:tc>
        <w:tc>
          <w:tcPr>
            <w:tcW w:w="1134"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141.2</w:t>
            </w:r>
          </w:p>
        </w:tc>
      </w:tr>
      <w:tr w:rsidR="00AE2454" w:rsidTr="00EF33DC">
        <w:tc>
          <w:tcPr>
            <w:cnfStyle w:val="001000000000" w:firstRow="0" w:lastRow="0" w:firstColumn="1" w:lastColumn="0" w:oddVBand="0" w:evenVBand="0" w:oddHBand="0" w:evenHBand="0" w:firstRowFirstColumn="0" w:firstRowLastColumn="0" w:lastRowFirstColumn="0" w:lastRowLastColumn="0"/>
            <w:tcW w:w="2268" w:type="dxa"/>
          </w:tcPr>
          <w:p w:rsidR="00AE2454" w:rsidRPr="007A5654" w:rsidRDefault="00AE2454" w:rsidP="007A5654">
            <w:pPr>
              <w:rPr>
                <w:rFonts w:cs="Arial"/>
                <w:sz w:val="19"/>
                <w:szCs w:val="19"/>
              </w:rPr>
            </w:pPr>
            <w:r w:rsidRPr="007A5654">
              <w:rPr>
                <w:rFonts w:cs="Arial"/>
                <w:sz w:val="19"/>
                <w:szCs w:val="19"/>
              </w:rPr>
              <w:t>Outer London</w:t>
            </w:r>
          </w:p>
        </w:tc>
        <w:tc>
          <w:tcPr>
            <w:tcW w:w="1417"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3,416</w:t>
            </w:r>
          </w:p>
        </w:tc>
        <w:tc>
          <w:tcPr>
            <w:tcW w:w="1276"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337</w:t>
            </w:r>
          </w:p>
        </w:tc>
        <w:tc>
          <w:tcPr>
            <w:tcW w:w="1276"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-1,673</w:t>
            </w:r>
          </w:p>
        </w:tc>
        <w:tc>
          <w:tcPr>
            <w:tcW w:w="1134" w:type="dxa"/>
            <w:tcBorders>
              <w:right w:val="single" w:sz="18" w:space="0" w:color="FF0000"/>
            </w:tcBorders>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49.0</w:t>
            </w:r>
          </w:p>
        </w:tc>
        <w:tc>
          <w:tcPr>
            <w:tcW w:w="1276" w:type="dxa"/>
            <w:tcBorders>
              <w:top w:val="single" w:sz="8" w:space="0" w:color="4F81BD" w:themeColor="accent1"/>
              <w:left w:val="single" w:sz="18" w:space="0" w:color="FF0000"/>
              <w:bottom w:val="single" w:sz="8" w:space="0" w:color="4F81BD" w:themeColor="accent1"/>
            </w:tcBorders>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1,759</w:t>
            </w:r>
          </w:p>
        </w:tc>
        <w:tc>
          <w:tcPr>
            <w:tcW w:w="1134"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95.1</w:t>
            </w:r>
          </w:p>
        </w:tc>
      </w:tr>
      <w:tr w:rsidR="00AE2454" w:rsidTr="00EF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E2454" w:rsidRPr="007A5654" w:rsidRDefault="00AE2454" w:rsidP="007A5654">
            <w:pPr>
              <w:rPr>
                <w:rFonts w:cs="Arial"/>
                <w:sz w:val="19"/>
                <w:szCs w:val="19"/>
              </w:rPr>
            </w:pPr>
            <w:r w:rsidRPr="007A5654">
              <w:rPr>
                <w:rFonts w:cs="Arial"/>
                <w:sz w:val="19"/>
                <w:szCs w:val="19"/>
              </w:rPr>
              <w:t>Unitary</w:t>
            </w:r>
          </w:p>
        </w:tc>
        <w:tc>
          <w:tcPr>
            <w:tcW w:w="1417"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7,450</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725</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-3,504</w:t>
            </w:r>
          </w:p>
        </w:tc>
        <w:tc>
          <w:tcPr>
            <w:tcW w:w="1134" w:type="dxa"/>
            <w:tcBorders>
              <w:righ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47.0</w:t>
            </w:r>
          </w:p>
        </w:tc>
        <w:tc>
          <w:tcPr>
            <w:tcW w:w="1276" w:type="dxa"/>
            <w:tcBorders>
              <w:lef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4,254</w:t>
            </w:r>
          </w:p>
        </w:tc>
        <w:tc>
          <w:tcPr>
            <w:tcW w:w="1134"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82.3</w:t>
            </w:r>
          </w:p>
        </w:tc>
      </w:tr>
      <w:tr w:rsidR="00AE2454" w:rsidTr="00EF33DC">
        <w:tc>
          <w:tcPr>
            <w:cnfStyle w:val="001000000000" w:firstRow="0" w:lastRow="0" w:firstColumn="1" w:lastColumn="0" w:oddVBand="0" w:evenVBand="0" w:oddHBand="0" w:evenHBand="0" w:firstRowFirstColumn="0" w:firstRowLastColumn="0" w:lastRowFirstColumn="0" w:lastRowLastColumn="0"/>
            <w:tcW w:w="2268" w:type="dxa"/>
          </w:tcPr>
          <w:p w:rsidR="00AE2454" w:rsidRPr="007A5654" w:rsidRDefault="00AE2454" w:rsidP="007A5654">
            <w:pPr>
              <w:rPr>
                <w:rFonts w:cs="Arial"/>
                <w:sz w:val="19"/>
                <w:szCs w:val="19"/>
              </w:rPr>
            </w:pPr>
            <w:r w:rsidRPr="007A5654">
              <w:rPr>
                <w:rFonts w:cs="Arial"/>
                <w:sz w:val="19"/>
                <w:szCs w:val="19"/>
              </w:rPr>
              <w:t>Metropolitan Districts</w:t>
            </w:r>
          </w:p>
        </w:tc>
        <w:tc>
          <w:tcPr>
            <w:tcW w:w="1417"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7,966</w:t>
            </w:r>
          </w:p>
        </w:tc>
        <w:tc>
          <w:tcPr>
            <w:tcW w:w="1276"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807</w:t>
            </w:r>
          </w:p>
        </w:tc>
        <w:tc>
          <w:tcPr>
            <w:tcW w:w="1276"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-2,860</w:t>
            </w:r>
          </w:p>
        </w:tc>
        <w:tc>
          <w:tcPr>
            <w:tcW w:w="1134" w:type="dxa"/>
            <w:tcBorders>
              <w:right w:val="single" w:sz="18" w:space="0" w:color="FF0000"/>
            </w:tcBorders>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35.9</w:t>
            </w:r>
          </w:p>
        </w:tc>
        <w:tc>
          <w:tcPr>
            <w:tcW w:w="1276" w:type="dxa"/>
            <w:tcBorders>
              <w:top w:val="single" w:sz="8" w:space="0" w:color="4F81BD" w:themeColor="accent1"/>
              <w:left w:val="single" w:sz="18" w:space="0" w:color="FF0000"/>
              <w:bottom w:val="single" w:sz="8" w:space="0" w:color="4F81BD" w:themeColor="accent1"/>
            </w:tcBorders>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3,363</w:t>
            </w:r>
          </w:p>
        </w:tc>
        <w:tc>
          <w:tcPr>
            <w:tcW w:w="1134" w:type="dxa"/>
          </w:tcPr>
          <w:p w:rsidR="00AE2454" w:rsidRPr="007A5654" w:rsidRDefault="00AE2454"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85.0</w:t>
            </w:r>
          </w:p>
        </w:tc>
      </w:tr>
      <w:tr w:rsidR="00AE2454" w:rsidRPr="00A72C66" w:rsidTr="00EF33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E2454" w:rsidRPr="007A5654" w:rsidRDefault="00F07659" w:rsidP="007A5654">
            <w:pPr>
              <w:rPr>
                <w:rFonts w:cs="Arial"/>
                <w:sz w:val="19"/>
                <w:szCs w:val="19"/>
              </w:rPr>
            </w:pPr>
            <w:r w:rsidRPr="007A5654">
              <w:rPr>
                <w:rFonts w:cs="Arial"/>
                <w:sz w:val="19"/>
                <w:szCs w:val="19"/>
              </w:rPr>
              <w:t>Total £m_average %</w:t>
            </w:r>
          </w:p>
        </w:tc>
        <w:tc>
          <w:tcPr>
            <w:tcW w:w="1417"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33,385</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3,145</w:t>
            </w:r>
          </w:p>
        </w:tc>
        <w:tc>
          <w:tcPr>
            <w:tcW w:w="1276"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-16,187</w:t>
            </w:r>
          </w:p>
        </w:tc>
        <w:tc>
          <w:tcPr>
            <w:tcW w:w="1134" w:type="dxa"/>
            <w:tcBorders>
              <w:righ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48.5</w:t>
            </w:r>
          </w:p>
        </w:tc>
        <w:tc>
          <w:tcPr>
            <w:tcW w:w="1276" w:type="dxa"/>
            <w:tcBorders>
              <w:left w:val="single" w:sz="18" w:space="0" w:color="FF0000"/>
            </w:tcBorders>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19,086</w:t>
            </w:r>
          </w:p>
        </w:tc>
        <w:tc>
          <w:tcPr>
            <w:tcW w:w="1134" w:type="dxa"/>
          </w:tcPr>
          <w:p w:rsidR="00AE2454" w:rsidRPr="007A5654" w:rsidRDefault="00AE2454"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84.8</w:t>
            </w:r>
          </w:p>
        </w:tc>
      </w:tr>
    </w:tbl>
    <w:p w:rsidR="00C521F1" w:rsidRPr="00A72C66" w:rsidRDefault="00C521F1">
      <w:pPr>
        <w:rPr>
          <w:rFonts w:ascii="Arial" w:hAnsi="Arial" w:cs="Arial"/>
          <w:b/>
        </w:rPr>
      </w:pPr>
    </w:p>
    <w:p w:rsidR="008F7B6D" w:rsidRPr="007A5654" w:rsidRDefault="008F7B6D" w:rsidP="00DB6C1C">
      <w:pPr>
        <w:pStyle w:val="ListParagraph"/>
        <w:numPr>
          <w:ilvl w:val="1"/>
          <w:numId w:val="2"/>
        </w:numPr>
        <w:ind w:left="426"/>
        <w:rPr>
          <w:rFonts w:ascii="Arial" w:hAnsi="Arial" w:cs="Arial"/>
        </w:rPr>
      </w:pPr>
      <w:r w:rsidRPr="007A5654">
        <w:rPr>
          <w:rFonts w:ascii="Arial" w:hAnsi="Arial" w:cs="Arial"/>
        </w:rPr>
        <w:t>As might be expected, the</w:t>
      </w:r>
      <w:r w:rsidR="006C66B8" w:rsidRPr="007A5654">
        <w:rPr>
          <w:rFonts w:ascii="Arial" w:hAnsi="Arial" w:cs="Arial"/>
        </w:rPr>
        <w:t xml:space="preserve"> ratio of</w:t>
      </w:r>
      <w:r w:rsidRPr="007A5654">
        <w:rPr>
          <w:rFonts w:ascii="Arial" w:hAnsi="Arial" w:cs="Arial"/>
        </w:rPr>
        <w:t xml:space="preserve"> resource adjustment relative to gross formula varies</w:t>
      </w:r>
      <w:r w:rsidR="00231700" w:rsidRPr="007A5654">
        <w:rPr>
          <w:rFonts w:ascii="Arial" w:hAnsi="Arial" w:cs="Arial"/>
        </w:rPr>
        <w:t>,</w:t>
      </w:r>
      <w:r w:rsidRPr="007A5654">
        <w:rPr>
          <w:rFonts w:ascii="Arial" w:hAnsi="Arial" w:cs="Arial"/>
        </w:rPr>
        <w:t xml:space="preserve"> and in a way that we might expect. If inner London and Met districts could be depicted as relatively high needs, they have the lower ratio of resource to needs adjustment with mets the lowest at 35.9%.</w:t>
      </w:r>
    </w:p>
    <w:p w:rsidR="008F7B6D" w:rsidRDefault="008F7B6D" w:rsidP="00DB6C1C">
      <w:pPr>
        <w:ind w:left="426"/>
        <w:rPr>
          <w:rFonts w:ascii="Arial" w:hAnsi="Arial" w:cs="Arial"/>
        </w:rPr>
      </w:pPr>
    </w:p>
    <w:p w:rsidR="00231700" w:rsidRPr="007A5654" w:rsidRDefault="008F7B6D" w:rsidP="00DB6C1C">
      <w:pPr>
        <w:pStyle w:val="ListParagraph"/>
        <w:numPr>
          <w:ilvl w:val="1"/>
          <w:numId w:val="2"/>
        </w:numPr>
        <w:ind w:left="426"/>
        <w:rPr>
          <w:rFonts w:ascii="Arial" w:hAnsi="Arial" w:cs="Arial"/>
        </w:rPr>
      </w:pPr>
      <w:r w:rsidRPr="007A5654">
        <w:rPr>
          <w:rFonts w:ascii="Arial" w:hAnsi="Arial" w:cs="Arial"/>
        </w:rPr>
        <w:t xml:space="preserve">Perhaps less intuitive is the </w:t>
      </w:r>
      <w:r w:rsidR="00F07659" w:rsidRPr="007A5654">
        <w:rPr>
          <w:rFonts w:ascii="Arial" w:hAnsi="Arial" w:cs="Arial"/>
        </w:rPr>
        <w:t xml:space="preserve">% </w:t>
      </w:r>
      <w:r w:rsidRPr="007A5654">
        <w:rPr>
          <w:rFonts w:ascii="Arial" w:hAnsi="Arial" w:cs="Arial"/>
        </w:rPr>
        <w:t>variation in</w:t>
      </w:r>
      <w:r w:rsidR="00830F00" w:rsidRPr="007A5654">
        <w:rPr>
          <w:rFonts w:ascii="Arial" w:hAnsi="Arial" w:cs="Arial"/>
        </w:rPr>
        <w:t xml:space="preserve"> R</w:t>
      </w:r>
      <w:r w:rsidRPr="007A5654">
        <w:rPr>
          <w:rFonts w:ascii="Arial" w:hAnsi="Arial" w:cs="Arial"/>
        </w:rPr>
        <w:t xml:space="preserve">esource </w:t>
      </w:r>
      <w:r w:rsidR="002D63FA" w:rsidRPr="007A5654">
        <w:rPr>
          <w:rFonts w:ascii="Arial" w:hAnsi="Arial" w:cs="Arial"/>
        </w:rPr>
        <w:t>as a proportion of</w:t>
      </w:r>
      <w:r w:rsidRPr="007A5654">
        <w:rPr>
          <w:rFonts w:ascii="Arial" w:hAnsi="Arial" w:cs="Arial"/>
        </w:rPr>
        <w:t xml:space="preserve"> Council Tax income.</w:t>
      </w:r>
      <w:r w:rsidR="007B0BE8">
        <w:rPr>
          <w:rFonts w:ascii="Arial" w:hAnsi="Arial" w:cs="Arial"/>
        </w:rPr>
        <w:t xml:space="preserve"> Since the Resource Adjustment is</w:t>
      </w:r>
      <w:r w:rsidR="00830F00" w:rsidRPr="007A5654">
        <w:rPr>
          <w:rFonts w:ascii="Arial" w:hAnsi="Arial" w:cs="Arial"/>
        </w:rPr>
        <w:t xml:space="preserve"> base</w:t>
      </w:r>
      <w:r w:rsidR="00F07659" w:rsidRPr="007A5654">
        <w:rPr>
          <w:rFonts w:ascii="Arial" w:hAnsi="Arial" w:cs="Arial"/>
        </w:rPr>
        <w:t xml:space="preserve">d </w:t>
      </w:r>
      <w:r w:rsidR="00B119C2" w:rsidRPr="007A5654">
        <w:rPr>
          <w:rFonts w:ascii="Arial" w:hAnsi="Arial" w:cs="Arial"/>
        </w:rPr>
        <w:t xml:space="preserve">on fixed values multiplied </w:t>
      </w:r>
      <w:r w:rsidR="00F07659" w:rsidRPr="007A5654">
        <w:rPr>
          <w:rFonts w:ascii="Arial" w:hAnsi="Arial" w:cs="Arial"/>
        </w:rPr>
        <w:t xml:space="preserve">partly </w:t>
      </w:r>
      <w:r w:rsidR="008B0B72" w:rsidRPr="007A5654">
        <w:rPr>
          <w:rFonts w:ascii="Arial" w:hAnsi="Arial" w:cs="Arial"/>
        </w:rPr>
        <w:t>by Council Tax base and partly by population</w:t>
      </w:r>
      <w:r w:rsidR="00EF33DC" w:rsidRPr="007A5654">
        <w:rPr>
          <w:rFonts w:ascii="Arial" w:hAnsi="Arial" w:cs="Arial"/>
        </w:rPr>
        <w:t>, the ratio is</w:t>
      </w:r>
      <w:r w:rsidR="008B0B72" w:rsidRPr="007A5654">
        <w:rPr>
          <w:rFonts w:ascii="Arial" w:hAnsi="Arial" w:cs="Arial"/>
        </w:rPr>
        <w:t xml:space="preserve"> higher for </w:t>
      </w:r>
      <w:r w:rsidR="00EF33DC" w:rsidRPr="007A5654">
        <w:rPr>
          <w:rFonts w:ascii="Arial" w:hAnsi="Arial" w:cs="Arial"/>
        </w:rPr>
        <w:t>relatively low band D and lower</w:t>
      </w:r>
      <w:r w:rsidR="008B0B72" w:rsidRPr="007A5654">
        <w:rPr>
          <w:rFonts w:ascii="Arial" w:hAnsi="Arial" w:cs="Arial"/>
        </w:rPr>
        <w:t xml:space="preserve"> for relatively high band D. </w:t>
      </w:r>
      <w:r w:rsidR="002D63FA" w:rsidRPr="007A5654">
        <w:rPr>
          <w:rFonts w:ascii="Arial" w:hAnsi="Arial" w:cs="Arial"/>
        </w:rPr>
        <w:t xml:space="preserve"> </w:t>
      </w:r>
    </w:p>
    <w:p w:rsidR="00231700" w:rsidRDefault="00231700" w:rsidP="00DB6C1C">
      <w:pPr>
        <w:ind w:left="426"/>
        <w:rPr>
          <w:rFonts w:ascii="Arial" w:hAnsi="Arial" w:cs="Arial"/>
        </w:rPr>
      </w:pPr>
    </w:p>
    <w:p w:rsidR="00240FA9" w:rsidRPr="007A5654" w:rsidRDefault="00240FA9" w:rsidP="00DB6C1C">
      <w:pPr>
        <w:pStyle w:val="ListParagraph"/>
        <w:numPr>
          <w:ilvl w:val="1"/>
          <w:numId w:val="2"/>
        </w:numPr>
        <w:ind w:left="426"/>
        <w:rPr>
          <w:i/>
          <w:noProof/>
          <w:lang w:eastAsia="en-GB"/>
        </w:rPr>
      </w:pPr>
      <w:r w:rsidRPr="007A5654">
        <w:rPr>
          <w:rFonts w:ascii="Arial" w:hAnsi="Arial" w:cs="Arial"/>
        </w:rPr>
        <w:t>If all authorities had the same level of band D tax we would expect the proportions to be more similar. In fact there is a significant variation</w:t>
      </w:r>
      <w:r w:rsidR="005052B8" w:rsidRPr="007A5654">
        <w:rPr>
          <w:rFonts w:ascii="Arial" w:hAnsi="Arial" w:cs="Arial"/>
        </w:rPr>
        <w:t xml:space="preserve"> in the values of Band D set</w:t>
      </w:r>
      <w:r w:rsidR="002D63FA" w:rsidRPr="007A5654">
        <w:rPr>
          <w:rFonts w:ascii="Arial" w:hAnsi="Arial" w:cs="Arial"/>
        </w:rPr>
        <w:t xml:space="preserve"> by authorities</w:t>
      </w:r>
      <w:r w:rsidRPr="007A5654">
        <w:rPr>
          <w:rFonts w:ascii="Arial" w:hAnsi="Arial" w:cs="Arial"/>
        </w:rPr>
        <w:t>.</w:t>
      </w:r>
      <w:r w:rsidR="005052B8" w:rsidRPr="007A5654">
        <w:rPr>
          <w:rFonts w:ascii="Arial" w:hAnsi="Arial" w:cs="Arial"/>
        </w:rPr>
        <w:t xml:space="preserve"> This variation has been consistent over the last 5 years. The next table shows a box plot of the regional variations at 2017 which are similar to those at 2011.</w:t>
      </w:r>
      <w:r w:rsidR="005052B8" w:rsidRPr="007A5654">
        <w:rPr>
          <w:i/>
          <w:noProof/>
          <w:lang w:eastAsia="en-GB"/>
        </w:rPr>
        <w:t xml:space="preserve"> </w:t>
      </w:r>
    </w:p>
    <w:p w:rsidR="002D63FA" w:rsidRPr="002D63FA" w:rsidRDefault="002D63FA">
      <w:pPr>
        <w:rPr>
          <w:rFonts w:ascii="Arial" w:hAnsi="Arial" w:cs="Arial"/>
        </w:rPr>
      </w:pPr>
    </w:p>
    <w:p w:rsidR="00CA604D" w:rsidRPr="007A5654" w:rsidRDefault="00022589" w:rsidP="007A5654">
      <w:pPr>
        <w:pStyle w:val="ListParagraph"/>
        <w:ind w:left="360"/>
        <w:rPr>
          <w:rFonts w:ascii="Arial" w:hAnsi="Arial" w:cs="Arial"/>
          <w:b/>
        </w:rPr>
      </w:pPr>
      <w:r w:rsidRPr="00030497">
        <w:rPr>
          <w:noProof/>
          <w:lang w:eastAsia="en-GB"/>
        </w:rPr>
        <mc:AlternateContent>
          <mc:Choice Requires="wps">
            <w:drawing>
              <wp:anchor distT="0" distB="0" distL="114300" distR="114300" simplePos="0" relativeHeight="251659264" behindDoc="0" locked="0" layoutInCell="1" allowOverlap="1" wp14:anchorId="4CFB0053" wp14:editId="54485142">
                <wp:simplePos x="0" y="0"/>
                <wp:positionH relativeFrom="column">
                  <wp:posOffset>4421505</wp:posOffset>
                </wp:positionH>
                <wp:positionV relativeFrom="paragraph">
                  <wp:posOffset>67310</wp:posOffset>
                </wp:positionV>
                <wp:extent cx="1882775" cy="2517140"/>
                <wp:effectExtent l="0" t="0" r="22225" b="16510"/>
                <wp:wrapNone/>
                <wp:docPr id="10" name="Rectangle 10"/>
                <wp:cNvGraphicFramePr/>
                <a:graphic xmlns:a="http://schemas.openxmlformats.org/drawingml/2006/main">
                  <a:graphicData uri="http://schemas.microsoft.com/office/word/2010/wordprocessingShape">
                    <wps:wsp>
                      <wps:cNvSpPr/>
                      <wps:spPr>
                        <a:xfrm>
                          <a:off x="0" y="0"/>
                          <a:ext cx="1882775" cy="251714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A72C66" w:rsidRPr="00C044B0" w:rsidRDefault="00A72C66" w:rsidP="005052B8">
                            <w:pPr>
                              <w:jc w:val="center"/>
                              <w:rPr>
                                <w:b/>
                                <w:color w:val="548DD4" w:themeColor="text2" w:themeTint="99"/>
                                <w:sz w:val="18"/>
                                <w:szCs w:val="18"/>
                              </w:rPr>
                            </w:pPr>
                            <w:r w:rsidRPr="00C044B0">
                              <w:rPr>
                                <w:b/>
                                <w:color w:val="548DD4" w:themeColor="text2" w:themeTint="99"/>
                                <w:sz w:val="18"/>
                                <w:szCs w:val="18"/>
                              </w:rPr>
                              <w:t>The box plots show the quartile ranges for Band D Council Tax for English regions in 2017-18. The middle two quartiles are shown as boxes, the highest and lowest quartiles as lines or “whiskers”. There is a range of £1,200 between the highest and lowest values. Inner London is significantly shifted to the left (lower) part of the range compared to others, Outer London to a lesser degree. The South East contains amongst the highest levels of band D Tax but with a wide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left:0;text-align:left;margin-left:348.15pt;margin-top:5.3pt;width:148.25pt;height:19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zVjcQIAAC4FAAAOAAAAZHJzL2Uyb0RvYy54bWysVEtv2zAMvg/YfxB0Xx0HydIFdYqgRYcB&#10;RVu0HXpWZCkxJosapcTOfv0o+dGuy2nYxRbF98ePurhsa8MOCn0FtuD52YQzZSWUld0W/Pvzzadz&#10;znwQthQGrCr4UXl+ufr44aJxSzWFHZhSIaMg1i8bV/BdCG6ZZV7uVC38GThlSakBaxFIxG1Womgo&#10;em2y6WTyOWsAS4cglfd0e90p+SrF11rJcK+1V4GZglNtIX0xfTfxm60uxHKLwu0q2Zch/qGKWlSW&#10;ko6hrkUQbI/VX6HqSiJ40OFMQp2B1pVUqQfqJp+86+ZpJ5xKvRA43o0w+f8XVt4dHpBVJc2O4LGi&#10;phk9EmrCbo1idEcANc4vye7JPWAveTrGbluNdfxTH6xNoB5HUFUbmKTL/Px8uljMOZOkm87zRT5L&#10;UbNXd4c+fFVQs3goOFL+BKY43PpAKcl0MInZjI13saqujnQKR6M65aPS1BBlnqYgiUrqyiA7CCKB&#10;kFLZkMe+KKyxZB3ddGXM6JifcjSjU28b3VSi2Og4OeX4Z8bRI2UFG0bnurKApwKUP4ZydWc/dN/1&#10;HNsP7abtpjgMbAPlkSaL0FHeO3lTEbq3wocHgcRxGjftbbinjzbQFBz6E2c7wF+n7qM9UY+0nDW0&#10;MwX3P/cCFWfmmyVSfslnNFsWkjCbL6Yk4FvN5q3G7usroInk9EI4mY7RPpjhqBHqF1rvdcxKKmEl&#10;5S64DDgIV6HbZXogpFqvkxktlhPh1j45GYNHnCN7ntsXga6nWCB23sGwX2L5jmmdbfS0sN4H0FWi&#10;YUS6w7WfAC1lolH/gMStfysnq9dnbvUbAAD//wMAUEsDBBQABgAIAAAAIQCefsI53gAAAAoBAAAP&#10;AAAAZHJzL2Rvd25yZXYueG1sTI/BTsMwEETvSPyDtUjcqN2ADEnjVBUSJwQSpdzdeJtEie0odlq3&#10;X89yosfVPM2+KdfJDuyIU+i8U7BcCGDoam861yjYfb89vAALUTujB+9QwRkDrKvbm1IXxp/cFx63&#10;sWFU4kKhFbQxjgXnoW7R6rDwIzrKDn6yOtI5NdxM+kTlduCZEJJb3Tn60OoRX1us++1sFWyyNF/q&#10;j7Pc5fyyfP/57K1NvVL3d2mzAhYxxX8Y/vRJHSpy2vvZmcAGBTKXj4RSICQwAvI8oy17BU/iWQCv&#10;Sn49ofoFAAD//wMAUEsBAi0AFAAGAAgAAAAhALaDOJL+AAAA4QEAABMAAAAAAAAAAAAAAAAAAAAA&#10;AFtDb250ZW50X1R5cGVzXS54bWxQSwECLQAUAAYACAAAACEAOP0h/9YAAACUAQAACwAAAAAAAAAA&#10;AAAAAAAvAQAAX3JlbHMvLnJlbHNQSwECLQAUAAYACAAAACEAs6M1Y3ECAAAuBQAADgAAAAAAAAAA&#10;AAAAAAAuAgAAZHJzL2Uyb0RvYy54bWxQSwECLQAUAAYACAAAACEAnn7COd4AAAAKAQAADwAAAAAA&#10;AAAAAAAAAADLBAAAZHJzL2Rvd25yZXYueG1sUEsFBgAAAAAEAAQA8wAAANYFAAAAAA==&#10;" fillcolor="white [3201]" strokecolor="#4f81bd [3204]" strokeweight="2pt">
                <v:textbox>
                  <w:txbxContent>
                    <w:p w:rsidR="00A72C66" w:rsidRPr="00C044B0" w:rsidRDefault="00A72C66" w:rsidP="005052B8">
                      <w:pPr>
                        <w:jc w:val="center"/>
                        <w:rPr>
                          <w:b/>
                          <w:color w:val="548DD4" w:themeColor="text2" w:themeTint="99"/>
                          <w:sz w:val="18"/>
                          <w:szCs w:val="18"/>
                        </w:rPr>
                      </w:pPr>
                      <w:r w:rsidRPr="00C044B0">
                        <w:rPr>
                          <w:b/>
                          <w:color w:val="548DD4" w:themeColor="text2" w:themeTint="99"/>
                          <w:sz w:val="18"/>
                          <w:szCs w:val="18"/>
                        </w:rPr>
                        <w:t>The box plots show the quartile ranges for Band D Council Tax for English regions in 2017-18. The middle two quartiles are shown as boxes, the highest and lowest quartiles as lines or “whiskers”. There is a range of £1,200 between the highest and lowest values. Inner London is significantly shifted to the left (lower) part of the range compared to others, Outer London to a lesser degree. The South East contains amongst the highest levels of band D Tax but with a wide range.</w:t>
                      </w:r>
                    </w:p>
                  </w:txbxContent>
                </v:textbox>
              </v:rect>
            </w:pict>
          </mc:Fallback>
        </mc:AlternateContent>
      </w:r>
      <w:r w:rsidR="00CA604D" w:rsidRPr="007A5654">
        <w:rPr>
          <w:b/>
          <w:i/>
          <w:noProof/>
          <w:lang w:eastAsia="en-GB"/>
        </w:rPr>
        <w:t>Box plot – Average Band D Council Tax 2017</w:t>
      </w:r>
    </w:p>
    <w:p w:rsidR="005052B8" w:rsidRPr="007A5654" w:rsidRDefault="005052B8" w:rsidP="007A5654">
      <w:pPr>
        <w:pStyle w:val="ListParagraph"/>
        <w:ind w:left="360"/>
        <w:rPr>
          <w:rFonts w:ascii="Arial" w:hAnsi="Arial" w:cs="Arial"/>
        </w:rPr>
      </w:pPr>
      <w:r w:rsidRPr="005052B8">
        <w:rPr>
          <w:noProof/>
          <w:lang w:eastAsia="en-GB"/>
        </w:rPr>
        <w:lastRenderedPageBreak/>
        <w:drawing>
          <wp:inline distT="0" distB="0" distL="0" distR="0" wp14:anchorId="119FB9B0" wp14:editId="37A35680">
            <wp:extent cx="4263039" cy="2395153"/>
            <wp:effectExtent l="0" t="0" r="444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7363" cy="2397583"/>
                    </a:xfrm>
                    <a:prstGeom prst="rect">
                      <a:avLst/>
                    </a:prstGeom>
                    <a:noFill/>
                    <a:ln>
                      <a:noFill/>
                    </a:ln>
                  </pic:spPr>
                </pic:pic>
              </a:graphicData>
            </a:graphic>
          </wp:inline>
        </w:drawing>
      </w:r>
      <w:r w:rsidRPr="007A5654">
        <w:rPr>
          <w:i/>
          <w:noProof/>
          <w:lang w:eastAsia="en-GB"/>
        </w:rPr>
        <w:t xml:space="preserve"> </w:t>
      </w:r>
    </w:p>
    <w:p w:rsidR="00240FA9" w:rsidRDefault="00240FA9">
      <w:pPr>
        <w:rPr>
          <w:rFonts w:ascii="Arial" w:hAnsi="Arial" w:cs="Arial"/>
        </w:rPr>
      </w:pPr>
    </w:p>
    <w:p w:rsidR="00240FA9" w:rsidRPr="007A5654" w:rsidRDefault="00CA604D" w:rsidP="00DB6C1C">
      <w:pPr>
        <w:pStyle w:val="ListParagraph"/>
        <w:numPr>
          <w:ilvl w:val="1"/>
          <w:numId w:val="2"/>
        </w:numPr>
        <w:ind w:left="426" w:hanging="426"/>
        <w:rPr>
          <w:rFonts w:ascii="Arial" w:hAnsi="Arial" w:cs="Arial"/>
        </w:rPr>
      </w:pPr>
      <w:r w:rsidRPr="007A5654">
        <w:rPr>
          <w:rFonts w:ascii="Arial" w:hAnsi="Arial" w:cs="Arial"/>
        </w:rPr>
        <w:t>Whilst the explanations or narrative that</w:t>
      </w:r>
      <w:r w:rsidR="002D63FA" w:rsidRPr="007A5654">
        <w:rPr>
          <w:rFonts w:ascii="Arial" w:hAnsi="Arial" w:cs="Arial"/>
        </w:rPr>
        <w:t xml:space="preserve"> might accompany this graph may</w:t>
      </w:r>
      <w:r w:rsidRPr="007A5654">
        <w:rPr>
          <w:rFonts w:ascii="Arial" w:hAnsi="Arial" w:cs="Arial"/>
        </w:rPr>
        <w:t xml:space="preserve"> vary</w:t>
      </w:r>
      <w:r w:rsidR="002D63FA" w:rsidRPr="007A5654">
        <w:rPr>
          <w:rFonts w:ascii="Arial" w:hAnsi="Arial" w:cs="Arial"/>
        </w:rPr>
        <w:t>,</w:t>
      </w:r>
      <w:r w:rsidRPr="007A5654">
        <w:rPr>
          <w:rFonts w:ascii="Arial" w:hAnsi="Arial" w:cs="Arial"/>
        </w:rPr>
        <w:t xml:space="preserve"> we suggest to the group that the mechanism of adjusting </w:t>
      </w:r>
      <w:r w:rsidR="00007598" w:rsidRPr="007A5654">
        <w:rPr>
          <w:rFonts w:ascii="Arial" w:hAnsi="Arial" w:cs="Arial"/>
        </w:rPr>
        <w:t>resource based</w:t>
      </w:r>
      <w:r w:rsidRPr="007A5654">
        <w:rPr>
          <w:rFonts w:ascii="Arial" w:hAnsi="Arial" w:cs="Arial"/>
        </w:rPr>
        <w:t xml:space="preserve"> on expected or nominal Council Tax values is something the</w:t>
      </w:r>
      <w:r w:rsidR="002D63FA" w:rsidRPr="007A5654">
        <w:rPr>
          <w:rFonts w:ascii="Arial" w:hAnsi="Arial" w:cs="Arial"/>
        </w:rPr>
        <w:t xml:space="preserve"> new mechanism should recognise so long as Council Tax continues in its current form and without a revaluation.</w:t>
      </w:r>
    </w:p>
    <w:p w:rsidR="00EF33DC" w:rsidRDefault="00EF33DC" w:rsidP="00DB6C1C">
      <w:pPr>
        <w:ind w:left="426" w:hanging="633"/>
        <w:rPr>
          <w:rFonts w:ascii="Arial" w:hAnsi="Arial" w:cs="Arial"/>
        </w:rPr>
      </w:pPr>
    </w:p>
    <w:p w:rsidR="00EF33DC" w:rsidRPr="007A5654" w:rsidRDefault="00EF33DC" w:rsidP="00DB6C1C">
      <w:pPr>
        <w:pStyle w:val="ListParagraph"/>
        <w:numPr>
          <w:ilvl w:val="1"/>
          <w:numId w:val="2"/>
        </w:numPr>
        <w:ind w:left="426" w:hanging="426"/>
        <w:rPr>
          <w:rFonts w:ascii="Arial" w:hAnsi="Arial" w:cs="Arial"/>
        </w:rPr>
      </w:pPr>
      <w:r w:rsidRPr="007A5654">
        <w:rPr>
          <w:rFonts w:ascii="Arial" w:hAnsi="Arial" w:cs="Arial"/>
        </w:rPr>
        <w:t>Our final point in this section is to show how the mechanism has been impacted by a combination of the settlement funding mechanism, and changes in Council Tax since 2013. As we have already mentioned, the value of the resource adjustment (and all other blocks within formula) has fallen as the total of settlement funding has fallen</w:t>
      </w:r>
      <w:r w:rsidR="00DE7D32" w:rsidRPr="007A5654">
        <w:rPr>
          <w:rFonts w:ascii="Arial" w:hAnsi="Arial" w:cs="Arial"/>
        </w:rPr>
        <w:t>. The method by which this has been done, cutting RSG in proportion to baseline funding, means that the ratio of Resource to gross formula has stayed about the same</w:t>
      </w:r>
      <w:r w:rsidR="00DE7D32">
        <w:rPr>
          <w:rStyle w:val="FootnoteReference"/>
          <w:rFonts w:ascii="Arial" w:hAnsi="Arial" w:cs="Arial"/>
        </w:rPr>
        <w:footnoteReference w:id="4"/>
      </w:r>
      <w:r w:rsidR="00DE7D32" w:rsidRPr="007A5654">
        <w:rPr>
          <w:rFonts w:ascii="Arial" w:hAnsi="Arial" w:cs="Arial"/>
        </w:rPr>
        <w:t>. The ratio of Resource adjustment to Council Tax has</w:t>
      </w:r>
      <w:r w:rsidR="006C66B8" w:rsidRPr="007A5654">
        <w:rPr>
          <w:rFonts w:ascii="Arial" w:hAnsi="Arial" w:cs="Arial"/>
        </w:rPr>
        <w:t>,</w:t>
      </w:r>
      <w:r w:rsidR="00DE7D32" w:rsidRPr="007A5654">
        <w:rPr>
          <w:rFonts w:ascii="Arial" w:hAnsi="Arial" w:cs="Arial"/>
        </w:rPr>
        <w:t xml:space="preserve"> however, dramatically reduced from an average of 84.8% to an average of 42.2% as the following table shows</w:t>
      </w:r>
    </w:p>
    <w:p w:rsidR="00A72C66" w:rsidRDefault="00A72C66">
      <w:pPr>
        <w:rPr>
          <w:rFonts w:ascii="Arial" w:hAnsi="Arial" w:cs="Arial"/>
        </w:rPr>
      </w:pPr>
    </w:p>
    <w:tbl>
      <w:tblPr>
        <w:tblStyle w:val="LightList-Accent1"/>
        <w:tblW w:w="0" w:type="auto"/>
        <w:tblInd w:w="392" w:type="dxa"/>
        <w:tblLayout w:type="fixed"/>
        <w:tblLook w:val="04A0" w:firstRow="1" w:lastRow="0" w:firstColumn="1" w:lastColumn="0" w:noHBand="0" w:noVBand="1"/>
      </w:tblPr>
      <w:tblGrid>
        <w:gridCol w:w="2268"/>
        <w:gridCol w:w="1417"/>
        <w:gridCol w:w="1276"/>
        <w:gridCol w:w="1276"/>
        <w:gridCol w:w="1134"/>
        <w:gridCol w:w="992"/>
        <w:gridCol w:w="1134"/>
      </w:tblGrid>
      <w:tr w:rsidR="00A72C66" w:rsidTr="00A72C66">
        <w:trPr>
          <w:cnfStyle w:val="100000000000" w:firstRow="1" w:lastRow="0" w:firstColumn="0" w:lastColumn="0" w:oddVBand="0" w:evenVBand="0" w:oddHBand="0"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p>
          <w:p w:rsidR="00A72C66" w:rsidRPr="007A5654" w:rsidRDefault="00A72C66" w:rsidP="007A5654">
            <w:pPr>
              <w:rPr>
                <w:rFonts w:cs="Arial"/>
                <w:sz w:val="19"/>
                <w:szCs w:val="19"/>
              </w:rPr>
            </w:pPr>
            <w:r w:rsidRPr="007A5654">
              <w:rPr>
                <w:rFonts w:cs="Arial"/>
                <w:sz w:val="19"/>
                <w:szCs w:val="19"/>
              </w:rPr>
              <w:t>2017-18 Formula and Council Tax by Region</w:t>
            </w:r>
          </w:p>
          <w:p w:rsidR="00A72C66" w:rsidRPr="006C35F0" w:rsidRDefault="00A72C66" w:rsidP="007A5654">
            <w:pPr>
              <w:rPr>
                <w:rFonts w:cs="Arial"/>
                <w:sz w:val="19"/>
                <w:szCs w:val="19"/>
              </w:rPr>
            </w:pPr>
          </w:p>
        </w:tc>
        <w:tc>
          <w:tcPr>
            <w:tcW w:w="1417" w:type="dxa"/>
          </w:tcPr>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Gross formula allocations adjustment</w:t>
            </w:r>
            <w:r w:rsidRPr="006C35F0">
              <w:rPr>
                <w:rStyle w:val="FootnoteReference"/>
                <w:rFonts w:cs="Arial"/>
                <w:sz w:val="16"/>
                <w:szCs w:val="16"/>
              </w:rPr>
              <w:footnoteReference w:id="5"/>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£m</w:t>
            </w:r>
          </w:p>
        </w:tc>
        <w:tc>
          <w:tcPr>
            <w:tcW w:w="1276" w:type="dxa"/>
          </w:tcPr>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Council Tax support grant in formula £m</w:t>
            </w:r>
          </w:p>
        </w:tc>
        <w:tc>
          <w:tcPr>
            <w:tcW w:w="1276" w:type="dxa"/>
          </w:tcPr>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Gross resource adjustment</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£m</w:t>
            </w:r>
          </w:p>
        </w:tc>
        <w:tc>
          <w:tcPr>
            <w:tcW w:w="1134" w:type="dxa"/>
            <w:tcBorders>
              <w:right w:val="single" w:sz="18" w:space="0" w:color="FF0000"/>
            </w:tcBorders>
          </w:tcPr>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xml:space="preserve">Resource  </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gross formula</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w:t>
            </w:r>
          </w:p>
        </w:tc>
        <w:tc>
          <w:tcPr>
            <w:tcW w:w="992" w:type="dxa"/>
            <w:tcBorders>
              <w:top w:val="single" w:sz="8" w:space="0" w:color="4F81BD" w:themeColor="accent1"/>
              <w:left w:val="single" w:sz="18" w:space="0" w:color="FF0000"/>
              <w:bottom w:val="single" w:sz="8" w:space="0" w:color="4F81BD" w:themeColor="accent1"/>
            </w:tcBorders>
          </w:tcPr>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Net</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Council</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Tax</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m</w:t>
            </w:r>
          </w:p>
        </w:tc>
        <w:tc>
          <w:tcPr>
            <w:tcW w:w="1134" w:type="dxa"/>
          </w:tcPr>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xml:space="preserve">Resource </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 Council Tax</w:t>
            </w:r>
          </w:p>
          <w:p w:rsidR="00A72C66" w:rsidRPr="007A5654" w:rsidRDefault="00A72C66" w:rsidP="007A5654">
            <w:pPr>
              <w:jc w:val="right"/>
              <w:cnfStyle w:val="100000000000" w:firstRow="1"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w:t>
            </w:r>
          </w:p>
        </w:tc>
      </w:tr>
      <w:tr w:rsidR="00A72C66" w:rsidTr="00A7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r w:rsidRPr="007A5654">
              <w:rPr>
                <w:rFonts w:cs="Arial"/>
                <w:sz w:val="19"/>
                <w:szCs w:val="19"/>
              </w:rPr>
              <w:t>Shire districts</w:t>
            </w:r>
          </w:p>
        </w:tc>
        <w:tc>
          <w:tcPr>
            <w:tcW w:w="1417" w:type="dxa"/>
          </w:tcPr>
          <w:p w:rsidR="00A72C66" w:rsidRPr="007A5654" w:rsidRDefault="00A72C66"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1,083</w:t>
            </w:r>
          </w:p>
        </w:tc>
        <w:tc>
          <w:tcPr>
            <w:tcW w:w="1276" w:type="dxa"/>
          </w:tcPr>
          <w:p w:rsidR="00A72C66" w:rsidRPr="007A5654" w:rsidRDefault="001F72FC"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87</w:t>
            </w:r>
          </w:p>
        </w:tc>
        <w:tc>
          <w:tcPr>
            <w:tcW w:w="1276" w:type="dxa"/>
          </w:tcPr>
          <w:p w:rsidR="00A72C66" w:rsidRPr="007A5654" w:rsidRDefault="001F72FC"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w:t>
            </w:r>
            <w:r w:rsidR="005477C1" w:rsidRPr="007A5654">
              <w:rPr>
                <w:rFonts w:cs="Arial"/>
                <w:sz w:val="16"/>
                <w:szCs w:val="16"/>
              </w:rPr>
              <w:t>539</w:t>
            </w:r>
          </w:p>
        </w:tc>
        <w:tc>
          <w:tcPr>
            <w:tcW w:w="1134" w:type="dxa"/>
            <w:tcBorders>
              <w:righ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49.8</w:t>
            </w:r>
          </w:p>
        </w:tc>
        <w:tc>
          <w:tcPr>
            <w:tcW w:w="992" w:type="dxa"/>
            <w:tcBorders>
              <w:lef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1,350</w:t>
            </w:r>
          </w:p>
        </w:tc>
        <w:tc>
          <w:tcPr>
            <w:tcW w:w="1134" w:type="dxa"/>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39.9</w:t>
            </w:r>
          </w:p>
        </w:tc>
      </w:tr>
      <w:tr w:rsidR="00A72C66" w:rsidTr="00A72C66">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r w:rsidRPr="007A5654">
              <w:rPr>
                <w:rFonts w:cs="Arial"/>
                <w:sz w:val="19"/>
                <w:szCs w:val="19"/>
              </w:rPr>
              <w:t>Shire Counties</w:t>
            </w:r>
          </w:p>
        </w:tc>
        <w:tc>
          <w:tcPr>
            <w:tcW w:w="1417" w:type="dxa"/>
          </w:tcPr>
          <w:p w:rsidR="00A72C66" w:rsidRPr="007A5654" w:rsidRDefault="00A72C66"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5,450</w:t>
            </w:r>
          </w:p>
        </w:tc>
        <w:tc>
          <w:tcPr>
            <w:tcW w:w="1276" w:type="dxa"/>
          </w:tcPr>
          <w:p w:rsidR="00A72C66" w:rsidRPr="007A5654" w:rsidRDefault="001F72FC"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520</w:t>
            </w:r>
          </w:p>
        </w:tc>
        <w:tc>
          <w:tcPr>
            <w:tcW w:w="1276" w:type="dxa"/>
          </w:tcPr>
          <w:p w:rsidR="00A72C66" w:rsidRPr="007A5654" w:rsidRDefault="001F72FC"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w:t>
            </w:r>
            <w:r w:rsidR="005477C1" w:rsidRPr="007A5654">
              <w:rPr>
                <w:rFonts w:cs="Arial"/>
                <w:sz w:val="16"/>
                <w:szCs w:val="16"/>
              </w:rPr>
              <w:t>3,369</w:t>
            </w:r>
          </w:p>
        </w:tc>
        <w:tc>
          <w:tcPr>
            <w:tcW w:w="1134" w:type="dxa"/>
            <w:tcBorders>
              <w:right w:val="single" w:sz="18" w:space="0" w:color="FF0000"/>
            </w:tcBorders>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61.8</w:t>
            </w:r>
          </w:p>
        </w:tc>
        <w:tc>
          <w:tcPr>
            <w:tcW w:w="992" w:type="dxa"/>
            <w:tcBorders>
              <w:top w:val="single" w:sz="8" w:space="0" w:color="4F81BD" w:themeColor="accent1"/>
              <w:left w:val="single" w:sz="18" w:space="0" w:color="FF0000"/>
              <w:bottom w:val="single" w:sz="8" w:space="0" w:color="4F81BD" w:themeColor="accent1"/>
            </w:tcBorders>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8,959</w:t>
            </w:r>
          </w:p>
        </w:tc>
        <w:tc>
          <w:tcPr>
            <w:tcW w:w="1134" w:type="dxa"/>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37.6</w:t>
            </w:r>
          </w:p>
        </w:tc>
      </w:tr>
      <w:tr w:rsidR="00A72C66" w:rsidTr="00A7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r w:rsidRPr="007A5654">
              <w:rPr>
                <w:rFonts w:cs="Arial"/>
                <w:sz w:val="19"/>
                <w:szCs w:val="19"/>
              </w:rPr>
              <w:t>Inner London</w:t>
            </w:r>
          </w:p>
        </w:tc>
        <w:tc>
          <w:tcPr>
            <w:tcW w:w="1417" w:type="dxa"/>
          </w:tcPr>
          <w:p w:rsidR="00A72C66" w:rsidRPr="007A5654" w:rsidRDefault="00A72C66"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1,771</w:t>
            </w:r>
          </w:p>
        </w:tc>
        <w:tc>
          <w:tcPr>
            <w:tcW w:w="1276" w:type="dxa"/>
          </w:tcPr>
          <w:p w:rsidR="00A72C66" w:rsidRPr="007A5654" w:rsidRDefault="001F72FC"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118</w:t>
            </w:r>
          </w:p>
        </w:tc>
        <w:tc>
          <w:tcPr>
            <w:tcW w:w="1276" w:type="dxa"/>
          </w:tcPr>
          <w:p w:rsidR="00A72C66" w:rsidRPr="007A5654" w:rsidRDefault="005477C1"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w:t>
            </w:r>
            <w:r w:rsidR="00AC3552" w:rsidRPr="007A5654">
              <w:rPr>
                <w:rFonts w:cs="Arial"/>
                <w:sz w:val="16"/>
                <w:szCs w:val="16"/>
              </w:rPr>
              <w:t>680</w:t>
            </w:r>
          </w:p>
        </w:tc>
        <w:tc>
          <w:tcPr>
            <w:tcW w:w="1134" w:type="dxa"/>
            <w:tcBorders>
              <w:righ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38.4</w:t>
            </w:r>
          </w:p>
        </w:tc>
        <w:tc>
          <w:tcPr>
            <w:tcW w:w="992" w:type="dxa"/>
            <w:tcBorders>
              <w:lef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930</w:t>
            </w:r>
          </w:p>
        </w:tc>
        <w:tc>
          <w:tcPr>
            <w:tcW w:w="1134" w:type="dxa"/>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73.1</w:t>
            </w:r>
          </w:p>
        </w:tc>
      </w:tr>
      <w:tr w:rsidR="00A72C66" w:rsidTr="00A72C66">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r w:rsidRPr="007A5654">
              <w:rPr>
                <w:rFonts w:cs="Arial"/>
                <w:sz w:val="19"/>
                <w:szCs w:val="19"/>
              </w:rPr>
              <w:t>Outer London</w:t>
            </w:r>
          </w:p>
        </w:tc>
        <w:tc>
          <w:tcPr>
            <w:tcW w:w="1417" w:type="dxa"/>
          </w:tcPr>
          <w:p w:rsidR="00A72C66" w:rsidRPr="007A5654" w:rsidRDefault="00A72C66"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2,043</w:t>
            </w:r>
          </w:p>
        </w:tc>
        <w:tc>
          <w:tcPr>
            <w:tcW w:w="1276" w:type="dxa"/>
          </w:tcPr>
          <w:p w:rsidR="00A72C66" w:rsidRPr="007A5654" w:rsidRDefault="001F72FC"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202</w:t>
            </w:r>
          </w:p>
        </w:tc>
        <w:tc>
          <w:tcPr>
            <w:tcW w:w="1276" w:type="dxa"/>
          </w:tcPr>
          <w:p w:rsidR="00A72C66" w:rsidRPr="007A5654" w:rsidRDefault="005477C1"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-990</w:t>
            </w:r>
          </w:p>
        </w:tc>
        <w:tc>
          <w:tcPr>
            <w:tcW w:w="1134" w:type="dxa"/>
            <w:tcBorders>
              <w:right w:val="single" w:sz="18" w:space="0" w:color="FF0000"/>
            </w:tcBorders>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48.5</w:t>
            </w:r>
          </w:p>
        </w:tc>
        <w:tc>
          <w:tcPr>
            <w:tcW w:w="992" w:type="dxa"/>
            <w:tcBorders>
              <w:top w:val="single" w:sz="8" w:space="0" w:color="4F81BD" w:themeColor="accent1"/>
              <w:left w:val="single" w:sz="18" w:space="0" w:color="FF0000"/>
              <w:bottom w:val="single" w:sz="8" w:space="0" w:color="4F81BD" w:themeColor="accent1"/>
            </w:tcBorders>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2,065</w:t>
            </w:r>
          </w:p>
        </w:tc>
        <w:tc>
          <w:tcPr>
            <w:tcW w:w="1134" w:type="dxa"/>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47.9</w:t>
            </w:r>
          </w:p>
        </w:tc>
      </w:tr>
      <w:tr w:rsidR="00A72C66" w:rsidTr="00A7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r w:rsidRPr="007A5654">
              <w:rPr>
                <w:rFonts w:cs="Arial"/>
                <w:sz w:val="19"/>
                <w:szCs w:val="19"/>
              </w:rPr>
              <w:t>Unitary</w:t>
            </w:r>
          </w:p>
        </w:tc>
        <w:tc>
          <w:tcPr>
            <w:tcW w:w="1417" w:type="dxa"/>
          </w:tcPr>
          <w:p w:rsidR="00A72C66" w:rsidRPr="007A5654" w:rsidRDefault="00A72C66"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4,386</w:t>
            </w:r>
          </w:p>
        </w:tc>
        <w:tc>
          <w:tcPr>
            <w:tcW w:w="1276" w:type="dxa"/>
          </w:tcPr>
          <w:p w:rsidR="00A72C66" w:rsidRPr="007A5654" w:rsidRDefault="001F72FC"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428</w:t>
            </w:r>
          </w:p>
        </w:tc>
        <w:tc>
          <w:tcPr>
            <w:tcW w:w="1276" w:type="dxa"/>
          </w:tcPr>
          <w:p w:rsidR="00A72C66" w:rsidRPr="007A5654" w:rsidRDefault="005477C1"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-2,035</w:t>
            </w:r>
          </w:p>
        </w:tc>
        <w:tc>
          <w:tcPr>
            <w:tcW w:w="1134" w:type="dxa"/>
            <w:tcBorders>
              <w:righ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46.4</w:t>
            </w:r>
          </w:p>
        </w:tc>
        <w:tc>
          <w:tcPr>
            <w:tcW w:w="992" w:type="dxa"/>
            <w:tcBorders>
              <w:lef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4,975</w:t>
            </w:r>
          </w:p>
        </w:tc>
        <w:tc>
          <w:tcPr>
            <w:tcW w:w="1134" w:type="dxa"/>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sz w:val="16"/>
                <w:szCs w:val="16"/>
              </w:rPr>
            </w:pPr>
            <w:r w:rsidRPr="007A5654">
              <w:rPr>
                <w:rFonts w:cs="Arial"/>
                <w:sz w:val="16"/>
                <w:szCs w:val="16"/>
              </w:rPr>
              <w:t>40.9</w:t>
            </w:r>
          </w:p>
        </w:tc>
      </w:tr>
      <w:tr w:rsidR="00A72C66" w:rsidTr="00A72C66">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r w:rsidRPr="007A5654">
              <w:rPr>
                <w:rFonts w:cs="Arial"/>
                <w:sz w:val="19"/>
                <w:szCs w:val="19"/>
              </w:rPr>
              <w:t>Metropolitan Districts</w:t>
            </w:r>
          </w:p>
        </w:tc>
        <w:tc>
          <w:tcPr>
            <w:tcW w:w="1417" w:type="dxa"/>
          </w:tcPr>
          <w:p w:rsidR="00A72C66" w:rsidRPr="007A5654" w:rsidRDefault="00A72C66"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4,906</w:t>
            </w:r>
          </w:p>
        </w:tc>
        <w:tc>
          <w:tcPr>
            <w:tcW w:w="1276" w:type="dxa"/>
          </w:tcPr>
          <w:p w:rsidR="00A72C66" w:rsidRPr="007A5654" w:rsidRDefault="001F72FC"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497</w:t>
            </w:r>
          </w:p>
        </w:tc>
        <w:tc>
          <w:tcPr>
            <w:tcW w:w="1276" w:type="dxa"/>
          </w:tcPr>
          <w:p w:rsidR="00A72C66" w:rsidRPr="007A5654" w:rsidRDefault="001F72FC"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w:t>
            </w:r>
            <w:r w:rsidR="005477C1" w:rsidRPr="007A5654">
              <w:rPr>
                <w:rFonts w:cs="Arial"/>
                <w:sz w:val="16"/>
                <w:szCs w:val="16"/>
              </w:rPr>
              <w:t>1,751</w:t>
            </w:r>
          </w:p>
        </w:tc>
        <w:tc>
          <w:tcPr>
            <w:tcW w:w="1134" w:type="dxa"/>
            <w:tcBorders>
              <w:right w:val="single" w:sz="18" w:space="0" w:color="FF0000"/>
            </w:tcBorders>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35.7</w:t>
            </w:r>
          </w:p>
        </w:tc>
        <w:tc>
          <w:tcPr>
            <w:tcW w:w="992" w:type="dxa"/>
            <w:tcBorders>
              <w:top w:val="single" w:sz="8" w:space="0" w:color="4F81BD" w:themeColor="accent1"/>
              <w:left w:val="single" w:sz="18" w:space="0" w:color="FF0000"/>
              <w:bottom w:val="single" w:sz="8" w:space="0" w:color="4F81BD" w:themeColor="accent1"/>
            </w:tcBorders>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3,932</w:t>
            </w:r>
          </w:p>
        </w:tc>
        <w:tc>
          <w:tcPr>
            <w:tcW w:w="1134" w:type="dxa"/>
          </w:tcPr>
          <w:p w:rsidR="00A72C66" w:rsidRPr="007A5654" w:rsidRDefault="00AC3552" w:rsidP="007A5654">
            <w:pPr>
              <w:jc w:val="right"/>
              <w:cnfStyle w:val="000000000000" w:firstRow="0" w:lastRow="0" w:firstColumn="0" w:lastColumn="0" w:oddVBand="0" w:evenVBand="0" w:oddHBand="0" w:evenHBand="0" w:firstRowFirstColumn="0" w:firstRowLastColumn="0" w:lastRowFirstColumn="0" w:lastRowLastColumn="0"/>
              <w:rPr>
                <w:rFonts w:cs="Arial"/>
                <w:sz w:val="16"/>
                <w:szCs w:val="16"/>
              </w:rPr>
            </w:pPr>
            <w:r w:rsidRPr="007A5654">
              <w:rPr>
                <w:rFonts w:cs="Arial"/>
                <w:sz w:val="16"/>
                <w:szCs w:val="16"/>
              </w:rPr>
              <w:t>44.5</w:t>
            </w:r>
          </w:p>
        </w:tc>
      </w:tr>
      <w:tr w:rsidR="00A72C66" w:rsidRPr="00A72C66" w:rsidTr="00A72C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A72C66" w:rsidRPr="007A5654" w:rsidRDefault="00A72C66" w:rsidP="007A5654">
            <w:pPr>
              <w:rPr>
                <w:rFonts w:cs="Arial"/>
                <w:sz w:val="19"/>
                <w:szCs w:val="19"/>
              </w:rPr>
            </w:pPr>
            <w:r w:rsidRPr="007A5654">
              <w:rPr>
                <w:rFonts w:cs="Arial"/>
                <w:sz w:val="19"/>
                <w:szCs w:val="19"/>
              </w:rPr>
              <w:t>Total £m_average %</w:t>
            </w:r>
          </w:p>
        </w:tc>
        <w:tc>
          <w:tcPr>
            <w:tcW w:w="1417" w:type="dxa"/>
          </w:tcPr>
          <w:p w:rsidR="00A72C66" w:rsidRPr="007A5654" w:rsidRDefault="00A72C66"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19,639</w:t>
            </w:r>
          </w:p>
        </w:tc>
        <w:tc>
          <w:tcPr>
            <w:tcW w:w="1276" w:type="dxa"/>
          </w:tcPr>
          <w:p w:rsidR="00A72C66" w:rsidRPr="007A5654" w:rsidRDefault="001F72FC"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1,852</w:t>
            </w:r>
          </w:p>
        </w:tc>
        <w:tc>
          <w:tcPr>
            <w:tcW w:w="1276" w:type="dxa"/>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9,364</w:t>
            </w:r>
          </w:p>
        </w:tc>
        <w:tc>
          <w:tcPr>
            <w:tcW w:w="1134" w:type="dxa"/>
            <w:tcBorders>
              <w:righ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47.7</w:t>
            </w:r>
          </w:p>
        </w:tc>
        <w:tc>
          <w:tcPr>
            <w:tcW w:w="992" w:type="dxa"/>
            <w:tcBorders>
              <w:left w:val="single" w:sz="18" w:space="0" w:color="FF0000"/>
            </w:tcBorders>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22,211</w:t>
            </w:r>
          </w:p>
        </w:tc>
        <w:tc>
          <w:tcPr>
            <w:tcW w:w="1134" w:type="dxa"/>
          </w:tcPr>
          <w:p w:rsidR="00A72C66" w:rsidRPr="007A5654" w:rsidRDefault="00AC3552" w:rsidP="007A5654">
            <w:pPr>
              <w:jc w:val="right"/>
              <w:cnfStyle w:val="000000100000" w:firstRow="0" w:lastRow="0" w:firstColumn="0" w:lastColumn="0" w:oddVBand="0" w:evenVBand="0" w:oddHBand="1" w:evenHBand="0" w:firstRowFirstColumn="0" w:firstRowLastColumn="0" w:lastRowFirstColumn="0" w:lastRowLastColumn="0"/>
              <w:rPr>
                <w:rFonts w:cs="Arial"/>
                <w:b/>
                <w:sz w:val="16"/>
                <w:szCs w:val="16"/>
              </w:rPr>
            </w:pPr>
            <w:r w:rsidRPr="007A5654">
              <w:rPr>
                <w:rFonts w:cs="Arial"/>
                <w:b/>
                <w:sz w:val="16"/>
                <w:szCs w:val="16"/>
              </w:rPr>
              <w:t>42.2</w:t>
            </w:r>
          </w:p>
        </w:tc>
      </w:tr>
    </w:tbl>
    <w:p w:rsidR="002D63FA" w:rsidRPr="00F47756" w:rsidRDefault="00F47756">
      <w:pPr>
        <w:rPr>
          <w:rFonts w:ascii="Arial" w:hAnsi="Arial" w:cs="Arial"/>
          <w:color w:val="BFBFBF" w:themeColor="background1" w:themeShade="BF"/>
          <w:sz w:val="12"/>
          <w:szCs w:val="12"/>
        </w:rPr>
      </w:pPr>
      <w:r w:rsidRPr="00F47756">
        <w:rPr>
          <w:rFonts w:ascii="Arial" w:hAnsi="Arial" w:cs="Arial"/>
          <w:color w:val="BFBFBF" w:themeColor="background1" w:themeShade="BF"/>
          <w:sz w:val="12"/>
          <w:szCs w:val="12"/>
        </w:rPr>
        <w:t>G:\Sigoma\Working and Steering Groups (External)\Working Groups\</w:t>
      </w:r>
      <w:proofErr w:type="spellStart"/>
      <w:r w:rsidRPr="00F47756">
        <w:rPr>
          <w:rFonts w:ascii="Arial" w:hAnsi="Arial" w:cs="Arial"/>
          <w:color w:val="BFBFBF" w:themeColor="background1" w:themeShade="BF"/>
          <w:sz w:val="12"/>
          <w:szCs w:val="12"/>
        </w:rPr>
        <w:t>RatesRetention</w:t>
      </w:r>
      <w:proofErr w:type="spellEnd"/>
      <w:r w:rsidRPr="00F47756">
        <w:rPr>
          <w:rFonts w:ascii="Arial" w:hAnsi="Arial" w:cs="Arial"/>
          <w:color w:val="BFBFBF" w:themeColor="background1" w:themeShade="BF"/>
          <w:sz w:val="12"/>
          <w:szCs w:val="12"/>
        </w:rPr>
        <w:t>\New groups 2016</w:t>
      </w:r>
      <w:proofErr w:type="gramStart"/>
      <w:r w:rsidRPr="00F47756">
        <w:rPr>
          <w:rFonts w:ascii="Arial" w:hAnsi="Arial" w:cs="Arial"/>
          <w:color w:val="BFBFBF" w:themeColor="background1" w:themeShade="BF"/>
          <w:sz w:val="12"/>
          <w:szCs w:val="12"/>
        </w:rPr>
        <w:t>\[</w:t>
      </w:r>
      <w:proofErr w:type="spellStart"/>
      <w:proofErr w:type="gramEnd"/>
      <w:r w:rsidRPr="00F47756">
        <w:rPr>
          <w:rFonts w:ascii="Arial" w:hAnsi="Arial" w:cs="Arial"/>
          <w:color w:val="BFBFBF" w:themeColor="background1" w:themeShade="BF"/>
          <w:sz w:val="12"/>
          <w:szCs w:val="12"/>
        </w:rPr>
        <w:t>Needs_resource_counciltax_paper</w:t>
      </w:r>
      <w:proofErr w:type="spellEnd"/>
      <w:r w:rsidRPr="00F47756">
        <w:rPr>
          <w:rFonts w:ascii="Arial" w:hAnsi="Arial" w:cs="Arial"/>
          <w:color w:val="BFBFBF" w:themeColor="background1" w:themeShade="BF"/>
          <w:sz w:val="12"/>
          <w:szCs w:val="12"/>
        </w:rPr>
        <w:t xml:space="preserve"> for officersTempv.xlsx]</w:t>
      </w:r>
      <w:proofErr w:type="spellStart"/>
      <w:r w:rsidRPr="00F47756">
        <w:rPr>
          <w:rFonts w:ascii="Arial" w:hAnsi="Arial" w:cs="Arial"/>
          <w:color w:val="BFBFBF" w:themeColor="background1" w:themeShade="BF"/>
          <w:sz w:val="12"/>
          <w:szCs w:val="12"/>
        </w:rPr>
        <w:t>CTRperTaxbase</w:t>
      </w:r>
      <w:proofErr w:type="spellEnd"/>
    </w:p>
    <w:p w:rsidR="00AC3552" w:rsidRPr="007A5654" w:rsidRDefault="00DE7D32" w:rsidP="00DB6C1C">
      <w:pPr>
        <w:pStyle w:val="ListParagraph"/>
        <w:numPr>
          <w:ilvl w:val="1"/>
          <w:numId w:val="2"/>
        </w:numPr>
        <w:ind w:left="426" w:hanging="426"/>
        <w:rPr>
          <w:rFonts w:ascii="Arial" w:hAnsi="Arial" w:cs="Arial"/>
          <w:i/>
        </w:rPr>
      </w:pPr>
      <w:r w:rsidRPr="007A5654">
        <w:rPr>
          <w:rFonts w:ascii="Arial" w:hAnsi="Arial" w:cs="Arial"/>
          <w:i/>
        </w:rPr>
        <w:t>We suggest the group should identify and explain this issue to steering group and ministers</w:t>
      </w:r>
      <w:r w:rsidR="009D383A" w:rsidRPr="007A5654">
        <w:rPr>
          <w:rFonts w:ascii="Arial" w:hAnsi="Arial" w:cs="Arial"/>
          <w:i/>
        </w:rPr>
        <w:t xml:space="preserve"> an</w:t>
      </w:r>
      <w:r w:rsidRPr="007A5654">
        <w:rPr>
          <w:rFonts w:ascii="Arial" w:hAnsi="Arial" w:cs="Arial"/>
          <w:i/>
        </w:rPr>
        <w:t>d</w:t>
      </w:r>
      <w:r w:rsidR="009D383A" w:rsidRPr="007A5654">
        <w:rPr>
          <w:rFonts w:ascii="Arial" w:hAnsi="Arial" w:cs="Arial"/>
          <w:i/>
        </w:rPr>
        <w:t xml:space="preserve"> </w:t>
      </w:r>
      <w:r w:rsidRPr="007A5654">
        <w:rPr>
          <w:rFonts w:ascii="Arial" w:hAnsi="Arial" w:cs="Arial"/>
          <w:i/>
        </w:rPr>
        <w:t>possibly identify a range of R</w:t>
      </w:r>
      <w:r w:rsidR="009D383A" w:rsidRPr="007A5654">
        <w:rPr>
          <w:rFonts w:ascii="Arial" w:hAnsi="Arial" w:cs="Arial"/>
          <w:i/>
        </w:rPr>
        <w:t xml:space="preserve">esource </w:t>
      </w:r>
      <w:r w:rsidR="005E1D94" w:rsidRPr="007A5654">
        <w:rPr>
          <w:rFonts w:ascii="Arial" w:hAnsi="Arial" w:cs="Arial"/>
          <w:i/>
        </w:rPr>
        <w:t xml:space="preserve">Adjustment </w:t>
      </w:r>
      <w:r w:rsidR="009D383A" w:rsidRPr="007A5654">
        <w:rPr>
          <w:rFonts w:ascii="Arial" w:hAnsi="Arial" w:cs="Arial"/>
          <w:i/>
        </w:rPr>
        <w:t xml:space="preserve">Values </w:t>
      </w:r>
      <w:r w:rsidRPr="007A5654">
        <w:rPr>
          <w:rFonts w:ascii="Arial" w:hAnsi="Arial" w:cs="Arial"/>
          <w:i/>
        </w:rPr>
        <w:t>that more</w:t>
      </w:r>
      <w:r w:rsidR="007B0BE8">
        <w:rPr>
          <w:rFonts w:ascii="Arial" w:hAnsi="Arial" w:cs="Arial"/>
          <w:i/>
        </w:rPr>
        <w:t xml:space="preserve"> closely reflects the relationship to</w:t>
      </w:r>
      <w:r w:rsidRPr="007A5654">
        <w:rPr>
          <w:rFonts w:ascii="Arial" w:hAnsi="Arial" w:cs="Arial"/>
          <w:i/>
        </w:rPr>
        <w:t xml:space="preserve"> Council Tax established in 2013 </w:t>
      </w:r>
    </w:p>
    <w:p w:rsidR="00AC3552" w:rsidRDefault="00AC3552" w:rsidP="00807BBF">
      <w:pPr>
        <w:ind w:left="993" w:hanging="633"/>
        <w:rPr>
          <w:rFonts w:ascii="Arial" w:hAnsi="Arial" w:cs="Arial"/>
        </w:rPr>
      </w:pPr>
    </w:p>
    <w:p w:rsidR="006C35F0" w:rsidRDefault="002D63FA" w:rsidP="00F47756">
      <w:pPr>
        <w:pStyle w:val="ListParagraph"/>
        <w:numPr>
          <w:ilvl w:val="1"/>
          <w:numId w:val="2"/>
        </w:numPr>
        <w:ind w:left="426" w:hanging="426"/>
        <w:rPr>
          <w:rFonts w:ascii="Arial" w:hAnsi="Arial" w:cs="Arial"/>
        </w:rPr>
      </w:pPr>
      <w:r w:rsidRPr="007A5654">
        <w:rPr>
          <w:rFonts w:ascii="Arial" w:hAnsi="Arial" w:cs="Arial"/>
        </w:rPr>
        <w:t>A more detailed</w:t>
      </w:r>
      <w:r w:rsidR="008B0B72" w:rsidRPr="007A5654">
        <w:rPr>
          <w:rFonts w:ascii="Arial" w:hAnsi="Arial" w:cs="Arial"/>
        </w:rPr>
        <w:t xml:space="preserve"> authority level illustration</w:t>
      </w:r>
      <w:r w:rsidR="00B119C2" w:rsidRPr="007A5654">
        <w:rPr>
          <w:rFonts w:ascii="Arial" w:hAnsi="Arial" w:cs="Arial"/>
        </w:rPr>
        <w:t xml:space="preserve"> of the resource adjustment calculations </w:t>
      </w:r>
      <w:r w:rsidR="008B0B72" w:rsidRPr="007A5654">
        <w:rPr>
          <w:rFonts w:ascii="Arial" w:hAnsi="Arial" w:cs="Arial"/>
        </w:rPr>
        <w:t>for a Met district and a shire area are attached as Appendix A</w:t>
      </w:r>
      <w:r w:rsidR="00F07659" w:rsidRPr="007A5654">
        <w:rPr>
          <w:rFonts w:ascii="Arial" w:hAnsi="Arial" w:cs="Arial"/>
        </w:rPr>
        <w:t>.</w:t>
      </w:r>
    </w:p>
    <w:p w:rsidR="00F47756" w:rsidRPr="00F47756" w:rsidRDefault="00F47756" w:rsidP="00F47756">
      <w:pPr>
        <w:rPr>
          <w:rFonts w:ascii="Arial" w:hAnsi="Arial" w:cs="Arial"/>
        </w:rPr>
      </w:pPr>
    </w:p>
    <w:p w:rsidR="001D2FDC" w:rsidRPr="007A5654" w:rsidRDefault="001D2FDC" w:rsidP="00DB6C1C">
      <w:pPr>
        <w:pStyle w:val="ListParagraph"/>
        <w:numPr>
          <w:ilvl w:val="1"/>
          <w:numId w:val="2"/>
        </w:numPr>
        <w:ind w:left="709" w:hanging="709"/>
        <w:rPr>
          <w:rFonts w:ascii="Arial" w:hAnsi="Arial" w:cs="Arial"/>
          <w:b/>
        </w:rPr>
      </w:pPr>
      <w:r w:rsidRPr="007A5654">
        <w:rPr>
          <w:rFonts w:ascii="Arial" w:hAnsi="Arial" w:cs="Arial"/>
          <w:b/>
        </w:rPr>
        <w:t xml:space="preserve">Is the current methodology fit for purpose? </w:t>
      </w:r>
    </w:p>
    <w:p w:rsidR="001D2FDC" w:rsidRPr="007A5654" w:rsidRDefault="001D2FDC" w:rsidP="00DB6C1C">
      <w:pPr>
        <w:pStyle w:val="ListParagraph"/>
        <w:ind w:left="709"/>
        <w:rPr>
          <w:rFonts w:ascii="Arial" w:hAnsi="Arial" w:cs="Arial"/>
          <w:i/>
        </w:rPr>
      </w:pPr>
      <w:r w:rsidRPr="007A5654">
        <w:rPr>
          <w:rFonts w:ascii="Arial" w:hAnsi="Arial" w:cs="Arial"/>
          <w:i/>
        </w:rPr>
        <w:t>We suggest that there is nothing fundamentally wrong with the apportionment basis but that the resource equalisation</w:t>
      </w:r>
      <w:r w:rsidRPr="007A5654">
        <w:rPr>
          <w:rFonts w:ascii="Arial" w:hAnsi="Arial" w:cs="Arial"/>
          <w:i/>
          <w:u w:val="single"/>
        </w:rPr>
        <w:t xml:space="preserve"> value</w:t>
      </w:r>
      <w:r w:rsidRPr="007A5654">
        <w:rPr>
          <w:rFonts w:ascii="Arial" w:hAnsi="Arial" w:cs="Arial"/>
          <w:i/>
        </w:rPr>
        <w:t xml:space="preserve"> needs to be lifted to reflect a consistent proportion of Council Tax income and hence increase Needs values.</w:t>
      </w:r>
    </w:p>
    <w:p w:rsidR="001D2FDC" w:rsidRPr="007A5654" w:rsidRDefault="001D2FDC" w:rsidP="00DB6C1C">
      <w:pPr>
        <w:pStyle w:val="ListParagraph"/>
        <w:numPr>
          <w:ilvl w:val="1"/>
          <w:numId w:val="2"/>
        </w:numPr>
        <w:ind w:left="709" w:hanging="709"/>
        <w:rPr>
          <w:rFonts w:ascii="Arial" w:hAnsi="Arial" w:cs="Arial"/>
          <w:b/>
        </w:rPr>
      </w:pPr>
      <w:r w:rsidRPr="007A5654">
        <w:rPr>
          <w:rFonts w:ascii="Arial" w:hAnsi="Arial" w:cs="Arial"/>
          <w:b/>
        </w:rPr>
        <w:lastRenderedPageBreak/>
        <w:t>How could the current methodology be improved?</w:t>
      </w:r>
    </w:p>
    <w:p w:rsidR="001D2FDC" w:rsidRPr="007A5654" w:rsidRDefault="001D2FDC" w:rsidP="00DB6C1C">
      <w:pPr>
        <w:pStyle w:val="ListParagraph"/>
        <w:ind w:left="709"/>
        <w:rPr>
          <w:rFonts w:ascii="Arial" w:hAnsi="Arial" w:cs="Arial"/>
          <w:i/>
        </w:rPr>
      </w:pPr>
      <w:r w:rsidRPr="007A5654">
        <w:rPr>
          <w:rFonts w:ascii="Arial" w:hAnsi="Arial" w:cs="Arial"/>
          <w:i/>
        </w:rPr>
        <w:t xml:space="preserve">We suggest that DCLG could model and share the impact of varying </w:t>
      </w:r>
      <w:r w:rsidR="00163BCC" w:rsidRPr="007A5654">
        <w:rPr>
          <w:rFonts w:ascii="Arial" w:hAnsi="Arial" w:cs="Arial"/>
          <w:i/>
        </w:rPr>
        <w:t>the extent to which Resource adjustment is used to increase Needs and Basic Amount.</w:t>
      </w:r>
    </w:p>
    <w:p w:rsidR="001D2FDC" w:rsidRPr="007A5654" w:rsidRDefault="001D2FDC" w:rsidP="00DB6C1C">
      <w:pPr>
        <w:pStyle w:val="ListParagraph"/>
        <w:numPr>
          <w:ilvl w:val="1"/>
          <w:numId w:val="2"/>
        </w:numPr>
        <w:ind w:left="709" w:hanging="709"/>
        <w:rPr>
          <w:rFonts w:ascii="Arial" w:hAnsi="Arial" w:cs="Arial"/>
          <w:b/>
        </w:rPr>
      </w:pPr>
      <w:r w:rsidRPr="007A5654">
        <w:rPr>
          <w:rFonts w:ascii="Arial" w:hAnsi="Arial" w:cs="Arial"/>
          <w:b/>
        </w:rPr>
        <w:t xml:space="preserve">What value should </w:t>
      </w:r>
      <w:r w:rsidR="00163BCC" w:rsidRPr="007A5654">
        <w:rPr>
          <w:rFonts w:ascii="Arial" w:hAnsi="Arial" w:cs="Arial"/>
          <w:b/>
        </w:rPr>
        <w:t>the resource adjustment be set at</w:t>
      </w:r>
      <w:r w:rsidRPr="007A5654">
        <w:rPr>
          <w:rFonts w:ascii="Arial" w:hAnsi="Arial" w:cs="Arial"/>
          <w:b/>
        </w:rPr>
        <w:t xml:space="preserve">? </w:t>
      </w:r>
    </w:p>
    <w:p w:rsidR="001D2FDC" w:rsidRPr="007A5654" w:rsidRDefault="001D2FDC" w:rsidP="00DB6C1C">
      <w:pPr>
        <w:pStyle w:val="ListParagraph"/>
        <w:ind w:left="709"/>
        <w:rPr>
          <w:rFonts w:ascii="Arial" w:hAnsi="Arial" w:cs="Arial"/>
          <w:i/>
        </w:rPr>
      </w:pPr>
      <w:r w:rsidRPr="007A5654">
        <w:rPr>
          <w:rFonts w:ascii="Arial" w:hAnsi="Arial" w:cs="Arial"/>
          <w:i/>
        </w:rPr>
        <w:t xml:space="preserve">We suggest that the resource adjustment should be fixed relative to the size of </w:t>
      </w:r>
      <w:r w:rsidR="00163BCC" w:rsidRPr="007A5654">
        <w:rPr>
          <w:rFonts w:ascii="Arial" w:hAnsi="Arial" w:cs="Arial"/>
          <w:i/>
        </w:rPr>
        <w:t xml:space="preserve">total </w:t>
      </w:r>
      <w:r w:rsidRPr="007A5654">
        <w:rPr>
          <w:rFonts w:ascii="Arial" w:hAnsi="Arial" w:cs="Arial"/>
          <w:i/>
        </w:rPr>
        <w:t>Council tax income (but apportioned by tax base)</w:t>
      </w:r>
    </w:p>
    <w:p w:rsidR="001D2FDC" w:rsidRPr="007A5654" w:rsidRDefault="001D2FDC" w:rsidP="00DB6C1C">
      <w:pPr>
        <w:pStyle w:val="ListParagraph"/>
        <w:numPr>
          <w:ilvl w:val="1"/>
          <w:numId w:val="2"/>
        </w:numPr>
        <w:ind w:left="709" w:hanging="709"/>
        <w:rPr>
          <w:rFonts w:ascii="Arial" w:hAnsi="Arial" w:cs="Arial"/>
          <w:b/>
        </w:rPr>
      </w:pPr>
      <w:r w:rsidRPr="007A5654">
        <w:rPr>
          <w:rFonts w:ascii="Arial" w:hAnsi="Arial" w:cs="Arial"/>
          <w:b/>
        </w:rPr>
        <w:t>If the move to a simpler formula results in the removal of tier level aggregations, how should a needs basis be adapted?</w:t>
      </w:r>
    </w:p>
    <w:p w:rsidR="001D2FDC" w:rsidRPr="007A5654" w:rsidRDefault="001D2FDC" w:rsidP="00DB6C1C">
      <w:pPr>
        <w:pStyle w:val="ListParagraph"/>
        <w:ind w:left="709" w:hanging="349"/>
        <w:rPr>
          <w:rFonts w:ascii="Arial" w:hAnsi="Arial" w:cs="Arial"/>
          <w:b/>
        </w:rPr>
      </w:pPr>
      <w:r w:rsidRPr="007A5654">
        <w:rPr>
          <w:rFonts w:ascii="Arial" w:hAnsi="Arial" w:cs="Arial"/>
          <w:i/>
        </w:rPr>
        <w:t>The tier level method could still be used to allocate basic funding but tier level resource adjustments need not be aggregated toge</w:t>
      </w:r>
      <w:r w:rsidRPr="007A5654">
        <w:rPr>
          <w:rFonts w:ascii="Arial" w:hAnsi="Arial" w:cs="Arial"/>
          <w:b/>
        </w:rPr>
        <w:t>ther</w:t>
      </w:r>
    </w:p>
    <w:p w:rsidR="001D2FDC" w:rsidRDefault="001D2FDC">
      <w:pPr>
        <w:rPr>
          <w:rFonts w:ascii="Arial" w:hAnsi="Arial" w:cs="Arial"/>
          <w:b/>
          <w:sz w:val="28"/>
          <w:szCs w:val="28"/>
          <w:u w:val="single"/>
        </w:rPr>
      </w:pPr>
    </w:p>
    <w:p w:rsidR="001D2FDC" w:rsidRDefault="001D2FDC">
      <w:pPr>
        <w:rPr>
          <w:rFonts w:ascii="Arial" w:hAnsi="Arial" w:cs="Arial"/>
          <w:b/>
          <w:sz w:val="28"/>
          <w:szCs w:val="28"/>
          <w:u w:val="single"/>
        </w:rPr>
      </w:pPr>
    </w:p>
    <w:p w:rsidR="0049471A" w:rsidRPr="007A5654" w:rsidRDefault="005E1D94" w:rsidP="007A5654">
      <w:pPr>
        <w:pStyle w:val="ListParagraph"/>
        <w:numPr>
          <w:ilvl w:val="0"/>
          <w:numId w:val="2"/>
        </w:numPr>
        <w:rPr>
          <w:rFonts w:ascii="Arial" w:hAnsi="Arial" w:cs="Arial"/>
          <w:b/>
          <w:sz w:val="28"/>
          <w:szCs w:val="28"/>
          <w:u w:val="single"/>
        </w:rPr>
      </w:pPr>
      <w:r w:rsidRPr="007A5654">
        <w:rPr>
          <w:rFonts w:ascii="Arial" w:hAnsi="Arial" w:cs="Arial"/>
          <w:b/>
          <w:sz w:val="28"/>
          <w:szCs w:val="28"/>
          <w:u w:val="single"/>
        </w:rPr>
        <w:t>Reliefs and Support</w:t>
      </w:r>
    </w:p>
    <w:p w:rsidR="00232D57" w:rsidRPr="005760BA" w:rsidRDefault="00232D57" w:rsidP="00232D57">
      <w:pPr>
        <w:rPr>
          <w:rFonts w:ascii="Arial" w:hAnsi="Arial" w:cs="Arial"/>
        </w:rPr>
      </w:pPr>
    </w:p>
    <w:p w:rsidR="0049471A" w:rsidRDefault="009937D3" w:rsidP="00DB6C1C">
      <w:pPr>
        <w:pStyle w:val="ListParagraph"/>
        <w:numPr>
          <w:ilvl w:val="1"/>
          <w:numId w:val="2"/>
        </w:numPr>
        <w:ind w:left="426"/>
        <w:rPr>
          <w:rFonts w:ascii="Arial" w:hAnsi="Arial" w:cs="Arial"/>
        </w:rPr>
      </w:pPr>
      <w:r w:rsidRPr="007A5654">
        <w:rPr>
          <w:rFonts w:ascii="Arial" w:hAnsi="Arial" w:cs="Arial"/>
        </w:rPr>
        <w:t>Up to 2013</w:t>
      </w:r>
      <w:r w:rsidR="00084448" w:rsidRPr="007A5654">
        <w:rPr>
          <w:rFonts w:ascii="Arial" w:hAnsi="Arial" w:cs="Arial"/>
        </w:rPr>
        <w:t>,</w:t>
      </w:r>
      <w:r w:rsidRPr="007A5654">
        <w:rPr>
          <w:rFonts w:ascii="Arial" w:hAnsi="Arial" w:cs="Arial"/>
        </w:rPr>
        <w:t xml:space="preserve"> councils were reimbursed for the amount of Council Tax they had foregone under Council Tax Benefit rules.  This reimbursement was treated as Council Tax income</w:t>
      </w:r>
      <w:r w:rsidR="00133575" w:rsidRPr="007A5654">
        <w:rPr>
          <w:rFonts w:ascii="Arial" w:hAnsi="Arial" w:cs="Arial"/>
        </w:rPr>
        <w:t xml:space="preserve"> by authorities and</w:t>
      </w:r>
      <w:r w:rsidRPr="007A5654">
        <w:rPr>
          <w:rFonts w:ascii="Arial" w:hAnsi="Arial" w:cs="Arial"/>
        </w:rPr>
        <w:t xml:space="preserve"> amounted to an overall total of around £3,660 million in 2012-13.</w:t>
      </w:r>
    </w:p>
    <w:p w:rsidR="00807BBF" w:rsidRPr="007A5654" w:rsidRDefault="00807BBF" w:rsidP="00DB6C1C">
      <w:pPr>
        <w:pStyle w:val="ListParagraph"/>
        <w:ind w:left="426"/>
        <w:rPr>
          <w:rFonts w:ascii="Arial" w:hAnsi="Arial" w:cs="Arial"/>
        </w:rPr>
      </w:pPr>
    </w:p>
    <w:p w:rsidR="00314EB5" w:rsidRPr="007A5654" w:rsidRDefault="009937D3" w:rsidP="00DB6C1C">
      <w:pPr>
        <w:pStyle w:val="ListParagraph"/>
        <w:numPr>
          <w:ilvl w:val="1"/>
          <w:numId w:val="2"/>
        </w:numPr>
        <w:ind w:left="426"/>
        <w:rPr>
          <w:rFonts w:ascii="Arial" w:hAnsi="Arial" w:cs="Arial"/>
        </w:rPr>
      </w:pPr>
      <w:r w:rsidRPr="007A5654">
        <w:rPr>
          <w:rFonts w:ascii="Arial" w:hAnsi="Arial" w:cs="Arial"/>
        </w:rPr>
        <w:t>With the introduction of business rate retention in 2013-14 came the withdrawal of Council Tax Benefit. From this date authorities carried the responsibility for “Council Tax Support”</w:t>
      </w:r>
      <w:r w:rsidR="006575DC" w:rsidRPr="007A5654">
        <w:rPr>
          <w:rFonts w:ascii="Arial" w:hAnsi="Arial" w:cs="Arial"/>
        </w:rPr>
        <w:t xml:space="preserve"> (CTS)</w:t>
      </w:r>
      <w:r w:rsidRPr="007A5654">
        <w:rPr>
          <w:rFonts w:ascii="Arial" w:hAnsi="Arial" w:cs="Arial"/>
        </w:rPr>
        <w:t xml:space="preserve">, a locally devised scheme (within certain national parameters) </w:t>
      </w:r>
      <w:r w:rsidR="007D70E5" w:rsidRPr="007A5654">
        <w:rPr>
          <w:rFonts w:ascii="Arial" w:hAnsi="Arial" w:cs="Arial"/>
        </w:rPr>
        <w:t xml:space="preserve">to reduce </w:t>
      </w:r>
      <w:r w:rsidR="00133575" w:rsidRPr="007A5654">
        <w:rPr>
          <w:rFonts w:ascii="Arial" w:hAnsi="Arial" w:cs="Arial"/>
        </w:rPr>
        <w:t>Council T</w:t>
      </w:r>
      <w:r w:rsidR="00314EB5" w:rsidRPr="007A5654">
        <w:rPr>
          <w:rFonts w:ascii="Arial" w:hAnsi="Arial" w:cs="Arial"/>
        </w:rPr>
        <w:t xml:space="preserve">ax bills for low income residents. </w:t>
      </w:r>
    </w:p>
    <w:p w:rsidR="00314EB5" w:rsidRPr="005760BA" w:rsidRDefault="00314EB5" w:rsidP="00DB6C1C">
      <w:pPr>
        <w:ind w:left="426"/>
        <w:rPr>
          <w:rFonts w:ascii="Arial" w:hAnsi="Arial" w:cs="Arial"/>
        </w:rPr>
      </w:pPr>
    </w:p>
    <w:p w:rsidR="009937D3" w:rsidRPr="007A5654" w:rsidRDefault="00314EB5" w:rsidP="00DB6C1C">
      <w:pPr>
        <w:pStyle w:val="ListParagraph"/>
        <w:numPr>
          <w:ilvl w:val="1"/>
          <w:numId w:val="2"/>
        </w:numPr>
        <w:ind w:left="426"/>
        <w:rPr>
          <w:rFonts w:ascii="Arial" w:hAnsi="Arial" w:cs="Arial"/>
        </w:rPr>
      </w:pPr>
      <w:r w:rsidRPr="007A5654">
        <w:rPr>
          <w:rFonts w:ascii="Arial" w:hAnsi="Arial" w:cs="Arial"/>
        </w:rPr>
        <w:t xml:space="preserve">This was </w:t>
      </w:r>
      <w:r w:rsidR="00133575" w:rsidRPr="007A5654">
        <w:rPr>
          <w:rFonts w:ascii="Arial" w:hAnsi="Arial" w:cs="Arial"/>
        </w:rPr>
        <w:t>initially financed by a £3,295 m</w:t>
      </w:r>
      <w:r w:rsidRPr="007A5654">
        <w:rPr>
          <w:rFonts w:ascii="Arial" w:hAnsi="Arial" w:cs="Arial"/>
        </w:rPr>
        <w:t>illion Government grant</w:t>
      </w:r>
      <w:r w:rsidR="00B96E0C" w:rsidRPr="007A5654">
        <w:rPr>
          <w:rFonts w:ascii="Arial" w:hAnsi="Arial" w:cs="Arial"/>
        </w:rPr>
        <w:t>,</w:t>
      </w:r>
      <w:r w:rsidRPr="007A5654">
        <w:rPr>
          <w:rFonts w:ascii="Arial" w:hAnsi="Arial" w:cs="Arial"/>
        </w:rPr>
        <w:t xml:space="preserve"> representing 90% of the projected 2013 benefit cost. The grant was</w:t>
      </w:r>
      <w:r w:rsidR="00084448" w:rsidRPr="007A5654">
        <w:rPr>
          <w:rFonts w:ascii="Arial" w:hAnsi="Arial" w:cs="Arial"/>
        </w:rPr>
        <w:t>,</w:t>
      </w:r>
      <w:r w:rsidRPr="007A5654">
        <w:rPr>
          <w:rFonts w:ascii="Arial" w:hAnsi="Arial" w:cs="Arial"/>
        </w:rPr>
        <w:t xml:space="preserve"> however</w:t>
      </w:r>
      <w:r w:rsidR="00084448" w:rsidRPr="007A5654">
        <w:rPr>
          <w:rFonts w:ascii="Arial" w:hAnsi="Arial" w:cs="Arial"/>
        </w:rPr>
        <w:t>,</w:t>
      </w:r>
      <w:r w:rsidRPr="007A5654">
        <w:rPr>
          <w:rFonts w:ascii="Arial" w:hAnsi="Arial" w:cs="Arial"/>
        </w:rPr>
        <w:t xml:space="preserve"> rolled into formula grant in 2013-14 and each authority has thus suffered a reduction in Council Tax </w:t>
      </w:r>
      <w:r w:rsidR="006575DC" w:rsidRPr="007A5654">
        <w:rPr>
          <w:rFonts w:ascii="Arial" w:hAnsi="Arial" w:cs="Arial"/>
        </w:rPr>
        <w:t xml:space="preserve">Support Grant </w:t>
      </w:r>
      <w:r w:rsidR="00133575" w:rsidRPr="007A5654">
        <w:rPr>
          <w:rFonts w:ascii="Arial" w:hAnsi="Arial" w:cs="Arial"/>
        </w:rPr>
        <w:t xml:space="preserve">each year </w:t>
      </w:r>
      <w:r w:rsidRPr="007A5654">
        <w:rPr>
          <w:rFonts w:ascii="Arial" w:hAnsi="Arial" w:cs="Arial"/>
        </w:rPr>
        <w:t>in proportion to its reduction</w:t>
      </w:r>
      <w:r w:rsidR="00133575" w:rsidRPr="007A5654">
        <w:rPr>
          <w:rFonts w:ascii="Arial" w:hAnsi="Arial" w:cs="Arial"/>
        </w:rPr>
        <w:t xml:space="preserve"> in Settlement Funding</w:t>
      </w:r>
      <w:r w:rsidRPr="007A5654">
        <w:rPr>
          <w:rFonts w:ascii="Arial" w:hAnsi="Arial" w:cs="Arial"/>
        </w:rPr>
        <w:t>.</w:t>
      </w:r>
      <w:r w:rsidR="006575DC" w:rsidRPr="007A5654">
        <w:rPr>
          <w:rFonts w:ascii="Arial" w:hAnsi="Arial" w:cs="Arial"/>
        </w:rPr>
        <w:t xml:space="preserve"> Our last estimate of the value of CTS within settlement at </w:t>
      </w:r>
      <w:r w:rsidR="00535776" w:rsidRPr="007A5654">
        <w:rPr>
          <w:rFonts w:ascii="Arial" w:hAnsi="Arial" w:cs="Arial"/>
        </w:rPr>
        <w:t>2017-18 (taking into account the inflationary increase in rates and the Government</w:t>
      </w:r>
      <w:r w:rsidR="00084448" w:rsidRPr="007A5654">
        <w:rPr>
          <w:rFonts w:ascii="Arial" w:hAnsi="Arial" w:cs="Arial"/>
        </w:rPr>
        <w:t>’</w:t>
      </w:r>
      <w:r w:rsidR="00535776" w:rsidRPr="007A5654">
        <w:rPr>
          <w:rFonts w:ascii="Arial" w:hAnsi="Arial" w:cs="Arial"/>
        </w:rPr>
        <w:t>s reductions in RSG) was £1,962 million, 60% of the 2013-</w:t>
      </w:r>
      <w:r w:rsidR="007D70E5" w:rsidRPr="007A5654">
        <w:rPr>
          <w:rFonts w:ascii="Arial" w:hAnsi="Arial" w:cs="Arial"/>
        </w:rPr>
        <w:t>14 rolled</w:t>
      </w:r>
      <w:r w:rsidR="00084448" w:rsidRPr="007A5654">
        <w:rPr>
          <w:rFonts w:ascii="Arial" w:hAnsi="Arial" w:cs="Arial"/>
        </w:rPr>
        <w:t>-</w:t>
      </w:r>
      <w:r w:rsidR="007D70E5" w:rsidRPr="007A5654">
        <w:rPr>
          <w:rFonts w:ascii="Arial" w:hAnsi="Arial" w:cs="Arial"/>
        </w:rPr>
        <w:t xml:space="preserve">in value. By 2019-20 </w:t>
      </w:r>
      <w:r w:rsidR="00535776" w:rsidRPr="007A5654">
        <w:rPr>
          <w:rFonts w:ascii="Arial" w:hAnsi="Arial" w:cs="Arial"/>
        </w:rPr>
        <w:t xml:space="preserve">our estimate of the value of CTS grant </w:t>
      </w:r>
      <w:r w:rsidR="00A41C7E" w:rsidRPr="007A5654">
        <w:rPr>
          <w:rFonts w:ascii="Arial" w:hAnsi="Arial" w:cs="Arial"/>
        </w:rPr>
        <w:t>is</w:t>
      </w:r>
      <w:r w:rsidR="00547822" w:rsidRPr="007A5654">
        <w:rPr>
          <w:rFonts w:ascii="Arial" w:hAnsi="Arial" w:cs="Arial"/>
        </w:rPr>
        <w:t xml:space="preserve"> £1,736 million, 53</w:t>
      </w:r>
      <w:r w:rsidR="006575DC" w:rsidRPr="007A5654">
        <w:rPr>
          <w:rFonts w:ascii="Arial" w:hAnsi="Arial" w:cs="Arial"/>
        </w:rPr>
        <w:t>% of its 2013-14 rolled in value.</w:t>
      </w:r>
    </w:p>
    <w:p w:rsidR="006575DC" w:rsidRPr="005760BA" w:rsidRDefault="006575DC" w:rsidP="00DB6C1C">
      <w:pPr>
        <w:ind w:left="426"/>
        <w:rPr>
          <w:rFonts w:ascii="Arial" w:hAnsi="Arial" w:cs="Arial"/>
        </w:rPr>
      </w:pPr>
    </w:p>
    <w:p w:rsidR="006575DC" w:rsidRPr="007A5654" w:rsidRDefault="008400E0" w:rsidP="00DB6C1C">
      <w:pPr>
        <w:pStyle w:val="ListParagraph"/>
        <w:numPr>
          <w:ilvl w:val="1"/>
          <w:numId w:val="2"/>
        </w:numPr>
        <w:ind w:left="426"/>
        <w:rPr>
          <w:rFonts w:ascii="Arial" w:hAnsi="Arial" w:cs="Arial"/>
        </w:rPr>
      </w:pPr>
      <w:r w:rsidRPr="007A5654">
        <w:rPr>
          <w:rFonts w:ascii="Arial" w:hAnsi="Arial" w:cs="Arial"/>
        </w:rPr>
        <w:t>I</w:t>
      </w:r>
      <w:r w:rsidR="00A84AC4" w:rsidRPr="007A5654">
        <w:rPr>
          <w:rFonts w:ascii="Arial" w:hAnsi="Arial" w:cs="Arial"/>
        </w:rPr>
        <w:t xml:space="preserve">t has been </w:t>
      </w:r>
      <w:r w:rsidRPr="007A5654">
        <w:rPr>
          <w:rFonts w:ascii="Arial" w:hAnsi="Arial" w:cs="Arial"/>
        </w:rPr>
        <w:t>argued that some of the recent historic</w:t>
      </w:r>
      <w:r w:rsidR="00A84AC4" w:rsidRPr="007A5654">
        <w:rPr>
          <w:rFonts w:ascii="Arial" w:hAnsi="Arial" w:cs="Arial"/>
        </w:rPr>
        <w:t xml:space="preserve"> growth in Tax base (used by DCLG to project future growth</w:t>
      </w:r>
      <w:r w:rsidR="00547822" w:rsidRPr="007A5654">
        <w:rPr>
          <w:rFonts w:ascii="Arial" w:hAnsi="Arial" w:cs="Arial"/>
        </w:rPr>
        <w:t>)</w:t>
      </w:r>
      <w:r w:rsidR="00A84AC4" w:rsidRPr="007A5654">
        <w:rPr>
          <w:rFonts w:ascii="Arial" w:hAnsi="Arial" w:cs="Arial"/>
        </w:rPr>
        <w:t xml:space="preserve"> is in fact a consequence of some c</w:t>
      </w:r>
      <w:r w:rsidR="00547822" w:rsidRPr="007A5654">
        <w:rPr>
          <w:rFonts w:ascii="Arial" w:hAnsi="Arial" w:cs="Arial"/>
        </w:rPr>
        <w:t>ouncils reducing their</w:t>
      </w:r>
      <w:r w:rsidR="00A84AC4" w:rsidRPr="007A5654">
        <w:rPr>
          <w:rFonts w:ascii="Arial" w:hAnsi="Arial" w:cs="Arial"/>
        </w:rPr>
        <w:t xml:space="preserve"> Council Tax support</w:t>
      </w:r>
    </w:p>
    <w:p w:rsidR="005A1536" w:rsidRPr="005760BA" w:rsidRDefault="005A1536" w:rsidP="00DB6C1C">
      <w:pPr>
        <w:ind w:left="426"/>
        <w:rPr>
          <w:rFonts w:ascii="Arial" w:hAnsi="Arial" w:cs="Arial"/>
        </w:rPr>
      </w:pPr>
    </w:p>
    <w:p w:rsidR="005A1536" w:rsidRPr="007A5654" w:rsidRDefault="008400E0" w:rsidP="00DB6C1C">
      <w:pPr>
        <w:pStyle w:val="ListParagraph"/>
        <w:numPr>
          <w:ilvl w:val="1"/>
          <w:numId w:val="2"/>
        </w:numPr>
        <w:ind w:left="426"/>
        <w:rPr>
          <w:rFonts w:ascii="Arial" w:hAnsi="Arial" w:cs="Arial"/>
        </w:rPr>
      </w:pPr>
      <w:r w:rsidRPr="007A5654">
        <w:rPr>
          <w:rFonts w:ascii="Arial" w:hAnsi="Arial" w:cs="Arial"/>
        </w:rPr>
        <w:t>T</w:t>
      </w:r>
      <w:r w:rsidR="00A41C7E" w:rsidRPr="007A5654">
        <w:rPr>
          <w:rFonts w:ascii="Arial" w:hAnsi="Arial" w:cs="Arial"/>
        </w:rPr>
        <w:t>he proportions of CTS as a %</w:t>
      </w:r>
      <w:r w:rsidR="0098774C" w:rsidRPr="007A5654">
        <w:rPr>
          <w:rFonts w:ascii="Arial" w:hAnsi="Arial" w:cs="Arial"/>
        </w:rPr>
        <w:t xml:space="preserve"> </w:t>
      </w:r>
      <w:r w:rsidR="00C05561" w:rsidRPr="007A5654">
        <w:rPr>
          <w:rFonts w:ascii="Arial" w:hAnsi="Arial" w:cs="Arial"/>
        </w:rPr>
        <w:t>of overall funding v</w:t>
      </w:r>
      <w:r w:rsidR="00A41C7E" w:rsidRPr="007A5654">
        <w:rPr>
          <w:rFonts w:ascii="Arial" w:hAnsi="Arial" w:cs="Arial"/>
        </w:rPr>
        <w:t>aries</w:t>
      </w:r>
      <w:r w:rsidR="0098774C" w:rsidRPr="007A5654">
        <w:rPr>
          <w:rFonts w:ascii="Arial" w:hAnsi="Arial" w:cs="Arial"/>
        </w:rPr>
        <w:t xml:space="preserve"> from one authority to another</w:t>
      </w:r>
      <w:r w:rsidR="00C05561" w:rsidRPr="007A5654">
        <w:rPr>
          <w:rFonts w:ascii="Arial" w:hAnsi="Arial" w:cs="Arial"/>
        </w:rPr>
        <w:t>,</w:t>
      </w:r>
      <w:r w:rsidR="0098774C" w:rsidRPr="007A5654">
        <w:rPr>
          <w:rFonts w:ascii="Arial" w:hAnsi="Arial" w:cs="Arial"/>
        </w:rPr>
        <w:t xml:space="preserve"> as the proportions of dependent households vary. Again</w:t>
      </w:r>
      <w:r w:rsidR="00084448" w:rsidRPr="007A5654">
        <w:rPr>
          <w:rFonts w:ascii="Arial" w:hAnsi="Arial" w:cs="Arial"/>
        </w:rPr>
        <w:t>,</w:t>
      </w:r>
      <w:r w:rsidR="0098774C" w:rsidRPr="007A5654">
        <w:rPr>
          <w:rFonts w:ascii="Arial" w:hAnsi="Arial" w:cs="Arial"/>
        </w:rPr>
        <w:t xml:space="preserve"> there is a marked variation across the deprivation deciles with the least deprived authorities tending to have the lowest proportionate cost of CTS</w:t>
      </w:r>
      <w:r w:rsidR="002E2183" w:rsidRPr="007A5654">
        <w:rPr>
          <w:rFonts w:ascii="Arial" w:hAnsi="Arial" w:cs="Arial"/>
        </w:rPr>
        <w:t>, as is shown in the following chart</w:t>
      </w:r>
      <w:r w:rsidR="0098774C" w:rsidRPr="007A5654">
        <w:rPr>
          <w:rFonts w:ascii="Arial" w:hAnsi="Arial" w:cs="Arial"/>
        </w:rPr>
        <w:t>.</w:t>
      </w:r>
      <w:r w:rsidR="00042FC5" w:rsidRPr="007A5654">
        <w:rPr>
          <w:rFonts w:ascii="Arial" w:hAnsi="Arial" w:cs="Arial"/>
        </w:rPr>
        <w:t xml:space="preserve"> SIGOMA authorities are highlighted by a red dash.</w:t>
      </w:r>
    </w:p>
    <w:p w:rsidR="0052120F" w:rsidRPr="007A5654" w:rsidRDefault="009419CE" w:rsidP="00DB6C1C">
      <w:pPr>
        <w:pStyle w:val="ListParagraph"/>
        <w:ind w:left="426"/>
        <w:rPr>
          <w:rFonts w:ascii="Arial" w:hAnsi="Arial" w:cs="Arial"/>
        </w:rPr>
      </w:pPr>
      <w:r w:rsidRPr="005760BA">
        <w:rPr>
          <w:noProof/>
          <w:lang w:eastAsia="en-GB"/>
        </w:rPr>
        <w:drawing>
          <wp:inline distT="0" distB="0" distL="0" distR="0" wp14:anchorId="4A2AFD31" wp14:editId="6E40279A">
            <wp:extent cx="3431511" cy="20608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2838" cy="2061608"/>
                    </a:xfrm>
                    <a:prstGeom prst="rect">
                      <a:avLst/>
                    </a:prstGeom>
                    <a:noFill/>
                  </pic:spPr>
                </pic:pic>
              </a:graphicData>
            </a:graphic>
          </wp:inline>
        </w:drawing>
      </w:r>
    </w:p>
    <w:p w:rsidR="00882AFE" w:rsidRPr="007A5654" w:rsidRDefault="00535776" w:rsidP="00DB6C1C">
      <w:pPr>
        <w:pStyle w:val="ListParagraph"/>
        <w:numPr>
          <w:ilvl w:val="1"/>
          <w:numId w:val="2"/>
        </w:numPr>
        <w:ind w:left="426"/>
        <w:rPr>
          <w:rFonts w:ascii="Arial" w:hAnsi="Arial" w:cs="Arial"/>
        </w:rPr>
      </w:pPr>
      <w:r w:rsidRPr="007A5654">
        <w:rPr>
          <w:rFonts w:ascii="Arial" w:hAnsi="Arial" w:cs="Arial"/>
        </w:rPr>
        <w:t xml:space="preserve">On </w:t>
      </w:r>
      <w:r w:rsidR="00BE23F4" w:rsidRPr="007A5654">
        <w:rPr>
          <w:rFonts w:ascii="Arial" w:hAnsi="Arial" w:cs="Arial"/>
        </w:rPr>
        <w:t>th</w:t>
      </w:r>
      <w:r w:rsidR="00A41C7E" w:rsidRPr="007A5654">
        <w:rPr>
          <w:rFonts w:ascii="Arial" w:hAnsi="Arial" w:cs="Arial"/>
        </w:rPr>
        <w:t>e demand side</w:t>
      </w:r>
      <w:r w:rsidR="00084448" w:rsidRPr="007A5654">
        <w:rPr>
          <w:rFonts w:ascii="Arial" w:hAnsi="Arial" w:cs="Arial"/>
        </w:rPr>
        <w:t>,</w:t>
      </w:r>
      <w:r w:rsidR="00A41C7E" w:rsidRPr="007A5654">
        <w:rPr>
          <w:rFonts w:ascii="Arial" w:hAnsi="Arial" w:cs="Arial"/>
        </w:rPr>
        <w:t xml:space="preserve"> authorities </w:t>
      </w:r>
      <w:r w:rsidR="00BE23F4" w:rsidRPr="007A5654">
        <w:rPr>
          <w:rFonts w:ascii="Arial" w:hAnsi="Arial" w:cs="Arial"/>
        </w:rPr>
        <w:t xml:space="preserve">have </w:t>
      </w:r>
      <w:r w:rsidR="00A41C7E" w:rsidRPr="007A5654">
        <w:rPr>
          <w:rFonts w:ascii="Arial" w:hAnsi="Arial" w:cs="Arial"/>
        </w:rPr>
        <w:t xml:space="preserve">apparently </w:t>
      </w:r>
      <w:r w:rsidRPr="007A5654">
        <w:rPr>
          <w:rFonts w:ascii="Arial" w:hAnsi="Arial" w:cs="Arial"/>
        </w:rPr>
        <w:t xml:space="preserve">been unable to </w:t>
      </w:r>
      <w:r w:rsidR="0059278B" w:rsidRPr="007A5654">
        <w:rPr>
          <w:rFonts w:ascii="Arial" w:hAnsi="Arial" w:cs="Arial"/>
        </w:rPr>
        <w:t>match reductions in the grant with</w:t>
      </w:r>
      <w:r w:rsidRPr="007A5654">
        <w:rPr>
          <w:rFonts w:ascii="Arial" w:hAnsi="Arial" w:cs="Arial"/>
        </w:rPr>
        <w:t xml:space="preserve"> reductions in benefit. Latest Revenue estimate data for 2017-18 suggests that Counci</w:t>
      </w:r>
      <w:r w:rsidR="002E2183" w:rsidRPr="007A5654">
        <w:rPr>
          <w:rFonts w:ascii="Arial" w:hAnsi="Arial" w:cs="Arial"/>
        </w:rPr>
        <w:t xml:space="preserve">l Tax Support is </w:t>
      </w:r>
      <w:r w:rsidR="002E2183" w:rsidRPr="007A5654">
        <w:rPr>
          <w:rFonts w:ascii="Arial" w:hAnsi="Arial" w:cs="Arial"/>
        </w:rPr>
        <w:lastRenderedPageBreak/>
        <w:t>estimated to have cost</w:t>
      </w:r>
      <w:r w:rsidRPr="007A5654">
        <w:rPr>
          <w:rFonts w:ascii="Arial" w:hAnsi="Arial" w:cs="Arial"/>
        </w:rPr>
        <w:t xml:space="preserve"> a total £3,300</w:t>
      </w:r>
      <w:r w:rsidR="00603563" w:rsidRPr="007A5654">
        <w:rPr>
          <w:rFonts w:ascii="Arial" w:hAnsi="Arial" w:cs="Arial"/>
        </w:rPr>
        <w:t>-£3,400</w:t>
      </w:r>
      <w:r w:rsidR="00603563" w:rsidRPr="005760BA">
        <w:rPr>
          <w:rStyle w:val="FootnoteReference"/>
          <w:rFonts w:ascii="Arial" w:hAnsi="Arial" w:cs="Arial"/>
        </w:rPr>
        <w:footnoteReference w:id="6"/>
      </w:r>
      <w:r w:rsidRPr="007A5654">
        <w:rPr>
          <w:rFonts w:ascii="Arial" w:hAnsi="Arial" w:cs="Arial"/>
        </w:rPr>
        <w:t xml:space="preserve"> million</w:t>
      </w:r>
      <w:r w:rsidR="00084448" w:rsidRPr="007A5654">
        <w:rPr>
          <w:rFonts w:ascii="Arial" w:hAnsi="Arial" w:cs="Arial"/>
        </w:rPr>
        <w:t>,</w:t>
      </w:r>
      <w:r w:rsidR="00603563" w:rsidRPr="007A5654">
        <w:rPr>
          <w:rFonts w:ascii="Arial" w:hAnsi="Arial" w:cs="Arial"/>
        </w:rPr>
        <w:t xml:space="preserve"> of which pensioners alone would be £1,500 million</w:t>
      </w:r>
      <w:r w:rsidR="0059278B" w:rsidRPr="007A5654">
        <w:rPr>
          <w:rFonts w:ascii="Arial" w:hAnsi="Arial" w:cs="Arial"/>
        </w:rPr>
        <w:t xml:space="preserve">. </w:t>
      </w:r>
    </w:p>
    <w:p w:rsidR="00CD30D0" w:rsidRPr="005760BA" w:rsidRDefault="00CD30D0" w:rsidP="00DB6C1C">
      <w:pPr>
        <w:ind w:left="426"/>
        <w:rPr>
          <w:rFonts w:ascii="Arial" w:hAnsi="Arial" w:cs="Arial"/>
        </w:rPr>
      </w:pPr>
    </w:p>
    <w:p w:rsidR="00CD30D0" w:rsidRPr="00807BBF" w:rsidRDefault="00CD30D0" w:rsidP="00DB6C1C">
      <w:pPr>
        <w:pStyle w:val="ListParagraph"/>
        <w:numPr>
          <w:ilvl w:val="1"/>
          <w:numId w:val="2"/>
        </w:numPr>
        <w:tabs>
          <w:tab w:val="left" w:pos="2127"/>
        </w:tabs>
        <w:ind w:left="426"/>
        <w:rPr>
          <w:rFonts w:ascii="Arial" w:hAnsi="Arial" w:cs="Arial"/>
          <w:b/>
        </w:rPr>
      </w:pPr>
      <w:r w:rsidRPr="007A5654">
        <w:rPr>
          <w:rFonts w:ascii="Arial" w:hAnsi="Arial" w:cs="Arial"/>
        </w:rPr>
        <w:t>The chart below sho</w:t>
      </w:r>
      <w:r w:rsidR="00A41C7E" w:rsidRPr="007A5654">
        <w:rPr>
          <w:rFonts w:ascii="Arial" w:hAnsi="Arial" w:cs="Arial"/>
        </w:rPr>
        <w:t xml:space="preserve">ws the </w:t>
      </w:r>
      <w:r w:rsidRPr="007A5654">
        <w:rPr>
          <w:rFonts w:ascii="Arial" w:hAnsi="Arial" w:cs="Arial"/>
        </w:rPr>
        <w:t>reporte</w:t>
      </w:r>
      <w:r w:rsidR="00E5353C">
        <w:rPr>
          <w:rFonts w:ascii="Arial" w:hAnsi="Arial" w:cs="Arial"/>
        </w:rPr>
        <w:t>d change in</w:t>
      </w:r>
      <w:r w:rsidRPr="007A5654">
        <w:rPr>
          <w:rFonts w:ascii="Arial" w:hAnsi="Arial" w:cs="Arial"/>
        </w:rPr>
        <w:t xml:space="preserve"> Council </w:t>
      </w:r>
      <w:r w:rsidR="009F1003" w:rsidRPr="007A5654">
        <w:rPr>
          <w:rFonts w:ascii="Arial" w:hAnsi="Arial" w:cs="Arial"/>
        </w:rPr>
        <w:t xml:space="preserve">Tax Support between </w:t>
      </w:r>
      <w:r w:rsidRPr="007A5654">
        <w:rPr>
          <w:rFonts w:ascii="Arial" w:hAnsi="Arial" w:cs="Arial"/>
        </w:rPr>
        <w:t xml:space="preserve">the 2013-14 </w:t>
      </w:r>
      <w:r w:rsidR="008400E0" w:rsidRPr="007A5654">
        <w:rPr>
          <w:rFonts w:ascii="Arial" w:hAnsi="Arial" w:cs="Arial"/>
        </w:rPr>
        <w:t xml:space="preserve">DCLG </w:t>
      </w:r>
      <w:r w:rsidRPr="007A5654">
        <w:rPr>
          <w:rFonts w:ascii="Arial" w:hAnsi="Arial" w:cs="Arial"/>
        </w:rPr>
        <w:t>esti</w:t>
      </w:r>
      <w:r w:rsidR="004E2576" w:rsidRPr="007A5654">
        <w:rPr>
          <w:rFonts w:ascii="Arial" w:hAnsi="Arial" w:cs="Arial"/>
        </w:rPr>
        <w:t>mate</w:t>
      </w:r>
      <w:r w:rsidR="009F1003" w:rsidRPr="007A5654">
        <w:rPr>
          <w:rFonts w:ascii="Arial" w:hAnsi="Arial" w:cs="Arial"/>
        </w:rPr>
        <w:t xml:space="preserve"> and 2017-18</w:t>
      </w:r>
      <w:r w:rsidR="008400E0" w:rsidRPr="007A5654">
        <w:rPr>
          <w:rFonts w:ascii="Arial" w:hAnsi="Arial" w:cs="Arial"/>
        </w:rPr>
        <w:t xml:space="preserve"> Revenue Estimate</w:t>
      </w:r>
      <w:r w:rsidRPr="007A5654">
        <w:rPr>
          <w:rFonts w:ascii="Arial" w:hAnsi="Arial" w:cs="Arial"/>
        </w:rPr>
        <w:t xml:space="preserve">. For about 183 of the 353 </w:t>
      </w:r>
      <w:r w:rsidR="00084448" w:rsidRPr="007A5654">
        <w:rPr>
          <w:rFonts w:ascii="Arial" w:hAnsi="Arial" w:cs="Arial"/>
        </w:rPr>
        <w:t>b</w:t>
      </w:r>
      <w:r w:rsidRPr="007A5654">
        <w:rPr>
          <w:rFonts w:ascii="Arial" w:hAnsi="Arial" w:cs="Arial"/>
        </w:rPr>
        <w:t xml:space="preserve">illing authorities the cost of Council Tax support has increased by </w:t>
      </w:r>
      <w:r w:rsidRPr="00807BBF">
        <w:rPr>
          <w:rFonts w:ascii="Arial" w:hAnsi="Arial" w:cs="Arial"/>
          <w:b/>
        </w:rPr>
        <w:t xml:space="preserve">comparison to the </w:t>
      </w:r>
      <w:r w:rsidR="00807BBF" w:rsidRPr="00807BBF">
        <w:rPr>
          <w:rFonts w:ascii="Arial" w:hAnsi="Arial" w:cs="Arial"/>
          <w:b/>
        </w:rPr>
        <w:t>20</w:t>
      </w:r>
      <w:r w:rsidRPr="00807BBF">
        <w:rPr>
          <w:rFonts w:ascii="Arial" w:hAnsi="Arial" w:cs="Arial"/>
          <w:b/>
        </w:rPr>
        <w:t>13 grant</w:t>
      </w:r>
      <w:r w:rsidR="009F1003" w:rsidRPr="00807BBF">
        <w:rPr>
          <w:rFonts w:ascii="Arial" w:hAnsi="Arial" w:cs="Arial"/>
          <w:b/>
        </w:rPr>
        <w:t xml:space="preserve"> value.</w:t>
      </w:r>
      <w:r w:rsidR="004E2576" w:rsidRPr="00807BBF">
        <w:rPr>
          <w:rFonts w:ascii="Arial" w:hAnsi="Arial" w:cs="Arial"/>
          <w:b/>
        </w:rPr>
        <w:t xml:space="preserve"> </w:t>
      </w:r>
      <w:r w:rsidR="004E2576" w:rsidRPr="00807BBF">
        <w:rPr>
          <w:rFonts w:ascii="Arial" w:hAnsi="Arial" w:cs="Arial"/>
        </w:rPr>
        <w:t>Across all deprivation deciles the percentage change varies between</w:t>
      </w:r>
      <w:r w:rsidR="00084448" w:rsidRPr="00807BBF">
        <w:rPr>
          <w:rFonts w:ascii="Arial" w:hAnsi="Arial" w:cs="Arial"/>
        </w:rPr>
        <w:t>,</w:t>
      </w:r>
      <w:r w:rsidR="004E2576" w:rsidRPr="00807BBF">
        <w:rPr>
          <w:rFonts w:ascii="Arial" w:hAnsi="Arial" w:cs="Arial"/>
        </w:rPr>
        <w:t xml:space="preserve"> on average</w:t>
      </w:r>
      <w:r w:rsidR="00084448" w:rsidRPr="00807BBF">
        <w:rPr>
          <w:rFonts w:ascii="Arial" w:hAnsi="Arial" w:cs="Arial"/>
        </w:rPr>
        <w:t>,</w:t>
      </w:r>
      <w:r w:rsidR="004E2576" w:rsidRPr="00807BBF">
        <w:rPr>
          <w:rFonts w:ascii="Arial" w:hAnsi="Arial" w:cs="Arial"/>
        </w:rPr>
        <w:t xml:space="preserve"> cuts of 20% and increas</w:t>
      </w:r>
      <w:r w:rsidR="00547822" w:rsidRPr="00807BBF">
        <w:rPr>
          <w:rFonts w:ascii="Arial" w:hAnsi="Arial" w:cs="Arial"/>
        </w:rPr>
        <w:t>es of 30%. No authority achieved a cut of 4</w:t>
      </w:r>
      <w:r w:rsidR="004E2576" w:rsidRPr="00807BBF">
        <w:rPr>
          <w:rFonts w:ascii="Arial" w:hAnsi="Arial" w:cs="Arial"/>
        </w:rPr>
        <w:t>0% to match the reduction in grant within Settlement.</w:t>
      </w:r>
    </w:p>
    <w:p w:rsidR="004903CA" w:rsidRPr="007A5654" w:rsidRDefault="004903CA" w:rsidP="00807BBF">
      <w:pPr>
        <w:pStyle w:val="ListParagraph"/>
        <w:ind w:left="360"/>
        <w:rPr>
          <w:rFonts w:ascii="Arial" w:hAnsi="Arial" w:cs="Arial"/>
          <w:sz w:val="16"/>
          <w:szCs w:val="16"/>
        </w:rPr>
      </w:pPr>
      <w:r>
        <w:rPr>
          <w:noProof/>
          <w:lang w:eastAsia="en-GB"/>
        </w:rPr>
        <mc:AlternateContent>
          <mc:Choice Requires="wps">
            <w:drawing>
              <wp:anchor distT="0" distB="0" distL="114300" distR="114300" simplePos="0" relativeHeight="251661312" behindDoc="0" locked="0" layoutInCell="1" allowOverlap="1" wp14:anchorId="2F7C9F51" wp14:editId="5AF8AF08">
                <wp:simplePos x="0" y="0"/>
                <wp:positionH relativeFrom="column">
                  <wp:posOffset>3521122</wp:posOffset>
                </wp:positionH>
                <wp:positionV relativeFrom="paragraph">
                  <wp:posOffset>121749</wp:posOffset>
                </wp:positionV>
                <wp:extent cx="2374711" cy="1821806"/>
                <wp:effectExtent l="0" t="0" r="26035" b="26670"/>
                <wp:wrapNone/>
                <wp:docPr id="12" name="Rectangle 12"/>
                <wp:cNvGraphicFramePr/>
                <a:graphic xmlns:a="http://schemas.openxmlformats.org/drawingml/2006/main">
                  <a:graphicData uri="http://schemas.microsoft.com/office/word/2010/wordprocessingShape">
                    <wps:wsp>
                      <wps:cNvSpPr/>
                      <wps:spPr>
                        <a:xfrm>
                          <a:off x="0" y="0"/>
                          <a:ext cx="2374711" cy="1821806"/>
                        </a:xfrm>
                        <a:prstGeom prst="rect">
                          <a:avLst/>
                        </a:prstGeom>
                      </wps:spPr>
                      <wps:style>
                        <a:lnRef idx="2">
                          <a:schemeClr val="accent1"/>
                        </a:lnRef>
                        <a:fillRef idx="1">
                          <a:schemeClr val="lt1"/>
                        </a:fillRef>
                        <a:effectRef idx="0">
                          <a:schemeClr val="accent1"/>
                        </a:effectRef>
                        <a:fontRef idx="minor">
                          <a:schemeClr val="dk1"/>
                        </a:fontRef>
                      </wps:style>
                      <wps:txbx>
                        <w:txbxContent>
                          <w:p w:rsidR="004903CA" w:rsidRPr="00E5353C" w:rsidRDefault="00E5353C" w:rsidP="004903CA">
                            <w:pPr>
                              <w:jc w:val="center"/>
                              <w:rPr>
                                <w:b/>
                                <w:color w:val="548DD4" w:themeColor="text2" w:themeTint="99"/>
                                <w:sz w:val="20"/>
                                <w:szCs w:val="20"/>
                              </w:rPr>
                            </w:pPr>
                            <w:r>
                              <w:rPr>
                                <w:b/>
                                <w:color w:val="548DD4" w:themeColor="text2" w:themeTint="99"/>
                                <w:sz w:val="20"/>
                                <w:szCs w:val="20"/>
                              </w:rPr>
                              <w:t xml:space="preserve">The chart </w:t>
                            </w:r>
                            <w:r w:rsidRPr="00E5353C">
                              <w:rPr>
                                <w:b/>
                                <w:color w:val="548DD4" w:themeColor="text2" w:themeTint="99"/>
                                <w:sz w:val="20"/>
                                <w:szCs w:val="20"/>
                              </w:rPr>
                              <w:t>shows the reported change in Council Tax Support between the 2013-14 DCLG estimate and 2017-18 Revenue Estimate</w:t>
                            </w:r>
                            <w:r>
                              <w:rPr>
                                <w:b/>
                                <w:color w:val="548DD4" w:themeColor="text2" w:themeTint="99"/>
                                <w:sz w:val="20"/>
                                <w:szCs w:val="20"/>
                              </w:rPr>
                              <w:t xml:space="preserve">, corrected for return errors and </w:t>
                            </w:r>
                            <w:r w:rsidR="00007598">
                              <w:rPr>
                                <w:b/>
                                <w:color w:val="548DD4" w:themeColor="text2" w:themeTint="99"/>
                                <w:sz w:val="20"/>
                                <w:szCs w:val="20"/>
                              </w:rPr>
                              <w:t>omissions</w:t>
                            </w:r>
                            <w:r>
                              <w:rPr>
                                <w:b/>
                                <w:color w:val="548DD4" w:themeColor="text2" w:themeTint="99"/>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8" style="position:absolute;left:0;text-align:left;margin-left:277.25pt;margin-top:9.6pt;width:187pt;height:1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aHawIAACcFAAAOAAAAZHJzL2Uyb0RvYy54bWysVN9P2zAQfp+0/8Hy+0jTdcAqUlSBmCYh&#10;hoCJZ9ex22i2zzu7Tbq/fmcnDYz1adqL4/Pddz+/y8VlZw3bKQwNuIqXJxPOlJNQN25d8e9PNx/O&#10;OQtRuFoYcKriexX45eL9u4vWz9UUNmBqhYycuDBvfcU3Mfp5UQS5UVaEE/DKkVIDWhFJxHVRo2jJ&#10;uzXFdDI5LVrA2iNIFQK9XvdKvsj+tVYyftM6qMhMxSm3mE/M5yqdxeJCzNco/KaRQxriH7KwonEU&#10;dHR1LaJgW2z+cmUbiRBAxxMJtgCtG6lyDVRNOXlTzeNGeJVroeYEP7Yp/D+38m53j6ypaXZTzpyw&#10;NKMH6ppwa6MYvVGDWh/mZPfo73GQAl1TtZ1Gm75UB+tyU/djU1UXmaTH6cez2VlZciZJV55Py/PJ&#10;afJavMA9hvhFgWXpUnGk+LmZYncbYm96MCFcSqdPIN/i3qiUg3EPSlMlKWRGZw6pK4NsJ2j6Qkrl&#10;YjmEztYJphtjRmB5DGhG0GCbYCpzawROjgH/jDgiclRwcQTbxgEec1D/OKSre/tD9X3NqfzYrbo8&#10;vnFSK6j3NFKEnuvBy5uG2norQrwXSOSmNaCFjd/o0AbaisNw42wD+OvYe7InzpGWs5aWpeLh51ag&#10;4sx8dcTGz+VslrYrC7NPZ1MS8LVm9VrjtvYKaCLECcouX5N9NIerRrDPtNfLFJVUwkmKXXEZ8SBc&#10;xX6J6c8g1XKZzWijvIi37tHL5Dz1OdHmqXsW6AduRaLlHRwWS8zfUKy3TUgHy20E3WT+pU73fR0m&#10;QNuYGTz8OdK6v5az1cv/bfEbAAD//wMAUEsDBBQABgAIAAAAIQBuhIXh3gAAAAoBAAAPAAAAZHJz&#10;L2Rvd25yZXYueG1sTI/BToNAEIbvJr7DZky82QUUUpClaUw8GU2s9b5lRyCws4RdWtqndzzZ48z/&#10;5Z9vys1iB3HEyXeOFMSrCARS7UxHjYL91+vDGoQPmoweHKGCM3rYVLc3pS6MO9EnHnehEVxCvtAK&#10;2hDGQkpft2i1X7kRibMfN1kdeJwaaSZ94nI7yCSKMml1R3yh1SO+tFj3u9kq2CbLfKnfz9k+l5f4&#10;7fujt3bplbq/W7bPIAIu4R+GP31Wh4qdDm4m48WgIE2fUkY5yBMQDOTJmhcHBY9RFoOsSnn9QvUL&#10;AAD//wMAUEsBAi0AFAAGAAgAAAAhALaDOJL+AAAA4QEAABMAAAAAAAAAAAAAAAAAAAAAAFtDb250&#10;ZW50X1R5cGVzXS54bWxQSwECLQAUAAYACAAAACEAOP0h/9YAAACUAQAACwAAAAAAAAAAAAAAAAAv&#10;AQAAX3JlbHMvLnJlbHNQSwECLQAUAAYACAAAACEAQWKmh2sCAAAnBQAADgAAAAAAAAAAAAAAAAAu&#10;AgAAZHJzL2Uyb0RvYy54bWxQSwECLQAUAAYACAAAACEAboSF4d4AAAAKAQAADwAAAAAAAAAAAAAA&#10;AADFBAAAZHJzL2Rvd25yZXYueG1sUEsFBgAAAAAEAAQA8wAAANAFAAAAAA==&#10;" fillcolor="white [3201]" strokecolor="#4f81bd [3204]" strokeweight="2pt">
                <v:textbox>
                  <w:txbxContent>
                    <w:p w:rsidR="004903CA" w:rsidRPr="00E5353C" w:rsidRDefault="00E5353C" w:rsidP="004903CA">
                      <w:pPr>
                        <w:jc w:val="center"/>
                        <w:rPr>
                          <w:b/>
                          <w:color w:val="548DD4" w:themeColor="text2" w:themeTint="99"/>
                          <w:sz w:val="20"/>
                          <w:szCs w:val="20"/>
                        </w:rPr>
                      </w:pPr>
                      <w:r>
                        <w:rPr>
                          <w:b/>
                          <w:color w:val="548DD4" w:themeColor="text2" w:themeTint="99"/>
                          <w:sz w:val="20"/>
                          <w:szCs w:val="20"/>
                        </w:rPr>
                        <w:t xml:space="preserve">The chart </w:t>
                      </w:r>
                      <w:r w:rsidRPr="00E5353C">
                        <w:rPr>
                          <w:b/>
                          <w:color w:val="548DD4" w:themeColor="text2" w:themeTint="99"/>
                          <w:sz w:val="20"/>
                          <w:szCs w:val="20"/>
                        </w:rPr>
                        <w:t>shows the reported change in Council Tax Support between the 2013-14 DCLG estimate and 2017-18 Revenue Estimate</w:t>
                      </w:r>
                      <w:r>
                        <w:rPr>
                          <w:b/>
                          <w:color w:val="548DD4" w:themeColor="text2" w:themeTint="99"/>
                          <w:sz w:val="20"/>
                          <w:szCs w:val="20"/>
                        </w:rPr>
                        <w:t xml:space="preserve">, corrected for return errors and </w:t>
                      </w:r>
                      <w:r w:rsidR="00007598">
                        <w:rPr>
                          <w:b/>
                          <w:color w:val="548DD4" w:themeColor="text2" w:themeTint="99"/>
                          <w:sz w:val="20"/>
                          <w:szCs w:val="20"/>
                        </w:rPr>
                        <w:t>omissions</w:t>
                      </w:r>
                      <w:r>
                        <w:rPr>
                          <w:b/>
                          <w:color w:val="548DD4" w:themeColor="text2" w:themeTint="99"/>
                          <w:sz w:val="20"/>
                          <w:szCs w:val="20"/>
                        </w:rPr>
                        <w:t>.</w:t>
                      </w:r>
                    </w:p>
                  </w:txbxContent>
                </v:textbox>
              </v:rect>
            </w:pict>
          </mc:Fallback>
        </mc:AlternateContent>
      </w:r>
      <w:r w:rsidR="009F1003" w:rsidRPr="005760BA">
        <w:rPr>
          <w:noProof/>
          <w:lang w:eastAsia="en-GB"/>
        </w:rPr>
        <w:drawing>
          <wp:inline distT="0" distB="0" distL="0" distR="0" wp14:anchorId="2B957F21" wp14:editId="213ADCB2">
            <wp:extent cx="3534770" cy="211546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4770" cy="2115461"/>
                    </a:xfrm>
                    <a:prstGeom prst="rect">
                      <a:avLst/>
                    </a:prstGeom>
                    <a:noFill/>
                    <a:ln>
                      <a:noFill/>
                    </a:ln>
                  </pic:spPr>
                </pic:pic>
              </a:graphicData>
            </a:graphic>
          </wp:inline>
        </w:drawing>
      </w:r>
    </w:p>
    <w:p w:rsidR="00277966" w:rsidRPr="007A5654" w:rsidRDefault="004903CA" w:rsidP="00807BBF">
      <w:pPr>
        <w:pStyle w:val="ListParagraph"/>
        <w:ind w:left="360"/>
        <w:rPr>
          <w:rFonts w:ascii="Arial" w:hAnsi="Arial" w:cs="Arial"/>
          <w:sz w:val="16"/>
          <w:szCs w:val="16"/>
        </w:rPr>
      </w:pPr>
      <w:r w:rsidRPr="007A5654">
        <w:rPr>
          <w:rFonts w:ascii="Arial" w:hAnsi="Arial" w:cs="Arial"/>
          <w:sz w:val="16"/>
          <w:szCs w:val="16"/>
        </w:rPr>
        <w:t>The outlier in 5</w:t>
      </w:r>
      <w:r w:rsidRPr="007A5654">
        <w:rPr>
          <w:rFonts w:ascii="Arial" w:hAnsi="Arial" w:cs="Arial"/>
          <w:sz w:val="16"/>
          <w:szCs w:val="16"/>
          <w:vertAlign w:val="superscript"/>
        </w:rPr>
        <w:t>th</w:t>
      </w:r>
      <w:r w:rsidRPr="007A5654">
        <w:rPr>
          <w:rFonts w:ascii="Arial" w:hAnsi="Arial" w:cs="Arial"/>
          <w:sz w:val="16"/>
          <w:szCs w:val="16"/>
        </w:rPr>
        <w:t xml:space="preserve"> most deprived is Breckland District.</w:t>
      </w:r>
    </w:p>
    <w:p w:rsidR="004903CA" w:rsidRPr="007A5654" w:rsidRDefault="004903CA" w:rsidP="00807BBF">
      <w:pPr>
        <w:pStyle w:val="ListParagraph"/>
        <w:ind w:left="360"/>
        <w:rPr>
          <w:rFonts w:ascii="Arial" w:hAnsi="Arial" w:cs="Arial"/>
          <w:sz w:val="12"/>
          <w:szCs w:val="12"/>
        </w:rPr>
      </w:pPr>
      <w:r w:rsidRPr="007A5654">
        <w:rPr>
          <w:rFonts w:ascii="Arial" w:hAnsi="Arial" w:cs="Arial"/>
          <w:color w:val="D9D9D9" w:themeColor="background1" w:themeShade="D9"/>
          <w:sz w:val="12"/>
          <w:szCs w:val="12"/>
        </w:rPr>
        <w:t>G:\Sigoma\Working and Steering Groups (External)\Working Groups\RatesRetention\New groups 2016\[Needs_resource_counciltax_paper for officersTempv.xlsx]CT support</w:t>
      </w:r>
    </w:p>
    <w:p w:rsidR="004903CA" w:rsidRDefault="004903CA" w:rsidP="00277966">
      <w:pPr>
        <w:rPr>
          <w:rFonts w:ascii="Arial" w:hAnsi="Arial" w:cs="Arial"/>
        </w:rPr>
      </w:pPr>
    </w:p>
    <w:p w:rsidR="00277966" w:rsidRPr="007A5654" w:rsidRDefault="00277966" w:rsidP="00DB6C1C">
      <w:pPr>
        <w:pStyle w:val="ListParagraph"/>
        <w:numPr>
          <w:ilvl w:val="1"/>
          <w:numId w:val="2"/>
        </w:numPr>
        <w:ind w:left="426"/>
        <w:rPr>
          <w:rFonts w:ascii="Arial" w:hAnsi="Arial" w:cs="Arial"/>
        </w:rPr>
      </w:pPr>
      <w:r w:rsidRPr="007A5654">
        <w:rPr>
          <w:rFonts w:ascii="Arial" w:hAnsi="Arial" w:cs="Arial"/>
        </w:rPr>
        <w:t>One of the key requirements of local support schemes is the protection of Pensioners. This means that although support can theoretically be reduced to zero for working age claimants, pension age taxp</w:t>
      </w:r>
      <w:r w:rsidR="007B0BE8">
        <w:rPr>
          <w:rFonts w:ascii="Arial" w:hAnsi="Arial" w:cs="Arial"/>
        </w:rPr>
        <w:t xml:space="preserve">ayers must be given the same </w:t>
      </w:r>
      <w:r w:rsidRPr="007A5654">
        <w:rPr>
          <w:rFonts w:ascii="Arial" w:hAnsi="Arial" w:cs="Arial"/>
        </w:rPr>
        <w:t>support as they would have received under benefit rules. The reducing value of benefit within Settlement means that the total value could soon be adequate only to finance the total payable to pensioners.</w:t>
      </w:r>
    </w:p>
    <w:p w:rsidR="00C676E4" w:rsidRDefault="00C676E4" w:rsidP="00DB6C1C">
      <w:pPr>
        <w:ind w:left="426"/>
        <w:rPr>
          <w:rFonts w:ascii="Arial" w:hAnsi="Arial" w:cs="Arial"/>
        </w:rPr>
      </w:pPr>
    </w:p>
    <w:p w:rsidR="00C676E4" w:rsidRPr="007A5654" w:rsidRDefault="00C676E4" w:rsidP="00DB6C1C">
      <w:pPr>
        <w:pStyle w:val="ListParagraph"/>
        <w:numPr>
          <w:ilvl w:val="1"/>
          <w:numId w:val="2"/>
        </w:numPr>
        <w:ind w:left="426"/>
        <w:rPr>
          <w:rFonts w:ascii="Arial" w:hAnsi="Arial" w:cs="Arial"/>
          <w:i/>
        </w:rPr>
      </w:pPr>
      <w:r w:rsidRPr="007A5654">
        <w:rPr>
          <w:rFonts w:ascii="Arial" w:hAnsi="Arial" w:cs="Arial"/>
          <w:i/>
        </w:rPr>
        <w:t>Would group members support identification of a new baseline of Council Tax support within 2020 settlement based on other objective benefit claimant data (say un-employed working age and benefit claimant</w:t>
      </w:r>
      <w:r w:rsidR="004D31CD">
        <w:rPr>
          <w:rFonts w:ascii="Arial" w:hAnsi="Arial" w:cs="Arial"/>
          <w:i/>
        </w:rPr>
        <w:t>s</w:t>
      </w:r>
      <w:r w:rsidRPr="007A5654">
        <w:rPr>
          <w:rFonts w:ascii="Arial" w:hAnsi="Arial" w:cs="Arial"/>
          <w:i/>
        </w:rPr>
        <w:t xml:space="preserve"> </w:t>
      </w:r>
      <w:r w:rsidR="004D31CD">
        <w:rPr>
          <w:rFonts w:ascii="Arial" w:hAnsi="Arial" w:cs="Arial"/>
          <w:i/>
        </w:rPr>
        <w:t>of retirement age</w:t>
      </w:r>
      <w:r w:rsidRPr="007A5654">
        <w:rPr>
          <w:rFonts w:ascii="Arial" w:hAnsi="Arial" w:cs="Arial"/>
          <w:i/>
        </w:rPr>
        <w:t xml:space="preserve">) multiplied by a national centrally set amount per claimant? This could then be re-established as a rolled in grant within funding </w:t>
      </w:r>
      <w:r w:rsidR="001D2FDC" w:rsidRPr="007A5654">
        <w:rPr>
          <w:rFonts w:ascii="Arial" w:hAnsi="Arial" w:cs="Arial"/>
          <w:i/>
        </w:rPr>
        <w:t>or amended at full value within the Resource Adjustment</w:t>
      </w:r>
      <w:r w:rsidR="004903CA" w:rsidRPr="007A5654">
        <w:rPr>
          <w:rFonts w:ascii="Arial" w:hAnsi="Arial" w:cs="Arial"/>
          <w:i/>
        </w:rPr>
        <w:t>.</w:t>
      </w:r>
    </w:p>
    <w:p w:rsidR="00BE23F4" w:rsidRPr="005760BA" w:rsidRDefault="00BE23F4">
      <w:pPr>
        <w:rPr>
          <w:rFonts w:ascii="Arial" w:hAnsi="Arial" w:cs="Arial"/>
        </w:rPr>
      </w:pPr>
    </w:p>
    <w:p w:rsidR="00A72BE9" w:rsidRPr="007A5654" w:rsidRDefault="00A72BE9" w:rsidP="007A5654">
      <w:pPr>
        <w:pStyle w:val="ListParagraph"/>
        <w:numPr>
          <w:ilvl w:val="0"/>
          <w:numId w:val="2"/>
        </w:numPr>
        <w:rPr>
          <w:rFonts w:ascii="Arial" w:hAnsi="Arial" w:cs="Arial"/>
          <w:b/>
          <w:sz w:val="28"/>
          <w:szCs w:val="28"/>
          <w:u w:val="single"/>
        </w:rPr>
      </w:pPr>
      <w:r w:rsidRPr="007A5654">
        <w:rPr>
          <w:rFonts w:ascii="Arial" w:hAnsi="Arial" w:cs="Arial"/>
          <w:b/>
          <w:sz w:val="28"/>
          <w:szCs w:val="28"/>
          <w:u w:val="single"/>
        </w:rPr>
        <w:t>Settlement 2015</w:t>
      </w:r>
      <w:r w:rsidR="000D3715" w:rsidRPr="007A5654">
        <w:rPr>
          <w:rFonts w:ascii="Arial" w:hAnsi="Arial" w:cs="Arial"/>
          <w:b/>
          <w:sz w:val="28"/>
          <w:szCs w:val="28"/>
          <w:u w:val="single"/>
        </w:rPr>
        <w:t xml:space="preserve"> - </w:t>
      </w:r>
      <w:r w:rsidRPr="007A5654">
        <w:rPr>
          <w:rFonts w:ascii="Arial" w:hAnsi="Arial" w:cs="Arial"/>
          <w:b/>
          <w:sz w:val="28"/>
          <w:szCs w:val="28"/>
          <w:u w:val="single"/>
        </w:rPr>
        <w:t>further recognition of Council Tax Income</w:t>
      </w:r>
    </w:p>
    <w:p w:rsidR="000D3715" w:rsidRPr="007A5654" w:rsidRDefault="00A72BE9" w:rsidP="00DB6C1C">
      <w:pPr>
        <w:pStyle w:val="ListParagraph"/>
        <w:numPr>
          <w:ilvl w:val="1"/>
          <w:numId w:val="2"/>
        </w:numPr>
        <w:ind w:left="426"/>
        <w:rPr>
          <w:rFonts w:ascii="Arial" w:hAnsi="Arial" w:cs="Arial"/>
        </w:rPr>
      </w:pPr>
      <w:r w:rsidRPr="007A5654">
        <w:rPr>
          <w:rFonts w:ascii="Arial" w:hAnsi="Arial" w:cs="Arial"/>
        </w:rPr>
        <w:t>I</w:t>
      </w:r>
      <w:r w:rsidR="000757A0" w:rsidRPr="007A5654">
        <w:rPr>
          <w:rFonts w:ascii="Arial" w:hAnsi="Arial" w:cs="Arial"/>
        </w:rPr>
        <w:t>n</w:t>
      </w:r>
      <w:r w:rsidRPr="007A5654">
        <w:rPr>
          <w:rFonts w:ascii="Arial" w:hAnsi="Arial" w:cs="Arial"/>
        </w:rPr>
        <w:t xml:space="preserve"> recognition of the falling valu</w:t>
      </w:r>
      <w:r w:rsidR="00163BCC" w:rsidRPr="007A5654">
        <w:rPr>
          <w:rFonts w:ascii="Arial" w:hAnsi="Arial" w:cs="Arial"/>
        </w:rPr>
        <w:t>e of the Resource A</w:t>
      </w:r>
      <w:r w:rsidR="000757A0" w:rsidRPr="007A5654">
        <w:rPr>
          <w:rFonts w:ascii="Arial" w:hAnsi="Arial" w:cs="Arial"/>
        </w:rPr>
        <w:t>djustment</w:t>
      </w:r>
      <w:r w:rsidR="000D3715" w:rsidRPr="007A5654">
        <w:rPr>
          <w:rFonts w:ascii="Arial" w:hAnsi="Arial" w:cs="Arial"/>
        </w:rPr>
        <w:t>,</w:t>
      </w:r>
      <w:r w:rsidRPr="007A5654">
        <w:rPr>
          <w:rFonts w:ascii="Arial" w:hAnsi="Arial" w:cs="Arial"/>
        </w:rPr>
        <w:t xml:space="preserve"> the 2015</w:t>
      </w:r>
      <w:r w:rsidR="001977F0" w:rsidRPr="007A5654">
        <w:rPr>
          <w:rFonts w:ascii="Arial" w:hAnsi="Arial" w:cs="Arial"/>
        </w:rPr>
        <w:t>,</w:t>
      </w:r>
      <w:r w:rsidR="000757A0" w:rsidRPr="007A5654">
        <w:rPr>
          <w:rFonts w:ascii="Arial" w:hAnsi="Arial" w:cs="Arial"/>
        </w:rPr>
        <w:t xml:space="preserve"> 4 year S</w:t>
      </w:r>
      <w:r w:rsidR="002C272A" w:rsidRPr="007A5654">
        <w:rPr>
          <w:rFonts w:ascii="Arial" w:hAnsi="Arial" w:cs="Arial"/>
        </w:rPr>
        <w:t xml:space="preserve">ettlement incorporated </w:t>
      </w:r>
      <w:r w:rsidRPr="007A5654">
        <w:rPr>
          <w:rFonts w:ascii="Arial" w:hAnsi="Arial" w:cs="Arial"/>
        </w:rPr>
        <w:t>Council Tax into the calculation of Revenue Su</w:t>
      </w:r>
      <w:r w:rsidR="000757A0" w:rsidRPr="007A5654">
        <w:rPr>
          <w:rFonts w:ascii="Arial" w:hAnsi="Arial" w:cs="Arial"/>
        </w:rPr>
        <w:t>pport Grant for 2016-17 onwards</w:t>
      </w:r>
      <w:r w:rsidR="002C272A" w:rsidRPr="007A5654">
        <w:rPr>
          <w:rFonts w:ascii="Arial" w:hAnsi="Arial" w:cs="Arial"/>
        </w:rPr>
        <w:t xml:space="preserve">, something </w:t>
      </w:r>
      <w:r w:rsidR="000757A0" w:rsidRPr="007A5654">
        <w:rPr>
          <w:rFonts w:ascii="Arial" w:hAnsi="Arial" w:cs="Arial"/>
        </w:rPr>
        <w:t>no</w:t>
      </w:r>
      <w:r w:rsidR="002C272A" w:rsidRPr="007A5654">
        <w:rPr>
          <w:rFonts w:ascii="Arial" w:hAnsi="Arial" w:cs="Arial"/>
        </w:rPr>
        <w:t>t</w:t>
      </w:r>
      <w:r w:rsidR="000757A0" w:rsidRPr="007A5654">
        <w:rPr>
          <w:rFonts w:ascii="Arial" w:hAnsi="Arial" w:cs="Arial"/>
        </w:rPr>
        <w:t xml:space="preserve"> previously</w:t>
      </w:r>
      <w:r w:rsidR="002C272A" w:rsidRPr="007A5654">
        <w:rPr>
          <w:rFonts w:ascii="Arial" w:hAnsi="Arial" w:cs="Arial"/>
        </w:rPr>
        <w:t xml:space="preserve"> done</w:t>
      </w:r>
      <w:r w:rsidR="000757A0" w:rsidRPr="007A5654">
        <w:rPr>
          <w:rFonts w:ascii="Arial" w:hAnsi="Arial" w:cs="Arial"/>
        </w:rPr>
        <w:t>.</w:t>
      </w:r>
      <w:r w:rsidR="000D3715" w:rsidRPr="007A5654">
        <w:rPr>
          <w:rFonts w:ascii="Arial" w:hAnsi="Arial" w:cs="Arial"/>
        </w:rPr>
        <w:t xml:space="preserve">  </w:t>
      </w:r>
    </w:p>
    <w:p w:rsidR="000D3715" w:rsidRPr="005760BA" w:rsidRDefault="000D3715" w:rsidP="00DB6C1C">
      <w:pPr>
        <w:ind w:left="426"/>
        <w:rPr>
          <w:rFonts w:ascii="Arial" w:hAnsi="Arial" w:cs="Arial"/>
        </w:rPr>
      </w:pPr>
    </w:p>
    <w:p w:rsidR="004903CA" w:rsidRPr="00F47756" w:rsidRDefault="000D3715" w:rsidP="00F47756">
      <w:pPr>
        <w:pStyle w:val="ListParagraph"/>
        <w:numPr>
          <w:ilvl w:val="1"/>
          <w:numId w:val="2"/>
        </w:numPr>
        <w:ind w:left="426"/>
        <w:rPr>
          <w:rFonts w:ascii="Arial" w:hAnsi="Arial" w:cs="Arial"/>
        </w:rPr>
      </w:pPr>
      <w:r w:rsidRPr="007A5654">
        <w:rPr>
          <w:rFonts w:ascii="Arial" w:hAnsi="Arial" w:cs="Arial"/>
        </w:rPr>
        <w:t>An illustration of the meth</w:t>
      </w:r>
      <w:r w:rsidR="00CE06E9" w:rsidRPr="007A5654">
        <w:rPr>
          <w:rFonts w:ascii="Arial" w:hAnsi="Arial" w:cs="Arial"/>
        </w:rPr>
        <w:t>od</w:t>
      </w:r>
      <w:r w:rsidR="000D554D" w:rsidRPr="007A5654">
        <w:rPr>
          <w:rFonts w:ascii="Arial" w:hAnsi="Arial" w:cs="Arial"/>
        </w:rPr>
        <w:t>,</w:t>
      </w:r>
      <w:r w:rsidR="00CE06E9" w:rsidRPr="007A5654">
        <w:rPr>
          <w:rFonts w:ascii="Arial" w:hAnsi="Arial" w:cs="Arial"/>
        </w:rPr>
        <w:t xml:space="preserve"> using the same two authority</w:t>
      </w:r>
      <w:r w:rsidR="00DE1DA0" w:rsidRPr="007A5654">
        <w:rPr>
          <w:rFonts w:ascii="Arial" w:hAnsi="Arial" w:cs="Arial"/>
        </w:rPr>
        <w:t xml:space="preserve"> types</w:t>
      </w:r>
      <w:r w:rsidR="000D554D" w:rsidRPr="007A5654">
        <w:rPr>
          <w:rFonts w:ascii="Arial" w:hAnsi="Arial" w:cs="Arial"/>
        </w:rPr>
        <w:t>,</w:t>
      </w:r>
      <w:r w:rsidR="00DE1DA0" w:rsidRPr="007A5654">
        <w:rPr>
          <w:rFonts w:ascii="Arial" w:hAnsi="Arial" w:cs="Arial"/>
        </w:rPr>
        <w:t xml:space="preserve"> is attached in appendix B</w:t>
      </w:r>
      <w:r w:rsidRPr="007A5654">
        <w:rPr>
          <w:rFonts w:ascii="Arial" w:hAnsi="Arial" w:cs="Arial"/>
        </w:rPr>
        <w:t>. In simple terms the calculation of</w:t>
      </w:r>
      <w:r w:rsidR="004D31CD">
        <w:rPr>
          <w:rFonts w:ascii="Arial" w:hAnsi="Arial" w:cs="Arial"/>
        </w:rPr>
        <w:t xml:space="preserve"> reductions at authority level</w:t>
      </w:r>
      <w:r w:rsidR="002C272A" w:rsidRPr="007A5654">
        <w:rPr>
          <w:rFonts w:ascii="Arial" w:hAnsi="Arial" w:cs="Arial"/>
        </w:rPr>
        <w:t xml:space="preserve"> are made by</w:t>
      </w:r>
      <w:r w:rsidR="004D31CD">
        <w:rPr>
          <w:rFonts w:ascii="Arial" w:hAnsi="Arial" w:cs="Arial"/>
        </w:rPr>
        <w:t xml:space="preserve"> applying tier % reductions</w:t>
      </w:r>
      <w:r w:rsidR="002C272A" w:rsidRPr="007A5654">
        <w:rPr>
          <w:rFonts w:ascii="Arial" w:hAnsi="Arial" w:cs="Arial"/>
        </w:rPr>
        <w:t xml:space="preserve"> to Settlement F</w:t>
      </w:r>
      <w:r w:rsidRPr="007A5654">
        <w:rPr>
          <w:rFonts w:ascii="Arial" w:hAnsi="Arial" w:cs="Arial"/>
        </w:rPr>
        <w:t>unding</w:t>
      </w:r>
      <w:r w:rsidR="004D31CD">
        <w:rPr>
          <w:rFonts w:ascii="Arial" w:hAnsi="Arial" w:cs="Arial"/>
        </w:rPr>
        <w:t xml:space="preserve"> value</w:t>
      </w:r>
      <w:r w:rsidRPr="007A5654">
        <w:rPr>
          <w:rFonts w:ascii="Arial" w:hAnsi="Arial" w:cs="Arial"/>
        </w:rPr>
        <w:t xml:space="preserve"> plus 2015-16 Council Tax Base</w:t>
      </w:r>
      <w:r w:rsidR="00700A58" w:rsidRPr="007A5654">
        <w:rPr>
          <w:rFonts w:ascii="Arial" w:hAnsi="Arial" w:cs="Arial"/>
        </w:rPr>
        <w:t xml:space="preserve"> rather than </w:t>
      </w:r>
      <w:r w:rsidR="004D31CD">
        <w:rPr>
          <w:rFonts w:ascii="Arial" w:hAnsi="Arial" w:cs="Arial"/>
        </w:rPr>
        <w:t xml:space="preserve">to </w:t>
      </w:r>
      <w:r w:rsidR="00700A58" w:rsidRPr="007A5654">
        <w:rPr>
          <w:rFonts w:ascii="Arial" w:hAnsi="Arial" w:cs="Arial"/>
        </w:rPr>
        <w:t>Settlement F</w:t>
      </w:r>
      <w:r w:rsidRPr="007A5654">
        <w:rPr>
          <w:rFonts w:ascii="Arial" w:hAnsi="Arial" w:cs="Arial"/>
        </w:rPr>
        <w:t>unding alone. The % reductions at tier</w:t>
      </w:r>
      <w:r w:rsidR="00163BCC" w:rsidRPr="007A5654">
        <w:rPr>
          <w:rFonts w:ascii="Arial" w:hAnsi="Arial" w:cs="Arial"/>
        </w:rPr>
        <w:t xml:space="preserve"> level are still determined centrally </w:t>
      </w:r>
      <w:r w:rsidRPr="007A5654">
        <w:rPr>
          <w:rFonts w:ascii="Arial" w:hAnsi="Arial" w:cs="Arial"/>
        </w:rPr>
        <w:t xml:space="preserve">by DCLG and so may not </w:t>
      </w:r>
      <w:r w:rsidR="00DE1DA0" w:rsidRPr="007A5654">
        <w:rPr>
          <w:rFonts w:ascii="Arial" w:hAnsi="Arial" w:cs="Arial"/>
        </w:rPr>
        <w:t xml:space="preserve">necessarily </w:t>
      </w:r>
      <w:r w:rsidR="004D31CD">
        <w:rPr>
          <w:rFonts w:ascii="Arial" w:hAnsi="Arial" w:cs="Arial"/>
        </w:rPr>
        <w:t>yield reductions that all</w:t>
      </w:r>
      <w:r w:rsidRPr="007A5654">
        <w:rPr>
          <w:rFonts w:ascii="Arial" w:hAnsi="Arial" w:cs="Arial"/>
        </w:rPr>
        <w:t xml:space="preserve"> would consider “fair” in future years.</w:t>
      </w:r>
    </w:p>
    <w:p w:rsidR="00DE1DA0" w:rsidRPr="005760BA" w:rsidRDefault="00DE1DA0">
      <w:pPr>
        <w:rPr>
          <w:rFonts w:ascii="Arial" w:hAnsi="Arial" w:cs="Arial"/>
        </w:rPr>
      </w:pPr>
    </w:p>
    <w:p w:rsidR="00CE06E9" w:rsidRPr="007A5654" w:rsidRDefault="00DE1DA0" w:rsidP="00DB6C1C">
      <w:pPr>
        <w:pStyle w:val="ListParagraph"/>
        <w:numPr>
          <w:ilvl w:val="1"/>
          <w:numId w:val="2"/>
        </w:numPr>
        <w:ind w:left="426"/>
        <w:rPr>
          <w:rFonts w:ascii="Arial" w:hAnsi="Arial" w:cs="Arial"/>
        </w:rPr>
      </w:pPr>
      <w:r w:rsidRPr="007A5654">
        <w:rPr>
          <w:rFonts w:ascii="Arial" w:hAnsi="Arial" w:cs="Arial"/>
        </w:rPr>
        <w:t xml:space="preserve">This change in methodology resulted in some </w:t>
      </w:r>
      <w:r w:rsidR="00505F28" w:rsidRPr="007A5654">
        <w:rPr>
          <w:rFonts w:ascii="Arial" w:hAnsi="Arial" w:cs="Arial"/>
        </w:rPr>
        <w:t xml:space="preserve">very different RSG </w:t>
      </w:r>
      <w:r w:rsidRPr="007A5654">
        <w:rPr>
          <w:rFonts w:ascii="Arial" w:hAnsi="Arial" w:cs="Arial"/>
        </w:rPr>
        <w:t xml:space="preserve">allocations and </w:t>
      </w:r>
      <w:r w:rsidR="00505F28" w:rsidRPr="007A5654">
        <w:rPr>
          <w:rFonts w:ascii="Arial" w:hAnsi="Arial" w:cs="Arial"/>
        </w:rPr>
        <w:t xml:space="preserve">in </w:t>
      </w:r>
      <w:r w:rsidRPr="007A5654">
        <w:rPr>
          <w:rFonts w:ascii="Arial" w:hAnsi="Arial" w:cs="Arial"/>
        </w:rPr>
        <w:t>some authorities having a negative RSG determination (not possible under</w:t>
      </w:r>
      <w:r w:rsidR="002C272A" w:rsidRPr="007A5654">
        <w:rPr>
          <w:rFonts w:ascii="Arial" w:hAnsi="Arial" w:cs="Arial"/>
        </w:rPr>
        <w:t xml:space="preserve"> the previous methodology) Negative RSG</w:t>
      </w:r>
      <w:r w:rsidR="00163BCC" w:rsidRPr="007A5654">
        <w:rPr>
          <w:rFonts w:ascii="Arial" w:hAnsi="Arial" w:cs="Arial"/>
        </w:rPr>
        <w:t xml:space="preserve"> </w:t>
      </w:r>
      <w:r w:rsidR="00163BCC" w:rsidRPr="007A5654">
        <w:rPr>
          <w:rFonts w:ascii="Arial" w:hAnsi="Arial" w:cs="Arial"/>
        </w:rPr>
        <w:lastRenderedPageBreak/>
        <w:t>increases</w:t>
      </w:r>
      <w:r w:rsidR="00DB1D16" w:rsidRPr="007A5654">
        <w:rPr>
          <w:rFonts w:ascii="Arial" w:hAnsi="Arial" w:cs="Arial"/>
        </w:rPr>
        <w:t xml:space="preserve"> in size</w:t>
      </w:r>
      <w:r w:rsidRPr="007A5654">
        <w:rPr>
          <w:rFonts w:ascii="Arial" w:hAnsi="Arial" w:cs="Arial"/>
        </w:rPr>
        <w:t xml:space="preserve"> over the fo</w:t>
      </w:r>
      <w:r w:rsidR="00CE06E9" w:rsidRPr="007A5654">
        <w:rPr>
          <w:rFonts w:ascii="Arial" w:hAnsi="Arial" w:cs="Arial"/>
        </w:rPr>
        <w:t>u</w:t>
      </w:r>
      <w:r w:rsidRPr="007A5654">
        <w:rPr>
          <w:rFonts w:ascii="Arial" w:hAnsi="Arial" w:cs="Arial"/>
        </w:rPr>
        <w:t>r year settlement</w:t>
      </w:r>
      <w:r w:rsidR="002C272A" w:rsidRPr="007A5654">
        <w:rPr>
          <w:rFonts w:ascii="Arial" w:hAnsi="Arial" w:cs="Arial"/>
        </w:rPr>
        <w:t xml:space="preserve"> and was</w:t>
      </w:r>
      <w:r w:rsidR="00EA052D" w:rsidRPr="007A5654">
        <w:rPr>
          <w:rFonts w:ascii="Arial" w:hAnsi="Arial" w:cs="Arial"/>
        </w:rPr>
        <w:t xml:space="preserve"> in total:</w:t>
      </w:r>
      <w:r w:rsidRPr="007A5654">
        <w:rPr>
          <w:rFonts w:ascii="Arial" w:hAnsi="Arial" w:cs="Arial"/>
        </w:rPr>
        <w:t xml:space="preserve"> </w:t>
      </w:r>
      <w:r w:rsidR="00EA052D" w:rsidRPr="007A5654">
        <w:rPr>
          <w:rFonts w:ascii="Arial" w:hAnsi="Arial" w:cs="Arial"/>
        </w:rPr>
        <w:t>2017-18 £2.27m, 2018-19 £22.82m, 2019-20 £152.88m.</w:t>
      </w:r>
    </w:p>
    <w:p w:rsidR="00CE06E9" w:rsidRPr="005760BA" w:rsidRDefault="00CE06E9" w:rsidP="00DB6C1C">
      <w:pPr>
        <w:ind w:left="426"/>
        <w:rPr>
          <w:rFonts w:ascii="Arial" w:hAnsi="Arial" w:cs="Arial"/>
        </w:rPr>
      </w:pPr>
    </w:p>
    <w:p w:rsidR="00DE1DA0" w:rsidRPr="007A5654" w:rsidRDefault="00DE1DA0" w:rsidP="00DB6C1C">
      <w:pPr>
        <w:pStyle w:val="ListParagraph"/>
        <w:numPr>
          <w:ilvl w:val="1"/>
          <w:numId w:val="2"/>
        </w:numPr>
        <w:ind w:left="426"/>
        <w:rPr>
          <w:rFonts w:ascii="Arial" w:hAnsi="Arial" w:cs="Arial"/>
        </w:rPr>
      </w:pPr>
      <w:r w:rsidRPr="007A5654">
        <w:rPr>
          <w:rFonts w:ascii="Arial" w:hAnsi="Arial" w:cs="Arial"/>
        </w:rPr>
        <w:t xml:space="preserve">Following the </w:t>
      </w:r>
      <w:r w:rsidR="00505F28" w:rsidRPr="007A5654">
        <w:rPr>
          <w:rFonts w:ascii="Arial" w:hAnsi="Arial" w:cs="Arial"/>
        </w:rPr>
        <w:t xml:space="preserve">2015 settlement consultation, </w:t>
      </w:r>
      <w:r w:rsidR="00CE06E9" w:rsidRPr="007A5654">
        <w:rPr>
          <w:rFonts w:ascii="Arial" w:hAnsi="Arial" w:cs="Arial"/>
        </w:rPr>
        <w:t xml:space="preserve">the 15 </w:t>
      </w:r>
      <w:r w:rsidR="00505F28" w:rsidRPr="007A5654">
        <w:rPr>
          <w:rFonts w:ascii="Arial" w:hAnsi="Arial" w:cs="Arial"/>
        </w:rPr>
        <w:t>authorities with a negative RS</w:t>
      </w:r>
      <w:r w:rsidR="00CE06E9" w:rsidRPr="007A5654">
        <w:rPr>
          <w:rFonts w:ascii="Arial" w:hAnsi="Arial" w:cs="Arial"/>
        </w:rPr>
        <w:t>G allocation in 2017-18</w:t>
      </w:r>
      <w:r w:rsidR="00505F28" w:rsidRPr="007A5654">
        <w:rPr>
          <w:rFonts w:ascii="Arial" w:hAnsi="Arial" w:cs="Arial"/>
        </w:rPr>
        <w:t xml:space="preserve"> had their RSG reduced to nil rather than a negative allocation and</w:t>
      </w:r>
      <w:r w:rsidR="00CE06E9" w:rsidRPr="007A5654">
        <w:rPr>
          <w:rFonts w:ascii="Arial" w:hAnsi="Arial" w:cs="Arial"/>
        </w:rPr>
        <w:t xml:space="preserve"> DCLG created a transition grant of £150 million in 2016-17 and 2017-18 for 219</w:t>
      </w:r>
      <w:r w:rsidR="002C272A" w:rsidRPr="007A5654">
        <w:rPr>
          <w:rFonts w:ascii="Arial" w:hAnsi="Arial" w:cs="Arial"/>
        </w:rPr>
        <w:t>, mainly district</w:t>
      </w:r>
      <w:r w:rsidR="00CE06E9" w:rsidRPr="007A5654">
        <w:rPr>
          <w:rFonts w:ascii="Arial" w:hAnsi="Arial" w:cs="Arial"/>
        </w:rPr>
        <w:t xml:space="preserve"> authorities</w:t>
      </w:r>
      <w:r w:rsidR="002C272A" w:rsidRPr="007A5654">
        <w:rPr>
          <w:rFonts w:ascii="Arial" w:hAnsi="Arial" w:cs="Arial"/>
        </w:rPr>
        <w:t>,</w:t>
      </w:r>
      <w:r w:rsidR="00505F28" w:rsidRPr="007A5654">
        <w:rPr>
          <w:rFonts w:ascii="Arial" w:hAnsi="Arial" w:cs="Arial"/>
        </w:rPr>
        <w:t xml:space="preserve"> with the worst RSG impacts</w:t>
      </w:r>
      <w:r w:rsidR="00CE06E9" w:rsidRPr="007A5654">
        <w:rPr>
          <w:rFonts w:ascii="Arial" w:hAnsi="Arial" w:cs="Arial"/>
        </w:rPr>
        <w:t>.</w:t>
      </w:r>
    </w:p>
    <w:p w:rsidR="005B2BA5" w:rsidRPr="005760BA" w:rsidRDefault="005B2BA5" w:rsidP="00DB6C1C">
      <w:pPr>
        <w:ind w:left="426"/>
        <w:rPr>
          <w:rFonts w:ascii="Arial" w:hAnsi="Arial" w:cs="Arial"/>
        </w:rPr>
      </w:pPr>
    </w:p>
    <w:p w:rsidR="00DC42DF" w:rsidRPr="007A5654" w:rsidRDefault="00EA052D" w:rsidP="00DB6C1C">
      <w:pPr>
        <w:pStyle w:val="ListParagraph"/>
        <w:numPr>
          <w:ilvl w:val="1"/>
          <w:numId w:val="2"/>
        </w:numPr>
        <w:ind w:left="426"/>
        <w:rPr>
          <w:rFonts w:ascii="Arial" w:hAnsi="Arial" w:cs="Arial"/>
          <w:b/>
        </w:rPr>
      </w:pPr>
      <w:r w:rsidRPr="007A5654">
        <w:rPr>
          <w:rFonts w:ascii="Arial" w:hAnsi="Arial" w:cs="Arial"/>
          <w:b/>
        </w:rPr>
        <w:t>Should the new method of calculating RSG reduction continue beyond 2019-20</w:t>
      </w:r>
      <w:r w:rsidR="00CF57D4" w:rsidRPr="007A5654">
        <w:rPr>
          <w:rFonts w:ascii="Arial" w:hAnsi="Arial" w:cs="Arial"/>
          <w:b/>
        </w:rPr>
        <w:t>?</w:t>
      </w:r>
    </w:p>
    <w:p w:rsidR="00DC42DF" w:rsidRPr="007A5654" w:rsidRDefault="00DC42DF" w:rsidP="00DB6C1C">
      <w:pPr>
        <w:pStyle w:val="ListParagraph"/>
        <w:ind w:left="426"/>
        <w:rPr>
          <w:rFonts w:ascii="Arial" w:hAnsi="Arial" w:cs="Arial"/>
          <w:i/>
        </w:rPr>
      </w:pPr>
      <w:r w:rsidRPr="007A5654">
        <w:rPr>
          <w:rFonts w:ascii="Arial" w:hAnsi="Arial" w:cs="Arial"/>
          <w:i/>
        </w:rPr>
        <w:t>Setting cuts relative to overall CT requirement takes no account of the varying band D levels set by authorities, as referred to above. If this method continues it would be better to set cuts by reference to an imputed CT requirement, that is by a “standard” CT amount, multiplied by tax base</w:t>
      </w:r>
      <w:r w:rsidR="004C3DCB" w:rsidRPr="007A5654">
        <w:rPr>
          <w:rFonts w:ascii="Arial" w:hAnsi="Arial" w:cs="Arial"/>
          <w:i/>
        </w:rPr>
        <w:t xml:space="preserve"> rather than on Council Tax requirement.</w:t>
      </w:r>
    </w:p>
    <w:p w:rsidR="004C3DCB" w:rsidRDefault="004C3DCB" w:rsidP="00DB6C1C">
      <w:pPr>
        <w:ind w:left="426"/>
        <w:rPr>
          <w:rFonts w:ascii="Arial" w:hAnsi="Arial" w:cs="Arial"/>
          <w:i/>
        </w:rPr>
      </w:pPr>
    </w:p>
    <w:p w:rsidR="004C3DCB" w:rsidRPr="007A5654" w:rsidRDefault="004C3DCB" w:rsidP="00DB6C1C">
      <w:pPr>
        <w:pStyle w:val="ListParagraph"/>
        <w:ind w:left="426"/>
        <w:rPr>
          <w:rFonts w:ascii="Arial" w:hAnsi="Arial" w:cs="Arial"/>
          <w:i/>
        </w:rPr>
      </w:pPr>
      <w:r w:rsidRPr="007A5654">
        <w:rPr>
          <w:rFonts w:ascii="Arial" w:hAnsi="Arial" w:cs="Arial"/>
          <w:i/>
        </w:rPr>
        <w:t>Subject to the above we are supportive of applying cuts at a level that takes into account the whole of resources available to authorities and would be interested in the views of other members.</w:t>
      </w:r>
    </w:p>
    <w:p w:rsidR="00DC42DF" w:rsidRPr="004E144D" w:rsidRDefault="00DC42DF">
      <w:pPr>
        <w:rPr>
          <w:rFonts w:ascii="Arial" w:hAnsi="Arial" w:cs="Arial"/>
          <w:b/>
          <w:u w:val="single"/>
        </w:rPr>
      </w:pPr>
    </w:p>
    <w:p w:rsidR="007C1C95" w:rsidRPr="007A5654" w:rsidRDefault="001215CB" w:rsidP="007A5654">
      <w:pPr>
        <w:pStyle w:val="ListParagraph"/>
        <w:numPr>
          <w:ilvl w:val="0"/>
          <w:numId w:val="2"/>
        </w:numPr>
        <w:spacing w:after="200"/>
        <w:rPr>
          <w:rFonts w:ascii="Arial" w:hAnsi="Arial" w:cs="Arial"/>
          <w:b/>
          <w:sz w:val="28"/>
          <w:szCs w:val="28"/>
          <w:u w:val="single"/>
        </w:rPr>
      </w:pPr>
      <w:r w:rsidRPr="007A5654">
        <w:rPr>
          <w:rFonts w:ascii="Arial" w:hAnsi="Arial" w:cs="Arial"/>
          <w:b/>
          <w:sz w:val="28"/>
          <w:szCs w:val="28"/>
          <w:u w:val="single"/>
        </w:rPr>
        <w:t xml:space="preserve">Council Tax </w:t>
      </w:r>
      <w:r w:rsidR="007C1C95" w:rsidRPr="007A5654">
        <w:rPr>
          <w:rFonts w:ascii="Arial" w:hAnsi="Arial" w:cs="Arial"/>
          <w:b/>
          <w:sz w:val="28"/>
          <w:szCs w:val="28"/>
          <w:u w:val="single"/>
        </w:rPr>
        <w:t>Linked to Adult Social Care</w:t>
      </w:r>
    </w:p>
    <w:p w:rsidR="00726A72" w:rsidRPr="007A5654" w:rsidRDefault="007C1C95" w:rsidP="00DB6C1C">
      <w:pPr>
        <w:pStyle w:val="ListParagraph"/>
        <w:numPr>
          <w:ilvl w:val="1"/>
          <w:numId w:val="2"/>
        </w:numPr>
        <w:spacing w:after="200"/>
        <w:ind w:left="426"/>
        <w:rPr>
          <w:rFonts w:ascii="Arial" w:hAnsi="Arial" w:cs="Arial"/>
        </w:rPr>
      </w:pPr>
      <w:r w:rsidRPr="007A5654">
        <w:rPr>
          <w:rFonts w:ascii="Arial" w:hAnsi="Arial" w:cs="Arial"/>
        </w:rPr>
        <w:t>Since 2016-17</w:t>
      </w:r>
      <w:r w:rsidR="00341EDE" w:rsidRPr="007A5654">
        <w:rPr>
          <w:rFonts w:ascii="Arial" w:hAnsi="Arial" w:cs="Arial"/>
        </w:rPr>
        <w:t>,</w:t>
      </w:r>
      <w:r w:rsidRPr="007A5654">
        <w:rPr>
          <w:rFonts w:ascii="Arial" w:hAnsi="Arial" w:cs="Arial"/>
        </w:rPr>
        <w:t xml:space="preserve"> </w:t>
      </w:r>
      <w:r w:rsidR="00341EDE" w:rsidRPr="007A5654">
        <w:rPr>
          <w:rFonts w:ascii="Arial" w:hAnsi="Arial" w:cs="Arial"/>
        </w:rPr>
        <w:t>c</w:t>
      </w:r>
      <w:r w:rsidRPr="007A5654">
        <w:rPr>
          <w:rFonts w:ascii="Arial" w:hAnsi="Arial" w:cs="Arial"/>
        </w:rPr>
        <w:t>ouncils with responsibility for adult social services</w:t>
      </w:r>
      <w:r w:rsidR="00C2350D" w:rsidRPr="007A5654">
        <w:rPr>
          <w:rFonts w:ascii="Arial" w:hAnsi="Arial" w:cs="Arial"/>
        </w:rPr>
        <w:t xml:space="preserve"> have had a “flexibility” to raise </w:t>
      </w:r>
      <w:r w:rsidR="001215CB" w:rsidRPr="007A5654">
        <w:rPr>
          <w:rFonts w:ascii="Arial" w:hAnsi="Arial" w:cs="Arial"/>
        </w:rPr>
        <w:t>C</w:t>
      </w:r>
      <w:r w:rsidR="00C2350D" w:rsidRPr="007A5654">
        <w:rPr>
          <w:rFonts w:ascii="Arial" w:hAnsi="Arial" w:cs="Arial"/>
        </w:rPr>
        <w:t xml:space="preserve">ouncil </w:t>
      </w:r>
      <w:r w:rsidR="001215CB" w:rsidRPr="007A5654">
        <w:rPr>
          <w:rFonts w:ascii="Arial" w:hAnsi="Arial" w:cs="Arial"/>
        </w:rPr>
        <w:t>T</w:t>
      </w:r>
      <w:r w:rsidR="00C2350D" w:rsidRPr="007A5654">
        <w:rPr>
          <w:rFonts w:ascii="Arial" w:hAnsi="Arial" w:cs="Arial"/>
        </w:rPr>
        <w:t>ax by a further 2% above the 2% general referendum cap</w:t>
      </w:r>
      <w:r w:rsidR="0015003D" w:rsidRPr="005760BA">
        <w:rPr>
          <w:rStyle w:val="FootnoteReference"/>
          <w:rFonts w:ascii="Arial" w:hAnsi="Arial" w:cs="Arial"/>
        </w:rPr>
        <w:footnoteReference w:id="7"/>
      </w:r>
      <w:r w:rsidR="0015003D" w:rsidRPr="007A5654">
        <w:rPr>
          <w:rFonts w:ascii="Arial" w:hAnsi="Arial" w:cs="Arial"/>
        </w:rPr>
        <w:t xml:space="preserve">. At the same time DCLG have introduced an </w:t>
      </w:r>
      <w:r w:rsidR="001215CB" w:rsidRPr="007A5654">
        <w:rPr>
          <w:rFonts w:ascii="Arial" w:hAnsi="Arial" w:cs="Arial"/>
        </w:rPr>
        <w:t>additional</w:t>
      </w:r>
      <w:r w:rsidR="0015003D" w:rsidRPr="007A5654">
        <w:rPr>
          <w:rFonts w:ascii="Arial" w:hAnsi="Arial" w:cs="Arial"/>
        </w:rPr>
        <w:t xml:space="preserve"> </w:t>
      </w:r>
      <w:r w:rsidR="001215CB" w:rsidRPr="007A5654">
        <w:rPr>
          <w:rFonts w:ascii="Arial" w:hAnsi="Arial" w:cs="Arial"/>
        </w:rPr>
        <w:t>B</w:t>
      </w:r>
      <w:r w:rsidR="0015003D" w:rsidRPr="007A5654">
        <w:rPr>
          <w:rFonts w:ascii="Arial" w:hAnsi="Arial" w:cs="Arial"/>
        </w:rPr>
        <w:t xml:space="preserve">etter </w:t>
      </w:r>
      <w:r w:rsidR="001215CB" w:rsidRPr="007A5654">
        <w:rPr>
          <w:rFonts w:ascii="Arial" w:hAnsi="Arial" w:cs="Arial"/>
        </w:rPr>
        <w:t>C</w:t>
      </w:r>
      <w:r w:rsidR="0015003D" w:rsidRPr="007A5654">
        <w:rPr>
          <w:rFonts w:ascii="Arial" w:hAnsi="Arial" w:cs="Arial"/>
        </w:rPr>
        <w:t>are fund for adult social care authorities</w:t>
      </w:r>
      <w:r w:rsidR="002C272A" w:rsidRPr="007A5654">
        <w:rPr>
          <w:rFonts w:ascii="Arial" w:hAnsi="Arial" w:cs="Arial"/>
        </w:rPr>
        <w:t>,</w:t>
      </w:r>
      <w:r w:rsidR="004E144D" w:rsidRPr="007A5654">
        <w:rPr>
          <w:rFonts w:ascii="Arial" w:hAnsi="Arial" w:cs="Arial"/>
        </w:rPr>
        <w:t xml:space="preserve"> </w:t>
      </w:r>
      <w:r w:rsidR="002C272A" w:rsidRPr="007A5654">
        <w:rPr>
          <w:rFonts w:ascii="Arial" w:hAnsi="Arial" w:cs="Arial"/>
        </w:rPr>
        <w:t>further enhanced for early years in the 2017 Budget.</w:t>
      </w:r>
      <w:r w:rsidR="0015003D" w:rsidRPr="007A5654">
        <w:rPr>
          <w:rFonts w:ascii="Arial" w:hAnsi="Arial" w:cs="Arial"/>
        </w:rPr>
        <w:t xml:space="preserve"> </w:t>
      </w:r>
      <w:r w:rsidR="00341EDE" w:rsidRPr="007A5654">
        <w:rPr>
          <w:rFonts w:ascii="Arial" w:hAnsi="Arial" w:cs="Arial"/>
        </w:rPr>
        <w:t>T</w:t>
      </w:r>
      <w:r w:rsidR="0015003D" w:rsidRPr="007A5654">
        <w:rPr>
          <w:rFonts w:ascii="Arial" w:hAnsi="Arial" w:cs="Arial"/>
        </w:rPr>
        <w:t>he amounts of grant and estimated additional Council Tax through the flexibility are:</w:t>
      </w:r>
    </w:p>
    <w:tbl>
      <w:tblPr>
        <w:tblStyle w:val="TableGrid"/>
        <w:tblW w:w="0" w:type="auto"/>
        <w:tblInd w:w="250" w:type="dxa"/>
        <w:tblLook w:val="04A0" w:firstRow="1" w:lastRow="0" w:firstColumn="1" w:lastColumn="0" w:noHBand="0" w:noVBand="1"/>
      </w:tblPr>
      <w:tblGrid>
        <w:gridCol w:w="5145"/>
        <w:gridCol w:w="1376"/>
        <w:gridCol w:w="1376"/>
        <w:gridCol w:w="1376"/>
      </w:tblGrid>
      <w:tr w:rsidR="00DF139B" w:rsidRPr="005760BA" w:rsidTr="002C272A">
        <w:tc>
          <w:tcPr>
            <w:tcW w:w="0" w:type="auto"/>
          </w:tcPr>
          <w:p w:rsidR="0015003D" w:rsidRPr="00807BBF" w:rsidRDefault="0015003D" w:rsidP="00DB6C1C">
            <w:pPr>
              <w:ind w:left="426"/>
              <w:rPr>
                <w:rFonts w:ascii="Arial" w:hAnsi="Arial" w:cs="Arial"/>
                <w:sz w:val="20"/>
                <w:szCs w:val="20"/>
              </w:rPr>
            </w:pPr>
          </w:p>
        </w:tc>
        <w:tc>
          <w:tcPr>
            <w:tcW w:w="0" w:type="auto"/>
          </w:tcPr>
          <w:p w:rsidR="0015003D" w:rsidRPr="00807BBF" w:rsidRDefault="0015003D" w:rsidP="00DB6C1C">
            <w:pPr>
              <w:ind w:left="426"/>
              <w:jc w:val="right"/>
              <w:rPr>
                <w:rFonts w:ascii="Arial" w:hAnsi="Arial" w:cs="Arial"/>
                <w:sz w:val="20"/>
                <w:szCs w:val="20"/>
              </w:rPr>
            </w:pPr>
            <w:r w:rsidRPr="00807BBF">
              <w:rPr>
                <w:rFonts w:ascii="Arial" w:hAnsi="Arial" w:cs="Arial"/>
                <w:sz w:val="20"/>
                <w:szCs w:val="20"/>
              </w:rPr>
              <w:t>2017-18</w:t>
            </w:r>
          </w:p>
          <w:p w:rsidR="00DF139B" w:rsidRPr="00807BBF" w:rsidRDefault="00DF139B" w:rsidP="00DB6C1C">
            <w:pPr>
              <w:ind w:left="426"/>
              <w:jc w:val="right"/>
              <w:rPr>
                <w:rFonts w:ascii="Arial" w:hAnsi="Arial" w:cs="Arial"/>
                <w:sz w:val="20"/>
                <w:szCs w:val="20"/>
              </w:rPr>
            </w:pPr>
            <w:r w:rsidRPr="00807BBF">
              <w:rPr>
                <w:rFonts w:ascii="Arial" w:hAnsi="Arial" w:cs="Arial"/>
                <w:sz w:val="20"/>
                <w:szCs w:val="20"/>
              </w:rPr>
              <w:t>£m</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2018-19</w:t>
            </w:r>
          </w:p>
          <w:p w:rsidR="00DF139B" w:rsidRPr="00807BBF" w:rsidRDefault="00DF139B" w:rsidP="00DB6C1C">
            <w:pPr>
              <w:ind w:left="426"/>
              <w:jc w:val="right"/>
              <w:rPr>
                <w:rFonts w:ascii="Arial" w:hAnsi="Arial" w:cs="Arial"/>
                <w:sz w:val="20"/>
                <w:szCs w:val="20"/>
              </w:rPr>
            </w:pPr>
            <w:r w:rsidRPr="00807BBF">
              <w:rPr>
                <w:rFonts w:ascii="Arial" w:hAnsi="Arial" w:cs="Arial"/>
                <w:sz w:val="20"/>
                <w:szCs w:val="20"/>
              </w:rPr>
              <w:t>£m</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2019-20</w:t>
            </w:r>
          </w:p>
          <w:p w:rsidR="00DF139B" w:rsidRPr="00807BBF" w:rsidRDefault="00DF139B" w:rsidP="00DB6C1C">
            <w:pPr>
              <w:ind w:left="426"/>
              <w:jc w:val="right"/>
              <w:rPr>
                <w:rFonts w:ascii="Arial" w:hAnsi="Arial" w:cs="Arial"/>
                <w:sz w:val="20"/>
                <w:szCs w:val="20"/>
              </w:rPr>
            </w:pPr>
            <w:r w:rsidRPr="00807BBF">
              <w:rPr>
                <w:rFonts w:ascii="Arial" w:hAnsi="Arial" w:cs="Arial"/>
                <w:sz w:val="20"/>
                <w:szCs w:val="20"/>
              </w:rPr>
              <w:t>£m</w:t>
            </w:r>
          </w:p>
        </w:tc>
      </w:tr>
      <w:tr w:rsidR="00DF139B" w:rsidRPr="005760BA" w:rsidTr="002C272A">
        <w:tc>
          <w:tcPr>
            <w:tcW w:w="0" w:type="auto"/>
          </w:tcPr>
          <w:p w:rsidR="0015003D" w:rsidRPr="00807BBF" w:rsidRDefault="00DF139B" w:rsidP="00DB6C1C">
            <w:pPr>
              <w:ind w:left="426"/>
              <w:rPr>
                <w:rFonts w:ascii="Arial" w:hAnsi="Arial" w:cs="Arial"/>
                <w:sz w:val="20"/>
                <w:szCs w:val="20"/>
              </w:rPr>
            </w:pPr>
            <w:r w:rsidRPr="00807BBF">
              <w:rPr>
                <w:rFonts w:ascii="Arial" w:hAnsi="Arial" w:cs="Arial"/>
                <w:sz w:val="20"/>
                <w:szCs w:val="20"/>
              </w:rPr>
              <w:t>Additional Better Care G</w:t>
            </w:r>
            <w:r w:rsidR="0015003D" w:rsidRPr="00807BBF">
              <w:rPr>
                <w:rFonts w:ascii="Arial" w:hAnsi="Arial" w:cs="Arial"/>
                <w:sz w:val="20"/>
                <w:szCs w:val="20"/>
              </w:rPr>
              <w:t>rant</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1,115.0</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1,499.0</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1,837.0</w:t>
            </w:r>
          </w:p>
        </w:tc>
      </w:tr>
      <w:tr w:rsidR="00DF139B" w:rsidRPr="005760BA" w:rsidTr="002C272A">
        <w:tc>
          <w:tcPr>
            <w:tcW w:w="0" w:type="auto"/>
          </w:tcPr>
          <w:p w:rsidR="0015003D" w:rsidRPr="00807BBF" w:rsidRDefault="00DF139B" w:rsidP="00DB6C1C">
            <w:pPr>
              <w:ind w:left="426"/>
              <w:rPr>
                <w:rFonts w:ascii="Arial" w:hAnsi="Arial" w:cs="Arial"/>
                <w:sz w:val="20"/>
                <w:szCs w:val="20"/>
              </w:rPr>
            </w:pPr>
            <w:r w:rsidRPr="00807BBF">
              <w:rPr>
                <w:rFonts w:ascii="Arial" w:hAnsi="Arial" w:cs="Arial"/>
                <w:sz w:val="20"/>
                <w:szCs w:val="20"/>
              </w:rPr>
              <w:t xml:space="preserve">Potential </w:t>
            </w:r>
            <w:r w:rsidR="0015003D" w:rsidRPr="00807BBF">
              <w:rPr>
                <w:rFonts w:ascii="Arial" w:hAnsi="Arial" w:cs="Arial"/>
                <w:sz w:val="20"/>
                <w:szCs w:val="20"/>
              </w:rPr>
              <w:t xml:space="preserve">Council Tax raised through </w:t>
            </w:r>
            <w:r w:rsidRPr="00807BBF">
              <w:rPr>
                <w:rFonts w:ascii="Arial" w:hAnsi="Arial" w:cs="Arial"/>
                <w:sz w:val="20"/>
                <w:szCs w:val="20"/>
              </w:rPr>
              <w:t xml:space="preserve">ASC </w:t>
            </w:r>
            <w:r w:rsidR="0015003D" w:rsidRPr="00807BBF">
              <w:rPr>
                <w:rFonts w:ascii="Arial" w:hAnsi="Arial" w:cs="Arial"/>
                <w:sz w:val="20"/>
                <w:szCs w:val="20"/>
              </w:rPr>
              <w:t>flexibility</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814.2</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1,289.6</w:t>
            </w:r>
          </w:p>
        </w:tc>
        <w:tc>
          <w:tcPr>
            <w:tcW w:w="0" w:type="auto"/>
          </w:tcPr>
          <w:p w:rsidR="0015003D" w:rsidRPr="00807BBF" w:rsidRDefault="00DF139B" w:rsidP="00DB6C1C">
            <w:pPr>
              <w:ind w:left="426"/>
              <w:jc w:val="right"/>
              <w:rPr>
                <w:rFonts w:ascii="Arial" w:hAnsi="Arial" w:cs="Arial"/>
                <w:sz w:val="20"/>
                <w:szCs w:val="20"/>
              </w:rPr>
            </w:pPr>
            <w:r w:rsidRPr="00807BBF">
              <w:rPr>
                <w:rFonts w:ascii="Arial" w:hAnsi="Arial" w:cs="Arial"/>
                <w:sz w:val="20"/>
                <w:szCs w:val="20"/>
              </w:rPr>
              <w:t>1,811.5</w:t>
            </w:r>
          </w:p>
        </w:tc>
      </w:tr>
    </w:tbl>
    <w:p w:rsidR="0015003D" w:rsidRPr="005760BA" w:rsidRDefault="0015003D" w:rsidP="00DB6C1C">
      <w:pPr>
        <w:ind w:left="426"/>
        <w:rPr>
          <w:rFonts w:ascii="Arial" w:hAnsi="Arial" w:cs="Arial"/>
        </w:rPr>
      </w:pPr>
    </w:p>
    <w:p w:rsidR="00DF139B" w:rsidRPr="007A5654" w:rsidRDefault="00DF139B" w:rsidP="00DB6C1C">
      <w:pPr>
        <w:pStyle w:val="ListParagraph"/>
        <w:numPr>
          <w:ilvl w:val="1"/>
          <w:numId w:val="2"/>
        </w:numPr>
        <w:ind w:left="426"/>
        <w:rPr>
          <w:rFonts w:ascii="Arial" w:hAnsi="Arial" w:cs="Arial"/>
        </w:rPr>
      </w:pPr>
      <w:r w:rsidRPr="007A5654">
        <w:rPr>
          <w:rFonts w:ascii="Arial" w:hAnsi="Arial" w:cs="Arial"/>
        </w:rPr>
        <w:t xml:space="preserve">The amount </w:t>
      </w:r>
      <w:r w:rsidR="001215CB" w:rsidRPr="007A5654">
        <w:rPr>
          <w:rFonts w:ascii="Arial" w:hAnsi="Arial" w:cs="Arial"/>
        </w:rPr>
        <w:t xml:space="preserve">of </w:t>
      </w:r>
      <w:r w:rsidRPr="007A5654">
        <w:rPr>
          <w:rFonts w:ascii="Arial" w:hAnsi="Arial" w:cs="Arial"/>
        </w:rPr>
        <w:t xml:space="preserve">Council Tax that could be raised through Adult Social Care </w:t>
      </w:r>
      <w:r w:rsidR="001215CB" w:rsidRPr="007A5654">
        <w:rPr>
          <w:rFonts w:ascii="Arial" w:hAnsi="Arial" w:cs="Arial"/>
        </w:rPr>
        <w:t xml:space="preserve">flexibility </w:t>
      </w:r>
      <w:r w:rsidRPr="007A5654">
        <w:rPr>
          <w:rFonts w:ascii="Arial" w:hAnsi="Arial" w:cs="Arial"/>
        </w:rPr>
        <w:t xml:space="preserve">will vary depending upon the size of an authority’s Council Tax base and </w:t>
      </w:r>
      <w:r w:rsidR="001215CB" w:rsidRPr="007A5654">
        <w:rPr>
          <w:rFonts w:ascii="Arial" w:hAnsi="Arial" w:cs="Arial"/>
        </w:rPr>
        <w:t xml:space="preserve">will </w:t>
      </w:r>
      <w:r w:rsidRPr="007A5654">
        <w:rPr>
          <w:rFonts w:ascii="Arial" w:hAnsi="Arial" w:cs="Arial"/>
        </w:rPr>
        <w:t xml:space="preserve">bear no relationship to the cost of care. </w:t>
      </w:r>
      <w:r w:rsidR="001977F0" w:rsidRPr="007A5654">
        <w:rPr>
          <w:rFonts w:ascii="Arial" w:hAnsi="Arial" w:cs="Arial"/>
        </w:rPr>
        <w:t>T</w:t>
      </w:r>
      <w:r w:rsidRPr="007A5654">
        <w:rPr>
          <w:rFonts w:ascii="Arial" w:hAnsi="Arial" w:cs="Arial"/>
        </w:rPr>
        <w:t xml:space="preserve">he additional </w:t>
      </w:r>
      <w:r w:rsidR="001215CB" w:rsidRPr="007A5654">
        <w:rPr>
          <w:rFonts w:ascii="Arial" w:hAnsi="Arial" w:cs="Arial"/>
        </w:rPr>
        <w:t>B</w:t>
      </w:r>
      <w:r w:rsidRPr="007A5654">
        <w:rPr>
          <w:rFonts w:ascii="Arial" w:hAnsi="Arial" w:cs="Arial"/>
        </w:rPr>
        <w:t xml:space="preserve">etter </w:t>
      </w:r>
      <w:r w:rsidR="001215CB" w:rsidRPr="007A5654">
        <w:rPr>
          <w:rFonts w:ascii="Arial" w:hAnsi="Arial" w:cs="Arial"/>
        </w:rPr>
        <w:t>C</w:t>
      </w:r>
      <w:r w:rsidRPr="007A5654">
        <w:rPr>
          <w:rFonts w:ascii="Arial" w:hAnsi="Arial" w:cs="Arial"/>
        </w:rPr>
        <w:t>are funding allocations</w:t>
      </w:r>
      <w:r w:rsidR="001977F0" w:rsidRPr="007A5654">
        <w:rPr>
          <w:rFonts w:ascii="Arial" w:hAnsi="Arial" w:cs="Arial"/>
        </w:rPr>
        <w:t xml:space="preserve"> do, however, </w:t>
      </w:r>
      <w:r w:rsidRPr="007A5654">
        <w:rPr>
          <w:rFonts w:ascii="Arial" w:hAnsi="Arial" w:cs="Arial"/>
        </w:rPr>
        <w:t>take into account the amount of funding that each authority could raise through the flexibility</w:t>
      </w:r>
      <w:r w:rsidR="001215CB" w:rsidRPr="007A5654">
        <w:rPr>
          <w:rFonts w:ascii="Arial" w:hAnsi="Arial" w:cs="Arial"/>
        </w:rPr>
        <w:t>,</w:t>
      </w:r>
      <w:r w:rsidRPr="007A5654">
        <w:rPr>
          <w:rFonts w:ascii="Arial" w:hAnsi="Arial" w:cs="Arial"/>
        </w:rPr>
        <w:t xml:space="preserve"> so that the two funding streams combi</w:t>
      </w:r>
      <w:r w:rsidR="001215CB" w:rsidRPr="007A5654">
        <w:rPr>
          <w:rFonts w:ascii="Arial" w:hAnsi="Arial" w:cs="Arial"/>
        </w:rPr>
        <w:t xml:space="preserve">ned should add to a </w:t>
      </w:r>
      <w:r w:rsidRPr="007A5654">
        <w:rPr>
          <w:rFonts w:ascii="Arial" w:hAnsi="Arial" w:cs="Arial"/>
        </w:rPr>
        <w:t>di</w:t>
      </w:r>
      <w:r w:rsidR="001215CB" w:rsidRPr="007A5654">
        <w:rPr>
          <w:rFonts w:ascii="Arial" w:hAnsi="Arial" w:cs="Arial"/>
        </w:rPr>
        <w:t>stribution</w:t>
      </w:r>
      <w:r w:rsidRPr="007A5654">
        <w:rPr>
          <w:rFonts w:ascii="Arial" w:hAnsi="Arial" w:cs="Arial"/>
        </w:rPr>
        <w:t xml:space="preserve"> based </w:t>
      </w:r>
      <w:r w:rsidR="001215CB" w:rsidRPr="007A5654">
        <w:rPr>
          <w:rFonts w:ascii="Arial" w:hAnsi="Arial" w:cs="Arial"/>
        </w:rPr>
        <w:t>on social care deprivation.</w:t>
      </w:r>
    </w:p>
    <w:p w:rsidR="001215CB" w:rsidRPr="005760BA" w:rsidRDefault="001215CB" w:rsidP="00DB6C1C">
      <w:pPr>
        <w:ind w:left="426"/>
        <w:rPr>
          <w:rFonts w:ascii="Arial" w:hAnsi="Arial" w:cs="Arial"/>
        </w:rPr>
      </w:pPr>
    </w:p>
    <w:p w:rsidR="001215CB" w:rsidRPr="007A5654" w:rsidRDefault="001215CB" w:rsidP="00DB6C1C">
      <w:pPr>
        <w:pStyle w:val="ListParagraph"/>
        <w:numPr>
          <w:ilvl w:val="1"/>
          <w:numId w:val="2"/>
        </w:numPr>
        <w:ind w:left="426"/>
        <w:rPr>
          <w:rFonts w:ascii="Arial" w:hAnsi="Arial" w:cs="Arial"/>
          <w:b/>
        </w:rPr>
      </w:pPr>
      <w:r w:rsidRPr="007A5654">
        <w:rPr>
          <w:rFonts w:ascii="Arial" w:hAnsi="Arial" w:cs="Arial"/>
          <w:b/>
        </w:rPr>
        <w:t>Should the social care Council Tax flexibility be combined into an overall cap (assuming a cap must remain)</w:t>
      </w:r>
      <w:r w:rsidR="00341EDE" w:rsidRPr="007A5654">
        <w:rPr>
          <w:rFonts w:ascii="Arial" w:hAnsi="Arial" w:cs="Arial"/>
          <w:b/>
        </w:rPr>
        <w:t>?</w:t>
      </w:r>
      <w:r w:rsidRPr="007A5654">
        <w:rPr>
          <w:rFonts w:ascii="Arial" w:hAnsi="Arial" w:cs="Arial"/>
          <w:b/>
        </w:rPr>
        <w:t xml:space="preserve"> </w:t>
      </w:r>
      <w:r w:rsidR="00341EDE" w:rsidRPr="007A5654">
        <w:rPr>
          <w:rFonts w:ascii="Arial" w:hAnsi="Arial" w:cs="Arial"/>
          <w:b/>
        </w:rPr>
        <w:t>I</w:t>
      </w:r>
      <w:r w:rsidRPr="007A5654">
        <w:rPr>
          <w:rFonts w:ascii="Arial" w:hAnsi="Arial" w:cs="Arial"/>
          <w:b/>
        </w:rPr>
        <w:t>n which case</w:t>
      </w:r>
      <w:r w:rsidR="00341EDE" w:rsidRPr="007A5654">
        <w:rPr>
          <w:rFonts w:ascii="Arial" w:hAnsi="Arial" w:cs="Arial"/>
          <w:b/>
        </w:rPr>
        <w:t>,</w:t>
      </w:r>
      <w:r w:rsidRPr="007A5654">
        <w:rPr>
          <w:rFonts w:ascii="Arial" w:hAnsi="Arial" w:cs="Arial"/>
          <w:b/>
        </w:rPr>
        <w:t xml:space="preserve"> should adult social care funding be rolled into settlement? Or</w:t>
      </w:r>
      <w:r w:rsidR="00341EDE" w:rsidRPr="007A5654">
        <w:rPr>
          <w:rFonts w:ascii="Arial" w:hAnsi="Arial" w:cs="Arial"/>
          <w:b/>
        </w:rPr>
        <w:t>,</w:t>
      </w:r>
    </w:p>
    <w:p w:rsidR="001215CB" w:rsidRPr="007A5654" w:rsidRDefault="004E144D" w:rsidP="00DB6C1C">
      <w:pPr>
        <w:pStyle w:val="ListParagraph"/>
        <w:numPr>
          <w:ilvl w:val="1"/>
          <w:numId w:val="2"/>
        </w:numPr>
        <w:ind w:left="426"/>
        <w:rPr>
          <w:rFonts w:ascii="Arial" w:hAnsi="Arial" w:cs="Arial"/>
          <w:b/>
        </w:rPr>
      </w:pPr>
      <w:r w:rsidRPr="007A5654">
        <w:rPr>
          <w:rFonts w:ascii="Arial" w:hAnsi="Arial" w:cs="Arial"/>
          <w:b/>
        </w:rPr>
        <w:t>S</w:t>
      </w:r>
      <w:r w:rsidR="001215CB" w:rsidRPr="007A5654">
        <w:rPr>
          <w:rFonts w:ascii="Arial" w:hAnsi="Arial" w:cs="Arial"/>
          <w:b/>
        </w:rPr>
        <w:t>hould the social care Council Tax flexibility</w:t>
      </w:r>
      <w:r w:rsidR="002C272A" w:rsidRPr="007A5654">
        <w:rPr>
          <w:rFonts w:ascii="Arial" w:hAnsi="Arial" w:cs="Arial"/>
          <w:b/>
        </w:rPr>
        <w:t xml:space="preserve"> and Additional Better Care fund</w:t>
      </w:r>
      <w:r w:rsidRPr="007A5654">
        <w:rPr>
          <w:rFonts w:ascii="Arial" w:hAnsi="Arial" w:cs="Arial"/>
          <w:b/>
        </w:rPr>
        <w:t xml:space="preserve"> be ignored for Fair funding</w:t>
      </w:r>
      <w:r w:rsidR="001215CB" w:rsidRPr="007A5654">
        <w:rPr>
          <w:rFonts w:ascii="Arial" w:hAnsi="Arial" w:cs="Arial"/>
          <w:b/>
        </w:rPr>
        <w:t xml:space="preserve"> </w:t>
      </w:r>
      <w:r w:rsidR="002C272A" w:rsidRPr="007A5654">
        <w:rPr>
          <w:rFonts w:ascii="Arial" w:hAnsi="Arial" w:cs="Arial"/>
          <w:b/>
        </w:rPr>
        <w:t>purposes,</w:t>
      </w:r>
      <w:r w:rsidR="001215CB" w:rsidRPr="007A5654">
        <w:rPr>
          <w:rFonts w:ascii="Arial" w:hAnsi="Arial" w:cs="Arial"/>
          <w:b/>
        </w:rPr>
        <w:t xml:space="preserve"> as long the Additional Better Care fund remains in force at the 2019-20 value.</w:t>
      </w:r>
    </w:p>
    <w:p w:rsidR="00C737F9" w:rsidRDefault="00C737F9" w:rsidP="00DB6C1C">
      <w:pPr>
        <w:ind w:left="426"/>
        <w:rPr>
          <w:rFonts w:ascii="Arial" w:hAnsi="Arial" w:cs="Arial"/>
          <w:b/>
        </w:rPr>
      </w:pPr>
    </w:p>
    <w:p w:rsidR="00C737F9" w:rsidRPr="007A5654" w:rsidRDefault="00C737F9" w:rsidP="00DB6C1C">
      <w:pPr>
        <w:pStyle w:val="ListParagraph"/>
        <w:ind w:left="426"/>
        <w:rPr>
          <w:rFonts w:ascii="Arial" w:hAnsi="Arial" w:cs="Arial"/>
          <w:i/>
        </w:rPr>
      </w:pPr>
      <w:r w:rsidRPr="007A5654">
        <w:rPr>
          <w:rFonts w:ascii="Arial" w:hAnsi="Arial" w:cs="Arial"/>
          <w:i/>
        </w:rPr>
        <w:t>Again, using CT requirement tends to favour authorities who are setting co</w:t>
      </w:r>
      <w:r w:rsidR="004C3DCB" w:rsidRPr="007A5654">
        <w:rPr>
          <w:rFonts w:ascii="Arial" w:hAnsi="Arial" w:cs="Arial"/>
          <w:i/>
        </w:rPr>
        <w:t xml:space="preserve">mparatively low band D. We </w:t>
      </w:r>
      <w:r w:rsidRPr="007A5654">
        <w:rPr>
          <w:rFonts w:ascii="Arial" w:hAnsi="Arial" w:cs="Arial"/>
          <w:i/>
        </w:rPr>
        <w:t>suggest that an imputed level of Council Tax should be used to adjust Social care funding and that there should be regular updates to this figure.</w:t>
      </w:r>
    </w:p>
    <w:p w:rsidR="004C3DCB" w:rsidRDefault="004C3DCB" w:rsidP="00DB6C1C">
      <w:pPr>
        <w:ind w:left="426"/>
        <w:rPr>
          <w:rFonts w:ascii="Arial" w:hAnsi="Arial" w:cs="Arial"/>
          <w:i/>
        </w:rPr>
      </w:pPr>
    </w:p>
    <w:p w:rsidR="004C3DCB" w:rsidRPr="007A5654" w:rsidRDefault="004C3DCB" w:rsidP="00DB6C1C">
      <w:pPr>
        <w:pStyle w:val="ListParagraph"/>
        <w:ind w:left="426"/>
        <w:rPr>
          <w:rFonts w:ascii="Arial" w:hAnsi="Arial" w:cs="Arial"/>
          <w:i/>
        </w:rPr>
      </w:pPr>
      <w:r w:rsidRPr="007A5654">
        <w:rPr>
          <w:rFonts w:ascii="Arial" w:hAnsi="Arial" w:cs="Arial"/>
          <w:i/>
        </w:rPr>
        <w:t xml:space="preserve">On balance and subject to the above comment, our members support the principle of a social care precept so long as Additional Better Care Grant and its interaction with </w:t>
      </w:r>
      <w:r w:rsidR="009D3DCA" w:rsidRPr="007A5654">
        <w:rPr>
          <w:rFonts w:ascii="Arial" w:hAnsi="Arial" w:cs="Arial"/>
          <w:i/>
        </w:rPr>
        <w:t>ASC precept</w:t>
      </w:r>
      <w:r w:rsidR="00CF57D4" w:rsidRPr="007A5654">
        <w:rPr>
          <w:rFonts w:ascii="Arial" w:hAnsi="Arial" w:cs="Arial"/>
          <w:i/>
        </w:rPr>
        <w:t xml:space="preserve"> continues</w:t>
      </w:r>
      <w:r w:rsidR="001A732E">
        <w:rPr>
          <w:rFonts w:ascii="Arial" w:hAnsi="Arial" w:cs="Arial"/>
          <w:i/>
        </w:rPr>
        <w:t>.</w:t>
      </w:r>
    </w:p>
    <w:p w:rsidR="001215CB" w:rsidRPr="007A5654" w:rsidRDefault="001215CB" w:rsidP="007A5654">
      <w:pPr>
        <w:pStyle w:val="ListParagraph"/>
        <w:numPr>
          <w:ilvl w:val="0"/>
          <w:numId w:val="2"/>
        </w:numPr>
        <w:spacing w:after="200"/>
        <w:rPr>
          <w:rFonts w:ascii="Arial" w:hAnsi="Arial" w:cs="Arial"/>
        </w:rPr>
      </w:pPr>
      <w:r w:rsidRPr="007A5654">
        <w:rPr>
          <w:rFonts w:ascii="Arial" w:hAnsi="Arial" w:cs="Arial"/>
        </w:rPr>
        <w:br w:type="page"/>
      </w:r>
    </w:p>
    <w:p w:rsidR="000757A0" w:rsidRPr="007A5654" w:rsidRDefault="000757A0" w:rsidP="007A5654">
      <w:pPr>
        <w:pStyle w:val="ListParagraph"/>
        <w:ind w:left="360"/>
        <w:jc w:val="right"/>
        <w:rPr>
          <w:rFonts w:ascii="Arial" w:hAnsi="Arial" w:cs="Arial"/>
          <w:sz w:val="28"/>
          <w:szCs w:val="28"/>
          <w:u w:val="single"/>
        </w:rPr>
      </w:pPr>
      <w:r w:rsidRPr="007A5654">
        <w:rPr>
          <w:rFonts w:ascii="Arial" w:hAnsi="Arial" w:cs="Arial"/>
          <w:sz w:val="28"/>
          <w:szCs w:val="28"/>
          <w:u w:val="single"/>
        </w:rPr>
        <w:lastRenderedPageBreak/>
        <w:t>APPENDIX A</w:t>
      </w:r>
    </w:p>
    <w:p w:rsidR="00726A72" w:rsidRPr="005760BA" w:rsidRDefault="007D7FAB">
      <w:pPr>
        <w:rPr>
          <w:rFonts w:ascii="Arial" w:hAnsi="Arial" w:cs="Arial"/>
          <w:sz w:val="28"/>
          <w:szCs w:val="28"/>
          <w:u w:val="single"/>
        </w:rPr>
      </w:pPr>
      <w:r w:rsidRPr="005760BA">
        <w:rPr>
          <w:rFonts w:ascii="Arial" w:hAnsi="Arial" w:cs="Arial"/>
          <w:sz w:val="28"/>
          <w:szCs w:val="28"/>
          <w:u w:val="single"/>
        </w:rPr>
        <w:t>Resource adjustment in Settlement Funding Formula at 2013-14</w:t>
      </w:r>
    </w:p>
    <w:p w:rsidR="007D7FAB" w:rsidRDefault="007D7FAB">
      <w:pPr>
        <w:rPr>
          <w:rFonts w:ascii="Arial" w:hAnsi="Arial" w:cs="Arial"/>
        </w:rPr>
      </w:pPr>
      <w:r w:rsidRPr="005760BA">
        <w:rPr>
          <w:rFonts w:ascii="Arial" w:hAnsi="Arial" w:cs="Arial"/>
        </w:rPr>
        <w:t>The table</w:t>
      </w:r>
      <w:r w:rsidR="00F07659">
        <w:rPr>
          <w:rFonts w:ascii="Arial" w:hAnsi="Arial" w:cs="Arial"/>
        </w:rPr>
        <w:t>s</w:t>
      </w:r>
      <w:r w:rsidRPr="005760BA">
        <w:rPr>
          <w:rFonts w:ascii="Arial" w:hAnsi="Arial" w:cs="Arial"/>
        </w:rPr>
        <w:t xml:space="preserve"> </w:t>
      </w:r>
      <w:r w:rsidR="00F07659">
        <w:rPr>
          <w:rFonts w:ascii="Arial" w:hAnsi="Arial" w:cs="Arial"/>
        </w:rPr>
        <w:t>illustrate</w:t>
      </w:r>
      <w:r w:rsidR="00FC537D" w:rsidRPr="005760BA">
        <w:rPr>
          <w:rFonts w:ascii="Arial" w:hAnsi="Arial" w:cs="Arial"/>
        </w:rPr>
        <w:t xml:space="preserve"> calculations for a</w:t>
      </w:r>
      <w:r w:rsidRPr="005760BA">
        <w:rPr>
          <w:rFonts w:ascii="Arial" w:hAnsi="Arial" w:cs="Arial"/>
        </w:rPr>
        <w:t xml:space="preserve"> single tier metropolitan authority, Sheffield</w:t>
      </w:r>
      <w:r w:rsidR="00FC537D" w:rsidRPr="005760BA">
        <w:rPr>
          <w:rFonts w:ascii="Arial" w:hAnsi="Arial" w:cs="Arial"/>
        </w:rPr>
        <w:t>,</w:t>
      </w:r>
      <w:r w:rsidRPr="005760BA">
        <w:rPr>
          <w:rFonts w:ascii="Arial" w:hAnsi="Arial" w:cs="Arial"/>
        </w:rPr>
        <w:t xml:space="preserve"> and a combination of upper and lower tier authorities making up Dorset County. In both cases the calculations are carried out at tier level but will roll up into one adjustment for the single tier authority. </w:t>
      </w:r>
    </w:p>
    <w:p w:rsidR="00D80F5B" w:rsidRDefault="00D80F5B" w:rsidP="00D80F5B">
      <w:pPr>
        <w:rPr>
          <w:rFonts w:ascii="Arial" w:hAnsi="Arial" w:cs="Arial"/>
        </w:rPr>
      </w:pPr>
    </w:p>
    <w:p w:rsidR="00D80F5B" w:rsidRDefault="00D80F5B">
      <w:pPr>
        <w:rPr>
          <w:rFonts w:ascii="Arial" w:hAnsi="Arial" w:cs="Arial"/>
        </w:rPr>
      </w:pPr>
      <w:r>
        <w:rPr>
          <w:rFonts w:ascii="Arial" w:hAnsi="Arial" w:cs="Arial"/>
        </w:rPr>
        <w:t>In our examples it can be seen that Sheffield loses less Resource Equalisation amount (£22.9 million v £78.0 million) due to a lower tax base than Dorset whilst losing more in Basic Amount Resource (£103.2 million v £76.9 million) due to a higher population (though it should be remembered that the population ratio works to Sheffield’s advantage in the Needs part of the Basic Amount calculation)</w:t>
      </w:r>
      <w:r w:rsidR="00F07659">
        <w:rPr>
          <w:rFonts w:ascii="Arial" w:hAnsi="Arial" w:cs="Arial"/>
        </w:rPr>
        <w:t xml:space="preserve">. </w:t>
      </w:r>
      <w:r>
        <w:rPr>
          <w:rFonts w:ascii="Arial" w:hAnsi="Arial" w:cs="Arial"/>
        </w:rPr>
        <w:t>In summary the two adjustments are:</w:t>
      </w:r>
    </w:p>
    <w:p w:rsidR="00D80F5B" w:rsidRDefault="00D80F5B" w:rsidP="00D80F5B">
      <w:pPr>
        <w:rPr>
          <w:rFonts w:ascii="Arial" w:hAnsi="Arial" w:cs="Arial"/>
          <w:color w:val="943634" w:themeColor="accent2" w:themeShade="BF"/>
        </w:rPr>
      </w:pPr>
    </w:p>
    <w:p w:rsidR="00D80F5B" w:rsidRDefault="00D80F5B" w:rsidP="00D80F5B">
      <w:pPr>
        <w:rPr>
          <w:rFonts w:ascii="Arial" w:hAnsi="Arial" w:cs="Arial"/>
          <w:u w:val="single"/>
        </w:rPr>
      </w:pPr>
      <w:r w:rsidRPr="00D80F5B">
        <w:rPr>
          <w:rFonts w:ascii="Arial" w:hAnsi="Arial" w:cs="Arial"/>
          <w:u w:val="single"/>
        </w:rPr>
        <w:t>Resource Equalisation</w:t>
      </w:r>
    </w:p>
    <w:p w:rsidR="00D80F5B" w:rsidRPr="00D80F5B" w:rsidRDefault="00F07659" w:rsidP="00D80F5B">
      <w:pPr>
        <w:rPr>
          <w:rFonts w:ascii="Arial" w:hAnsi="Arial" w:cs="Arial"/>
        </w:rPr>
      </w:pPr>
      <w:r>
        <w:rPr>
          <w:rFonts w:ascii="Arial" w:hAnsi="Arial" w:cs="Arial"/>
        </w:rPr>
        <w:t>The table</w:t>
      </w:r>
      <w:r w:rsidR="00D80F5B">
        <w:rPr>
          <w:rFonts w:ascii="Arial" w:hAnsi="Arial" w:cs="Arial"/>
        </w:rPr>
        <w:t xml:space="preserve"> </w:t>
      </w:r>
      <w:r>
        <w:rPr>
          <w:rFonts w:ascii="Arial" w:hAnsi="Arial" w:cs="Arial"/>
        </w:rPr>
        <w:t>illustrates</w:t>
      </w:r>
      <w:r w:rsidR="00D80F5B">
        <w:rPr>
          <w:rFonts w:ascii="Arial" w:hAnsi="Arial" w:cs="Arial"/>
        </w:rPr>
        <w:t xml:space="preserve"> that the main local variable is the Council Tax Base value, weighted by the authority tier proportions set by DCLG, though the allocation is also affected by the lowest baseline resource allocation:</w:t>
      </w:r>
    </w:p>
    <w:p w:rsidR="00D80F5B" w:rsidRPr="003F36F5" w:rsidRDefault="00D80F5B" w:rsidP="00D80F5B">
      <w:pPr>
        <w:rPr>
          <w:rFonts w:ascii="Arial" w:hAnsi="Arial" w:cs="Arial"/>
          <w:color w:val="943634" w:themeColor="accent2" w:themeShade="BF"/>
        </w:rPr>
      </w:pPr>
      <w:r w:rsidRPr="003F36F5">
        <w:rPr>
          <w:rFonts w:ascii="Arial" w:hAnsi="Arial" w:cs="Arial"/>
          <w:color w:val="943634" w:themeColor="accent2" w:themeShade="BF"/>
        </w:rPr>
        <w:t>Summary of Resource Equalisation Adjustment 2013-14</w:t>
      </w:r>
      <w:r>
        <w:rPr>
          <w:rFonts w:ascii="Arial" w:hAnsi="Arial" w:cs="Arial"/>
          <w:color w:val="943634" w:themeColor="accent2" w:themeShade="BF"/>
        </w:rPr>
        <w:t>.</w:t>
      </w:r>
      <w:r w:rsidRPr="003F36F5">
        <w:rPr>
          <w:rFonts w:ascii="Arial" w:hAnsi="Arial" w:cs="Arial"/>
          <w:color w:val="943634" w:themeColor="accent2" w:themeShade="BF"/>
        </w:rPr>
        <w:t xml:space="preserve"> Illustration at authority level</w:t>
      </w:r>
    </w:p>
    <w:p w:rsidR="00D80F5B" w:rsidRDefault="00D80F5B">
      <w:pPr>
        <w:rPr>
          <w:rFonts w:ascii="Arial" w:hAnsi="Arial" w:cs="Arial"/>
        </w:rPr>
      </w:pPr>
      <w:r w:rsidRPr="009318C8">
        <w:rPr>
          <w:noProof/>
          <w:lang w:eastAsia="en-GB"/>
        </w:rPr>
        <w:drawing>
          <wp:inline distT="0" distB="0" distL="0" distR="0" wp14:anchorId="2A1E3D2A" wp14:editId="651D3226">
            <wp:extent cx="5926455" cy="1950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1950790"/>
                    </a:xfrm>
                    <a:prstGeom prst="rect">
                      <a:avLst/>
                    </a:prstGeom>
                    <a:noFill/>
                    <a:ln>
                      <a:noFill/>
                    </a:ln>
                  </pic:spPr>
                </pic:pic>
              </a:graphicData>
            </a:graphic>
          </wp:inline>
        </w:drawing>
      </w:r>
    </w:p>
    <w:p w:rsidR="00387CEC" w:rsidRPr="00387CEC" w:rsidRDefault="00387CEC">
      <w:pPr>
        <w:rPr>
          <w:rFonts w:ascii="Arial" w:hAnsi="Arial" w:cs="Arial"/>
          <w:sz w:val="16"/>
          <w:szCs w:val="16"/>
        </w:rPr>
      </w:pPr>
      <w:r w:rsidRPr="00387CEC">
        <w:rPr>
          <w:rFonts w:ascii="Arial" w:hAnsi="Arial" w:cs="Arial"/>
          <w:sz w:val="16"/>
          <w:szCs w:val="16"/>
        </w:rPr>
        <w:t>Basic amount deduction is the product of population and lowest per head tier value</w:t>
      </w:r>
    </w:p>
    <w:p w:rsidR="00387CEC" w:rsidRDefault="00387CEC">
      <w:pPr>
        <w:rPr>
          <w:rFonts w:ascii="Arial" w:hAnsi="Arial" w:cs="Arial"/>
        </w:rPr>
      </w:pPr>
    </w:p>
    <w:p w:rsidR="00D80F5B" w:rsidRPr="00D80F5B" w:rsidRDefault="00D80F5B">
      <w:pPr>
        <w:rPr>
          <w:rFonts w:ascii="Arial" w:hAnsi="Arial" w:cs="Arial"/>
          <w:u w:val="single"/>
        </w:rPr>
      </w:pPr>
      <w:r w:rsidRPr="00D80F5B">
        <w:rPr>
          <w:rFonts w:ascii="Arial" w:hAnsi="Arial" w:cs="Arial"/>
          <w:u w:val="single"/>
        </w:rPr>
        <w:t>Basic Amount Resource Adjustment</w:t>
      </w:r>
    </w:p>
    <w:p w:rsidR="00D80F5B" w:rsidRPr="00373143" w:rsidRDefault="00F07659" w:rsidP="00D80F5B">
      <w:pPr>
        <w:rPr>
          <w:rFonts w:ascii="Arial" w:hAnsi="Arial" w:cs="Arial"/>
        </w:rPr>
      </w:pPr>
      <w:r>
        <w:rPr>
          <w:rFonts w:ascii="Arial" w:hAnsi="Arial" w:cs="Arial"/>
        </w:rPr>
        <w:t xml:space="preserve">The table illustrates </w:t>
      </w:r>
      <w:r w:rsidR="00D80F5B">
        <w:rPr>
          <w:rFonts w:ascii="Arial" w:hAnsi="Arial" w:cs="Arial"/>
        </w:rPr>
        <w:t>that the main variable affecting the relative allocations is the local population</w:t>
      </w:r>
    </w:p>
    <w:p w:rsidR="00D80F5B" w:rsidRPr="003F36F5" w:rsidRDefault="00D80F5B" w:rsidP="00D80F5B">
      <w:pPr>
        <w:rPr>
          <w:rFonts w:ascii="Arial" w:hAnsi="Arial" w:cs="Arial"/>
          <w:color w:val="943634" w:themeColor="accent2" w:themeShade="BF"/>
        </w:rPr>
      </w:pPr>
      <w:r>
        <w:rPr>
          <w:rFonts w:ascii="Arial" w:hAnsi="Arial" w:cs="Arial"/>
          <w:color w:val="943634" w:themeColor="accent2" w:themeShade="BF"/>
        </w:rPr>
        <w:t>Summary of Basic Amount resource</w:t>
      </w:r>
      <w:r w:rsidRPr="003F36F5">
        <w:rPr>
          <w:rFonts w:ascii="Arial" w:hAnsi="Arial" w:cs="Arial"/>
          <w:color w:val="943634" w:themeColor="accent2" w:themeShade="BF"/>
        </w:rPr>
        <w:t xml:space="preserve"> </w:t>
      </w:r>
      <w:r>
        <w:rPr>
          <w:rFonts w:ascii="Arial" w:hAnsi="Arial" w:cs="Arial"/>
          <w:color w:val="943634" w:themeColor="accent2" w:themeShade="BF"/>
        </w:rPr>
        <w:t>a</w:t>
      </w:r>
      <w:r w:rsidRPr="003F36F5">
        <w:rPr>
          <w:rFonts w:ascii="Arial" w:hAnsi="Arial" w:cs="Arial"/>
          <w:color w:val="943634" w:themeColor="accent2" w:themeShade="BF"/>
        </w:rPr>
        <w:t>djustment 2013-14</w:t>
      </w:r>
      <w:r>
        <w:rPr>
          <w:rFonts w:ascii="Arial" w:hAnsi="Arial" w:cs="Arial"/>
          <w:color w:val="943634" w:themeColor="accent2" w:themeShade="BF"/>
        </w:rPr>
        <w:t>.</w:t>
      </w:r>
      <w:r w:rsidRPr="003F36F5">
        <w:rPr>
          <w:rFonts w:ascii="Arial" w:hAnsi="Arial" w:cs="Arial"/>
          <w:color w:val="943634" w:themeColor="accent2" w:themeShade="BF"/>
        </w:rPr>
        <w:t xml:space="preserve"> Illustration at authority level</w:t>
      </w:r>
    </w:p>
    <w:p w:rsidR="00D80F5B" w:rsidRDefault="00D80F5B">
      <w:pPr>
        <w:rPr>
          <w:rFonts w:ascii="Arial" w:hAnsi="Arial" w:cs="Arial"/>
        </w:rPr>
      </w:pPr>
      <w:r w:rsidRPr="003F36F5">
        <w:rPr>
          <w:noProof/>
          <w:lang w:eastAsia="en-GB"/>
        </w:rPr>
        <w:drawing>
          <wp:inline distT="0" distB="0" distL="0" distR="0" wp14:anchorId="3F9E41C1" wp14:editId="354D6EF1">
            <wp:extent cx="5745707" cy="2161094"/>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8934" cy="2162308"/>
                    </a:xfrm>
                    <a:prstGeom prst="rect">
                      <a:avLst/>
                    </a:prstGeom>
                    <a:noFill/>
                    <a:ln>
                      <a:noFill/>
                    </a:ln>
                  </pic:spPr>
                </pic:pic>
              </a:graphicData>
            </a:graphic>
          </wp:inline>
        </w:drawing>
      </w:r>
    </w:p>
    <w:p w:rsidR="00D80F5B" w:rsidRPr="00387CEC" w:rsidRDefault="00387CEC" w:rsidP="00D80F5B">
      <w:pPr>
        <w:rPr>
          <w:rFonts w:ascii="Arial" w:hAnsi="Arial" w:cs="Arial"/>
          <w:color w:val="BFBFBF" w:themeColor="background1" w:themeShade="BF"/>
          <w:sz w:val="12"/>
          <w:szCs w:val="12"/>
        </w:rPr>
      </w:pPr>
      <w:r w:rsidRPr="00387CEC">
        <w:rPr>
          <w:rFonts w:ascii="Arial" w:hAnsi="Arial" w:cs="Arial"/>
          <w:color w:val="BFBFBF" w:themeColor="background1" w:themeShade="BF"/>
          <w:sz w:val="12"/>
          <w:szCs w:val="12"/>
        </w:rPr>
        <w:t>G:\Sigoma\Working and Steering Groups (External)\Working Groups\RatesRetention\New groups 2016\[Needs_resource_counciltax_paper for officersTempv.xlsx]ResourceAdjustment</w:t>
      </w:r>
    </w:p>
    <w:p w:rsidR="00F07659" w:rsidRDefault="00F07659" w:rsidP="007708E8">
      <w:pPr>
        <w:rPr>
          <w:rFonts w:ascii="Arial" w:hAnsi="Arial" w:cs="Arial"/>
        </w:rPr>
      </w:pPr>
    </w:p>
    <w:p w:rsidR="00387CEC" w:rsidRDefault="00387CEC" w:rsidP="007708E8">
      <w:pPr>
        <w:rPr>
          <w:rFonts w:ascii="Arial" w:hAnsi="Arial" w:cs="Arial"/>
        </w:rPr>
      </w:pPr>
      <w:r>
        <w:rPr>
          <w:rFonts w:ascii="Arial" w:hAnsi="Arial" w:cs="Arial"/>
        </w:rPr>
        <w:t xml:space="preserve">A more detailed analysis of the two data sets follows </w:t>
      </w:r>
    </w:p>
    <w:p w:rsidR="00387CEC" w:rsidRDefault="00387CEC" w:rsidP="007708E8">
      <w:pPr>
        <w:rPr>
          <w:rFonts w:ascii="Arial" w:hAnsi="Arial" w:cs="Arial"/>
        </w:rPr>
      </w:pPr>
    </w:p>
    <w:p w:rsidR="00387CEC" w:rsidRDefault="00387CEC" w:rsidP="007708E8">
      <w:pPr>
        <w:rPr>
          <w:rFonts w:ascii="Arial" w:hAnsi="Arial" w:cs="Arial"/>
        </w:rPr>
      </w:pPr>
    </w:p>
    <w:p w:rsidR="00387CEC" w:rsidRDefault="00387CEC" w:rsidP="007708E8">
      <w:pPr>
        <w:rPr>
          <w:rFonts w:ascii="Arial" w:hAnsi="Arial" w:cs="Arial"/>
        </w:rPr>
      </w:pPr>
    </w:p>
    <w:p w:rsidR="00387CEC" w:rsidRDefault="00387CEC" w:rsidP="007708E8">
      <w:pPr>
        <w:rPr>
          <w:rFonts w:ascii="Arial" w:hAnsi="Arial" w:cs="Arial"/>
        </w:rPr>
      </w:pPr>
    </w:p>
    <w:p w:rsidR="007708E8" w:rsidRPr="005760BA" w:rsidRDefault="00387CEC" w:rsidP="007708E8">
      <w:pPr>
        <w:rPr>
          <w:rFonts w:ascii="Arial" w:hAnsi="Arial" w:cs="Arial"/>
        </w:rPr>
      </w:pPr>
      <w:r>
        <w:rPr>
          <w:rFonts w:ascii="Arial" w:hAnsi="Arial" w:cs="Arial"/>
        </w:rPr>
        <w:t xml:space="preserve">Note </w:t>
      </w:r>
      <w:r w:rsidR="006675C1">
        <w:rPr>
          <w:rFonts w:ascii="Arial" w:hAnsi="Arial" w:cs="Arial"/>
        </w:rPr>
        <w:t xml:space="preserve">the </w:t>
      </w:r>
      <w:r w:rsidR="007D7FAB" w:rsidRPr="005760BA">
        <w:rPr>
          <w:rFonts w:ascii="Arial" w:hAnsi="Arial" w:cs="Arial"/>
        </w:rPr>
        <w:t>tier</w:t>
      </w:r>
      <w:r w:rsidR="00FC537D" w:rsidRPr="005760BA">
        <w:rPr>
          <w:rFonts w:ascii="Arial" w:hAnsi="Arial" w:cs="Arial"/>
        </w:rPr>
        <w:t xml:space="preserve"> share percentages</w:t>
      </w:r>
      <w:r w:rsidR="00DE0EEB" w:rsidRPr="005760BA">
        <w:rPr>
          <w:rFonts w:ascii="Arial" w:hAnsi="Arial" w:cs="Arial"/>
        </w:rPr>
        <w:t xml:space="preserve"> set</w:t>
      </w:r>
      <w:r w:rsidR="00FC537D" w:rsidRPr="005760BA">
        <w:rPr>
          <w:rFonts w:ascii="Arial" w:hAnsi="Arial" w:cs="Arial"/>
        </w:rPr>
        <w:t xml:space="preserve"> by</w:t>
      </w:r>
      <w:r w:rsidR="006675C1">
        <w:rPr>
          <w:rFonts w:ascii="Arial" w:hAnsi="Arial" w:cs="Arial"/>
        </w:rPr>
        <w:t xml:space="preserve"> G</w:t>
      </w:r>
      <w:r w:rsidR="00DE0EEB" w:rsidRPr="005760BA">
        <w:rPr>
          <w:rFonts w:ascii="Arial" w:hAnsi="Arial" w:cs="Arial"/>
        </w:rPr>
        <w:t>overnment. DCLG will wish to alter these proportions if a similar model is used which may in turn lead them to reconsider the overall value of the resource adjustment</w:t>
      </w:r>
      <w:r w:rsidR="00B13DC9" w:rsidRPr="005760BA">
        <w:rPr>
          <w:rFonts w:ascii="Arial" w:hAnsi="Arial" w:cs="Arial"/>
        </w:rPr>
        <w:t>.</w:t>
      </w:r>
      <w:r w:rsidR="00E237C3" w:rsidRPr="005760BA">
        <w:rPr>
          <w:rFonts w:ascii="Arial" w:hAnsi="Arial" w:cs="Arial"/>
        </w:rPr>
        <w:t xml:space="preserve">  </w:t>
      </w:r>
      <w:r w:rsidR="00B13DC9" w:rsidRPr="005760BA">
        <w:rPr>
          <w:rFonts w:ascii="Arial" w:hAnsi="Arial" w:cs="Arial"/>
        </w:rPr>
        <w:t xml:space="preserve">As Settlement Funding falls so does the value of the Resource adjustment within it. </w:t>
      </w:r>
    </w:p>
    <w:p w:rsidR="00E237C3" w:rsidRPr="005760BA" w:rsidRDefault="00E237C3" w:rsidP="007708E8">
      <w:pPr>
        <w:rPr>
          <w:rFonts w:ascii="Arial" w:hAnsi="Arial" w:cs="Arial"/>
        </w:rPr>
      </w:pPr>
    </w:p>
    <w:p w:rsidR="007D7FAB" w:rsidRPr="005760BA" w:rsidRDefault="00E237C3" w:rsidP="009E25CB">
      <w:pPr>
        <w:ind w:left="-284"/>
        <w:rPr>
          <w:rFonts w:ascii="Arial" w:hAnsi="Arial" w:cs="Arial"/>
        </w:rPr>
      </w:pPr>
      <w:r w:rsidRPr="005760BA">
        <w:rPr>
          <w:rFonts w:ascii="Arial" w:hAnsi="Arial" w:cs="Arial"/>
          <w:noProof/>
          <w:lang w:eastAsia="en-GB"/>
        </w:rPr>
        <w:drawing>
          <wp:inline distT="0" distB="0" distL="0" distR="0" wp14:anchorId="46DD2DEA" wp14:editId="2E3752FC">
            <wp:extent cx="6080078" cy="509821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8763" cy="5105496"/>
                    </a:xfrm>
                    <a:prstGeom prst="rect">
                      <a:avLst/>
                    </a:prstGeom>
                    <a:noFill/>
                    <a:ln>
                      <a:noFill/>
                    </a:ln>
                  </pic:spPr>
                </pic:pic>
              </a:graphicData>
            </a:graphic>
          </wp:inline>
        </w:drawing>
      </w:r>
    </w:p>
    <w:p w:rsidR="00470C46" w:rsidRDefault="00470C46" w:rsidP="009E25CB">
      <w:pPr>
        <w:ind w:left="-284"/>
        <w:rPr>
          <w:rFonts w:ascii="Arial" w:hAnsi="Arial" w:cs="Arial"/>
          <w:sz w:val="28"/>
          <w:szCs w:val="28"/>
        </w:rPr>
      </w:pPr>
    </w:p>
    <w:p w:rsidR="00470C46" w:rsidRDefault="00470C46" w:rsidP="009E25CB">
      <w:pPr>
        <w:ind w:left="-284"/>
        <w:rPr>
          <w:rFonts w:ascii="Arial" w:hAnsi="Arial" w:cs="Arial"/>
          <w:sz w:val="28"/>
          <w:szCs w:val="28"/>
        </w:rPr>
      </w:pPr>
    </w:p>
    <w:p w:rsidR="00470C46" w:rsidRDefault="00470C46"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C044B0" w:rsidRDefault="00C044B0" w:rsidP="009E25CB">
      <w:pPr>
        <w:ind w:left="-284"/>
        <w:rPr>
          <w:rFonts w:ascii="Arial" w:hAnsi="Arial" w:cs="Arial"/>
          <w:sz w:val="28"/>
          <w:szCs w:val="28"/>
        </w:rPr>
      </w:pPr>
    </w:p>
    <w:p w:rsidR="007708E8" w:rsidRPr="005760BA" w:rsidRDefault="007708E8" w:rsidP="009E25CB">
      <w:pPr>
        <w:ind w:left="-284"/>
        <w:rPr>
          <w:rFonts w:ascii="Arial" w:hAnsi="Arial" w:cs="Arial"/>
          <w:sz w:val="28"/>
          <w:szCs w:val="28"/>
        </w:rPr>
      </w:pPr>
      <w:r w:rsidRPr="005760BA">
        <w:rPr>
          <w:rFonts w:ascii="Arial" w:hAnsi="Arial" w:cs="Arial"/>
          <w:sz w:val="28"/>
          <w:szCs w:val="28"/>
        </w:rPr>
        <w:lastRenderedPageBreak/>
        <w:t>Appendix B</w:t>
      </w:r>
    </w:p>
    <w:p w:rsidR="007708E8" w:rsidRPr="005760BA" w:rsidRDefault="007708E8" w:rsidP="009E25CB">
      <w:pPr>
        <w:ind w:left="-284"/>
        <w:rPr>
          <w:rFonts w:ascii="Arial" w:hAnsi="Arial" w:cs="Arial"/>
          <w:sz w:val="28"/>
          <w:szCs w:val="28"/>
        </w:rPr>
      </w:pPr>
      <w:r w:rsidRPr="005760BA">
        <w:rPr>
          <w:rFonts w:ascii="Arial" w:hAnsi="Arial" w:cs="Arial"/>
          <w:sz w:val="28"/>
          <w:szCs w:val="28"/>
        </w:rPr>
        <w:t>Council Tax adjusted within Revenue Support Grant cuts</w:t>
      </w:r>
    </w:p>
    <w:p w:rsidR="007708E8" w:rsidRPr="005760BA" w:rsidRDefault="007708E8" w:rsidP="009E25CB">
      <w:pPr>
        <w:ind w:left="-284"/>
        <w:rPr>
          <w:rFonts w:ascii="Arial" w:hAnsi="Arial" w:cs="Arial"/>
          <w:sz w:val="28"/>
          <w:szCs w:val="28"/>
        </w:rPr>
      </w:pPr>
      <w:r w:rsidRPr="005760BA">
        <w:rPr>
          <w:rFonts w:ascii="Arial" w:hAnsi="Arial" w:cs="Arial"/>
          <w:sz w:val="28"/>
          <w:szCs w:val="28"/>
        </w:rPr>
        <w:t>Illustration of Mechanism</w:t>
      </w:r>
    </w:p>
    <w:p w:rsidR="007708E8" w:rsidRPr="00C551B1" w:rsidRDefault="007708E8" w:rsidP="00C551B1">
      <w:pPr>
        <w:ind w:left="-284"/>
        <w:rPr>
          <w:rFonts w:ascii="Arial" w:hAnsi="Arial" w:cs="Arial"/>
          <w:sz w:val="28"/>
          <w:szCs w:val="28"/>
        </w:rPr>
      </w:pPr>
      <w:r w:rsidRPr="005760BA">
        <w:rPr>
          <w:rFonts w:ascii="Arial" w:hAnsi="Arial" w:cs="Arial"/>
          <w:noProof/>
          <w:lang w:eastAsia="en-GB"/>
        </w:rPr>
        <w:drawing>
          <wp:inline distT="0" distB="0" distL="0" distR="0" wp14:anchorId="0EB2D369" wp14:editId="7D6518B7">
            <wp:extent cx="6086902" cy="3836236"/>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0901" cy="3838756"/>
                    </a:xfrm>
                    <a:prstGeom prst="rect">
                      <a:avLst/>
                    </a:prstGeom>
                    <a:noFill/>
                    <a:ln>
                      <a:noFill/>
                    </a:ln>
                  </pic:spPr>
                </pic:pic>
              </a:graphicData>
            </a:graphic>
          </wp:inline>
        </w:drawing>
      </w:r>
    </w:p>
    <w:sectPr w:rsidR="007708E8" w:rsidRPr="00C551B1" w:rsidSect="008F7B6D">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C66" w:rsidRDefault="00A72C66" w:rsidP="00314EB5">
      <w:pPr>
        <w:spacing w:line="240" w:lineRule="auto"/>
      </w:pPr>
      <w:r>
        <w:separator/>
      </w:r>
    </w:p>
  </w:endnote>
  <w:endnote w:type="continuationSeparator" w:id="0">
    <w:p w:rsidR="00A72C66" w:rsidRDefault="00A72C66" w:rsidP="00314E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978540"/>
      <w:docPartObj>
        <w:docPartGallery w:val="Page Numbers (Bottom of Page)"/>
        <w:docPartUnique/>
      </w:docPartObj>
    </w:sdtPr>
    <w:sdtEndPr>
      <w:rPr>
        <w:color w:val="808080" w:themeColor="background1" w:themeShade="80"/>
        <w:spacing w:val="60"/>
      </w:rPr>
    </w:sdtEndPr>
    <w:sdtContent>
      <w:p w:rsidR="00A72C66" w:rsidRDefault="00A72C6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13168" w:rsidRPr="00413168">
          <w:rPr>
            <w:b/>
            <w:bCs/>
            <w:noProof/>
          </w:rPr>
          <w:t>1</w:t>
        </w:r>
        <w:r>
          <w:rPr>
            <w:b/>
            <w:bCs/>
            <w:noProof/>
          </w:rPr>
          <w:fldChar w:fldCharType="end"/>
        </w:r>
        <w:r>
          <w:rPr>
            <w:b/>
            <w:bCs/>
          </w:rPr>
          <w:t xml:space="preserve"> | </w:t>
        </w:r>
        <w:r>
          <w:rPr>
            <w:color w:val="808080" w:themeColor="background1" w:themeShade="80"/>
            <w:spacing w:val="60"/>
          </w:rPr>
          <w:t>Page</w:t>
        </w:r>
      </w:p>
    </w:sdtContent>
  </w:sdt>
  <w:p w:rsidR="00A72C66" w:rsidRDefault="00A72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C66" w:rsidRDefault="00A72C66" w:rsidP="00314EB5">
      <w:pPr>
        <w:spacing w:line="240" w:lineRule="auto"/>
      </w:pPr>
      <w:r>
        <w:separator/>
      </w:r>
    </w:p>
  </w:footnote>
  <w:footnote w:type="continuationSeparator" w:id="0">
    <w:p w:rsidR="00A72C66" w:rsidRDefault="00A72C66" w:rsidP="00314EB5">
      <w:pPr>
        <w:spacing w:line="240" w:lineRule="auto"/>
      </w:pPr>
      <w:r>
        <w:continuationSeparator/>
      </w:r>
    </w:p>
  </w:footnote>
  <w:footnote w:id="1">
    <w:p w:rsidR="00A72C66" w:rsidRDefault="00A72C66">
      <w:pPr>
        <w:pStyle w:val="FootnoteText"/>
      </w:pPr>
      <w:r>
        <w:rPr>
          <w:rStyle w:val="FootnoteReference"/>
        </w:rPr>
        <w:footnoteRef/>
      </w:r>
      <w:r>
        <w:t xml:space="preserve"> Including  police and fire allocations hence does not add back to our total</w:t>
      </w:r>
    </w:p>
  </w:footnote>
  <w:footnote w:id="2">
    <w:p w:rsidR="00A72C66" w:rsidRDefault="00A72C66">
      <w:pPr>
        <w:pStyle w:val="FootnoteText"/>
      </w:pPr>
      <w:r>
        <w:rPr>
          <w:rStyle w:val="FootnoteReference"/>
        </w:rPr>
        <w:footnoteRef/>
      </w:r>
      <w:r>
        <w:t xml:space="preserve"> Net of Council Tax Support; Excluding police, fire and the GLA</w:t>
      </w:r>
    </w:p>
  </w:footnote>
  <w:footnote w:id="3">
    <w:p w:rsidR="00A72C66" w:rsidRDefault="00A72C66">
      <w:pPr>
        <w:pStyle w:val="FootnoteText"/>
      </w:pPr>
      <w:r>
        <w:rPr>
          <w:rStyle w:val="FootnoteReference"/>
        </w:rPr>
        <w:footnoteRef/>
      </w:r>
      <w:r>
        <w:t xml:space="preserve"> </w:t>
      </w:r>
      <w:r w:rsidR="00007598">
        <w:t>i.e.</w:t>
      </w:r>
      <w:r>
        <w:t xml:space="preserve"> Formula grant gross of resource: Needs block 13-14, needs element of Basic Amount 13-14 and grants rolled in at 2013</w:t>
      </w:r>
    </w:p>
  </w:footnote>
  <w:footnote w:id="4">
    <w:p w:rsidR="00DE7D32" w:rsidRDefault="00DE7D32">
      <w:pPr>
        <w:pStyle w:val="FootnoteText"/>
      </w:pPr>
      <w:r>
        <w:rPr>
          <w:rStyle w:val="FootnoteReference"/>
        </w:rPr>
        <w:footnoteRef/>
      </w:r>
      <w:r>
        <w:t xml:space="preserve"> Varying slightly as cuts in settlement did not impact equally on all authorities.</w:t>
      </w:r>
    </w:p>
  </w:footnote>
  <w:footnote w:id="5">
    <w:p w:rsidR="00A72C66" w:rsidRDefault="00A72C66" w:rsidP="00A72C66">
      <w:pPr>
        <w:pStyle w:val="FootnoteText"/>
      </w:pPr>
      <w:r>
        <w:rPr>
          <w:rStyle w:val="FootnoteReference"/>
        </w:rPr>
        <w:footnoteRef/>
      </w:r>
      <w:r>
        <w:t xml:space="preserve"> </w:t>
      </w:r>
      <w:r w:rsidR="00007598">
        <w:t>i.e.</w:t>
      </w:r>
      <w:r>
        <w:t xml:space="preserve"> Formula grant gross of resource: Needs block 13-14, needs element of Basic Amount 13-14 and grants rolled in at 2013</w:t>
      </w:r>
    </w:p>
  </w:footnote>
  <w:footnote w:id="6">
    <w:p w:rsidR="00A72C66" w:rsidRDefault="00A72C66">
      <w:pPr>
        <w:pStyle w:val="FootnoteText"/>
      </w:pPr>
      <w:r>
        <w:rPr>
          <w:rStyle w:val="FootnoteReference"/>
        </w:rPr>
        <w:footnoteRef/>
      </w:r>
      <w:r>
        <w:t xml:space="preserve"> There are errors and omissions in the RA2017-18 return data which we have corrected or replaced with substitutes based last provided figures, where available, less average reduction rates. There are 4 authorities for which no data can be estimated and these have been left at zero, hence the data total is likely to be understated.</w:t>
      </w:r>
    </w:p>
  </w:footnote>
  <w:footnote w:id="7">
    <w:p w:rsidR="00A72C66" w:rsidRDefault="00A72C66">
      <w:pPr>
        <w:pStyle w:val="FootnoteText"/>
      </w:pPr>
      <w:r>
        <w:rPr>
          <w:rStyle w:val="FootnoteReference"/>
        </w:rPr>
        <w:footnoteRef/>
      </w:r>
      <w:r>
        <w:t xml:space="preserve"> In 2016 this was further flexed to allow accelerated increases in earlier years subject to an overall cap of 6% over the 3 years to 2019-20 and a cap of 3% in any one year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67FF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7135422F"/>
    <w:multiLevelType w:val="hybridMultilevel"/>
    <w:tmpl w:val="AC76B6A2"/>
    <w:lvl w:ilvl="0" w:tplc="C8088B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EBD"/>
    <w:rsid w:val="00007598"/>
    <w:rsid w:val="00022589"/>
    <w:rsid w:val="00030497"/>
    <w:rsid w:val="0003370D"/>
    <w:rsid w:val="00042FC5"/>
    <w:rsid w:val="000746F0"/>
    <w:rsid w:val="000757A0"/>
    <w:rsid w:val="00084448"/>
    <w:rsid w:val="0009422F"/>
    <w:rsid w:val="00094AF1"/>
    <w:rsid w:val="000B4525"/>
    <w:rsid w:val="000B77E0"/>
    <w:rsid w:val="000C5D86"/>
    <w:rsid w:val="000D3715"/>
    <w:rsid w:val="000D554D"/>
    <w:rsid w:val="0010363D"/>
    <w:rsid w:val="00114515"/>
    <w:rsid w:val="001215CB"/>
    <w:rsid w:val="00133575"/>
    <w:rsid w:val="001425DF"/>
    <w:rsid w:val="0015003D"/>
    <w:rsid w:val="00163BCC"/>
    <w:rsid w:val="001708B6"/>
    <w:rsid w:val="0019357B"/>
    <w:rsid w:val="00193C48"/>
    <w:rsid w:val="001977F0"/>
    <w:rsid w:val="001A732E"/>
    <w:rsid w:val="001C25D6"/>
    <w:rsid w:val="001D2FDC"/>
    <w:rsid w:val="001E335D"/>
    <w:rsid w:val="001F72FC"/>
    <w:rsid w:val="002035D7"/>
    <w:rsid w:val="0020682D"/>
    <w:rsid w:val="00231700"/>
    <w:rsid w:val="002317CD"/>
    <w:rsid w:val="00232D57"/>
    <w:rsid w:val="00240FA9"/>
    <w:rsid w:val="00277966"/>
    <w:rsid w:val="002909FF"/>
    <w:rsid w:val="00296294"/>
    <w:rsid w:val="002A4854"/>
    <w:rsid w:val="002C272A"/>
    <w:rsid w:val="002C6CD3"/>
    <w:rsid w:val="002D63FA"/>
    <w:rsid w:val="002E2183"/>
    <w:rsid w:val="00311B3D"/>
    <w:rsid w:val="00314EB5"/>
    <w:rsid w:val="00340EEA"/>
    <w:rsid w:val="00341EDE"/>
    <w:rsid w:val="003431EE"/>
    <w:rsid w:val="00373143"/>
    <w:rsid w:val="003753E5"/>
    <w:rsid w:val="00376416"/>
    <w:rsid w:val="00387CEC"/>
    <w:rsid w:val="003A2687"/>
    <w:rsid w:val="003A7CF9"/>
    <w:rsid w:val="003B024D"/>
    <w:rsid w:val="003C6A19"/>
    <w:rsid w:val="003E015B"/>
    <w:rsid w:val="003F36F5"/>
    <w:rsid w:val="003F5A62"/>
    <w:rsid w:val="003F7EBD"/>
    <w:rsid w:val="004077C5"/>
    <w:rsid w:val="004115C3"/>
    <w:rsid w:val="00413168"/>
    <w:rsid w:val="004416E0"/>
    <w:rsid w:val="00444ADF"/>
    <w:rsid w:val="00463E85"/>
    <w:rsid w:val="00464CFF"/>
    <w:rsid w:val="00470C46"/>
    <w:rsid w:val="00477965"/>
    <w:rsid w:val="004903CA"/>
    <w:rsid w:val="00492D32"/>
    <w:rsid w:val="0049471A"/>
    <w:rsid w:val="004C1740"/>
    <w:rsid w:val="004C3DCB"/>
    <w:rsid w:val="004C4F2F"/>
    <w:rsid w:val="004D31CD"/>
    <w:rsid w:val="004E144D"/>
    <w:rsid w:val="004E2576"/>
    <w:rsid w:val="004F0C4E"/>
    <w:rsid w:val="00500D60"/>
    <w:rsid w:val="00502217"/>
    <w:rsid w:val="005052B8"/>
    <w:rsid w:val="00505A14"/>
    <w:rsid w:val="00505F28"/>
    <w:rsid w:val="00506E99"/>
    <w:rsid w:val="0051313F"/>
    <w:rsid w:val="0051638F"/>
    <w:rsid w:val="00520A9A"/>
    <w:rsid w:val="0052120F"/>
    <w:rsid w:val="00535776"/>
    <w:rsid w:val="005477C1"/>
    <w:rsid w:val="00547822"/>
    <w:rsid w:val="00552EFE"/>
    <w:rsid w:val="005760BA"/>
    <w:rsid w:val="00587717"/>
    <w:rsid w:val="0059278B"/>
    <w:rsid w:val="005A1536"/>
    <w:rsid w:val="005A34EE"/>
    <w:rsid w:val="005B2BA5"/>
    <w:rsid w:val="005B4A76"/>
    <w:rsid w:val="005D2C6D"/>
    <w:rsid w:val="005D3C91"/>
    <w:rsid w:val="005E1D94"/>
    <w:rsid w:val="00603563"/>
    <w:rsid w:val="006166AD"/>
    <w:rsid w:val="00642253"/>
    <w:rsid w:val="006575DC"/>
    <w:rsid w:val="00662C0C"/>
    <w:rsid w:val="006675C1"/>
    <w:rsid w:val="006C001E"/>
    <w:rsid w:val="006C35F0"/>
    <w:rsid w:val="006C66B8"/>
    <w:rsid w:val="006E5832"/>
    <w:rsid w:val="00700A58"/>
    <w:rsid w:val="00711AC0"/>
    <w:rsid w:val="00726A72"/>
    <w:rsid w:val="007708E8"/>
    <w:rsid w:val="007905E9"/>
    <w:rsid w:val="00791EED"/>
    <w:rsid w:val="007937FB"/>
    <w:rsid w:val="007A5654"/>
    <w:rsid w:val="007B0BE8"/>
    <w:rsid w:val="007C1C95"/>
    <w:rsid w:val="007C45A8"/>
    <w:rsid w:val="007D70E5"/>
    <w:rsid w:val="007D7FAB"/>
    <w:rsid w:val="007E4C49"/>
    <w:rsid w:val="007F0889"/>
    <w:rsid w:val="007F09F3"/>
    <w:rsid w:val="007F55D9"/>
    <w:rsid w:val="00807BBF"/>
    <w:rsid w:val="00814579"/>
    <w:rsid w:val="00830F00"/>
    <w:rsid w:val="008400E0"/>
    <w:rsid w:val="00862720"/>
    <w:rsid w:val="00870C63"/>
    <w:rsid w:val="00882AFE"/>
    <w:rsid w:val="008A20AD"/>
    <w:rsid w:val="008A2A59"/>
    <w:rsid w:val="008B0B72"/>
    <w:rsid w:val="008B7AE0"/>
    <w:rsid w:val="008D2867"/>
    <w:rsid w:val="008E22BE"/>
    <w:rsid w:val="008F10C0"/>
    <w:rsid w:val="008F2B83"/>
    <w:rsid w:val="008F3365"/>
    <w:rsid w:val="008F5F3A"/>
    <w:rsid w:val="008F7B6D"/>
    <w:rsid w:val="009318C8"/>
    <w:rsid w:val="009419CE"/>
    <w:rsid w:val="00952A24"/>
    <w:rsid w:val="00956FFA"/>
    <w:rsid w:val="0098774C"/>
    <w:rsid w:val="009937D3"/>
    <w:rsid w:val="009A1907"/>
    <w:rsid w:val="009D383A"/>
    <w:rsid w:val="009D3DCA"/>
    <w:rsid w:val="009E1911"/>
    <w:rsid w:val="009E25CB"/>
    <w:rsid w:val="009F1003"/>
    <w:rsid w:val="009F5BC6"/>
    <w:rsid w:val="00A16DE0"/>
    <w:rsid w:val="00A175AE"/>
    <w:rsid w:val="00A400FF"/>
    <w:rsid w:val="00A41C7E"/>
    <w:rsid w:val="00A46896"/>
    <w:rsid w:val="00A72BE9"/>
    <w:rsid w:val="00A72C66"/>
    <w:rsid w:val="00A773B6"/>
    <w:rsid w:val="00A84AC4"/>
    <w:rsid w:val="00A87FF9"/>
    <w:rsid w:val="00AC3552"/>
    <w:rsid w:val="00AE1F85"/>
    <w:rsid w:val="00AE2454"/>
    <w:rsid w:val="00B039DB"/>
    <w:rsid w:val="00B119C2"/>
    <w:rsid w:val="00B13DC9"/>
    <w:rsid w:val="00B4400C"/>
    <w:rsid w:val="00B546DC"/>
    <w:rsid w:val="00B5604E"/>
    <w:rsid w:val="00B96E0C"/>
    <w:rsid w:val="00BA7767"/>
    <w:rsid w:val="00BD2924"/>
    <w:rsid w:val="00BE23F4"/>
    <w:rsid w:val="00C044B0"/>
    <w:rsid w:val="00C05561"/>
    <w:rsid w:val="00C2350D"/>
    <w:rsid w:val="00C42152"/>
    <w:rsid w:val="00C42BB9"/>
    <w:rsid w:val="00C521F1"/>
    <w:rsid w:val="00C551B1"/>
    <w:rsid w:val="00C55723"/>
    <w:rsid w:val="00C676E4"/>
    <w:rsid w:val="00C721E2"/>
    <w:rsid w:val="00C737F9"/>
    <w:rsid w:val="00C9172F"/>
    <w:rsid w:val="00CA604D"/>
    <w:rsid w:val="00CD30D0"/>
    <w:rsid w:val="00CE06E9"/>
    <w:rsid w:val="00CF57D4"/>
    <w:rsid w:val="00D142C5"/>
    <w:rsid w:val="00D15675"/>
    <w:rsid w:val="00D170CA"/>
    <w:rsid w:val="00D74ADC"/>
    <w:rsid w:val="00D74CD3"/>
    <w:rsid w:val="00D804D3"/>
    <w:rsid w:val="00D80F5B"/>
    <w:rsid w:val="00DB1D16"/>
    <w:rsid w:val="00DB4C3D"/>
    <w:rsid w:val="00DB4F21"/>
    <w:rsid w:val="00DB6C1C"/>
    <w:rsid w:val="00DC42DF"/>
    <w:rsid w:val="00DE0EEB"/>
    <w:rsid w:val="00DE1DA0"/>
    <w:rsid w:val="00DE6023"/>
    <w:rsid w:val="00DE7D32"/>
    <w:rsid w:val="00DF139B"/>
    <w:rsid w:val="00E16B0F"/>
    <w:rsid w:val="00E237C3"/>
    <w:rsid w:val="00E5353C"/>
    <w:rsid w:val="00E67258"/>
    <w:rsid w:val="00E80BD1"/>
    <w:rsid w:val="00E83FEC"/>
    <w:rsid w:val="00EA052D"/>
    <w:rsid w:val="00EA1DE8"/>
    <w:rsid w:val="00EF2A1E"/>
    <w:rsid w:val="00EF33DC"/>
    <w:rsid w:val="00F02DC5"/>
    <w:rsid w:val="00F07659"/>
    <w:rsid w:val="00F13ECA"/>
    <w:rsid w:val="00F430FF"/>
    <w:rsid w:val="00F47756"/>
    <w:rsid w:val="00F93B88"/>
    <w:rsid w:val="00FC537D"/>
    <w:rsid w:val="00FE0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5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36"/>
    <w:rPr>
      <w:rFonts w:ascii="Tahoma" w:hAnsi="Tahoma" w:cs="Tahoma"/>
      <w:sz w:val="16"/>
      <w:szCs w:val="16"/>
    </w:rPr>
  </w:style>
  <w:style w:type="paragraph" w:styleId="Header">
    <w:name w:val="header"/>
    <w:basedOn w:val="Normal"/>
    <w:link w:val="HeaderChar"/>
    <w:uiPriority w:val="99"/>
    <w:unhideWhenUsed/>
    <w:rsid w:val="00314EB5"/>
    <w:pPr>
      <w:tabs>
        <w:tab w:val="center" w:pos="4513"/>
        <w:tab w:val="right" w:pos="9026"/>
      </w:tabs>
      <w:spacing w:line="240" w:lineRule="auto"/>
    </w:pPr>
  </w:style>
  <w:style w:type="character" w:customStyle="1" w:styleId="HeaderChar">
    <w:name w:val="Header Char"/>
    <w:basedOn w:val="DefaultParagraphFont"/>
    <w:link w:val="Header"/>
    <w:uiPriority w:val="99"/>
    <w:rsid w:val="00314EB5"/>
  </w:style>
  <w:style w:type="paragraph" w:styleId="Footer">
    <w:name w:val="footer"/>
    <w:basedOn w:val="Normal"/>
    <w:link w:val="FooterChar"/>
    <w:uiPriority w:val="99"/>
    <w:unhideWhenUsed/>
    <w:rsid w:val="00314EB5"/>
    <w:pPr>
      <w:tabs>
        <w:tab w:val="center" w:pos="4513"/>
        <w:tab w:val="right" w:pos="9026"/>
      </w:tabs>
      <w:spacing w:line="240" w:lineRule="auto"/>
    </w:pPr>
  </w:style>
  <w:style w:type="character" w:customStyle="1" w:styleId="FooterChar">
    <w:name w:val="Footer Char"/>
    <w:basedOn w:val="DefaultParagraphFont"/>
    <w:link w:val="Footer"/>
    <w:uiPriority w:val="99"/>
    <w:rsid w:val="00314EB5"/>
  </w:style>
  <w:style w:type="paragraph" w:styleId="FootnoteText">
    <w:name w:val="footnote text"/>
    <w:basedOn w:val="Normal"/>
    <w:link w:val="FootnoteTextChar"/>
    <w:unhideWhenUsed/>
    <w:rsid w:val="00603563"/>
    <w:pPr>
      <w:spacing w:line="240" w:lineRule="auto"/>
    </w:pPr>
    <w:rPr>
      <w:sz w:val="20"/>
      <w:szCs w:val="20"/>
    </w:rPr>
  </w:style>
  <w:style w:type="character" w:customStyle="1" w:styleId="FootnoteTextChar">
    <w:name w:val="Footnote Text Char"/>
    <w:basedOn w:val="DefaultParagraphFont"/>
    <w:link w:val="FootnoteText"/>
    <w:rsid w:val="00603563"/>
    <w:rPr>
      <w:sz w:val="20"/>
      <w:szCs w:val="20"/>
    </w:rPr>
  </w:style>
  <w:style w:type="character" w:styleId="FootnoteReference">
    <w:name w:val="footnote reference"/>
    <w:basedOn w:val="DefaultParagraphFont"/>
    <w:unhideWhenUsed/>
    <w:rsid w:val="00603563"/>
    <w:rPr>
      <w:vertAlign w:val="superscript"/>
    </w:rPr>
  </w:style>
  <w:style w:type="table" w:styleId="LightList-Accent1">
    <w:name w:val="Light List Accent 1"/>
    <w:basedOn w:val="TableNormal"/>
    <w:uiPriority w:val="61"/>
    <w:rsid w:val="00A400FF"/>
    <w:pPr>
      <w:spacing w:after="0" w:line="240" w:lineRule="auto"/>
    </w:pPr>
    <w:rPr>
      <w:rFonts w:ascii="Arial" w:eastAsia="Times New Roman" w:hAnsi="Arial" w:cs="Times New Roman"/>
      <w:sz w:val="24"/>
      <w:szCs w:val="24"/>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E25CB"/>
    <w:pPr>
      <w:ind w:left="720"/>
      <w:contextualSpacing/>
    </w:pPr>
  </w:style>
  <w:style w:type="table" w:styleId="TableGrid">
    <w:name w:val="Table Grid"/>
    <w:basedOn w:val="TableNormal"/>
    <w:uiPriority w:val="59"/>
    <w:rsid w:val="000D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2C5"/>
    <w:rPr>
      <w:sz w:val="16"/>
      <w:szCs w:val="16"/>
    </w:rPr>
  </w:style>
  <w:style w:type="paragraph" w:styleId="CommentText">
    <w:name w:val="annotation text"/>
    <w:basedOn w:val="Normal"/>
    <w:link w:val="CommentTextChar"/>
    <w:uiPriority w:val="99"/>
    <w:semiHidden/>
    <w:unhideWhenUsed/>
    <w:rsid w:val="00D142C5"/>
    <w:pPr>
      <w:spacing w:line="240" w:lineRule="auto"/>
    </w:pPr>
    <w:rPr>
      <w:sz w:val="20"/>
      <w:szCs w:val="20"/>
    </w:rPr>
  </w:style>
  <w:style w:type="character" w:customStyle="1" w:styleId="CommentTextChar">
    <w:name w:val="Comment Text Char"/>
    <w:basedOn w:val="DefaultParagraphFont"/>
    <w:link w:val="CommentText"/>
    <w:uiPriority w:val="99"/>
    <w:semiHidden/>
    <w:rsid w:val="00D142C5"/>
    <w:rPr>
      <w:sz w:val="20"/>
      <w:szCs w:val="20"/>
    </w:rPr>
  </w:style>
  <w:style w:type="paragraph" w:styleId="CommentSubject">
    <w:name w:val="annotation subject"/>
    <w:basedOn w:val="CommentText"/>
    <w:next w:val="CommentText"/>
    <w:link w:val="CommentSubjectChar"/>
    <w:uiPriority w:val="99"/>
    <w:semiHidden/>
    <w:unhideWhenUsed/>
    <w:rsid w:val="00D142C5"/>
    <w:rPr>
      <w:b/>
      <w:bCs/>
    </w:rPr>
  </w:style>
  <w:style w:type="character" w:customStyle="1" w:styleId="CommentSubjectChar">
    <w:name w:val="Comment Subject Char"/>
    <w:basedOn w:val="CommentTextChar"/>
    <w:link w:val="CommentSubject"/>
    <w:uiPriority w:val="99"/>
    <w:semiHidden/>
    <w:rsid w:val="00D142C5"/>
    <w:rPr>
      <w:b/>
      <w:bCs/>
      <w:sz w:val="20"/>
      <w:szCs w:val="20"/>
    </w:rPr>
  </w:style>
  <w:style w:type="paragraph" w:styleId="Revision">
    <w:name w:val="Revision"/>
    <w:hidden/>
    <w:uiPriority w:val="99"/>
    <w:semiHidden/>
    <w:rsid w:val="00DE602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D5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5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36"/>
    <w:rPr>
      <w:rFonts w:ascii="Tahoma" w:hAnsi="Tahoma" w:cs="Tahoma"/>
      <w:sz w:val="16"/>
      <w:szCs w:val="16"/>
    </w:rPr>
  </w:style>
  <w:style w:type="paragraph" w:styleId="Header">
    <w:name w:val="header"/>
    <w:basedOn w:val="Normal"/>
    <w:link w:val="HeaderChar"/>
    <w:uiPriority w:val="99"/>
    <w:unhideWhenUsed/>
    <w:rsid w:val="00314EB5"/>
    <w:pPr>
      <w:tabs>
        <w:tab w:val="center" w:pos="4513"/>
        <w:tab w:val="right" w:pos="9026"/>
      </w:tabs>
      <w:spacing w:line="240" w:lineRule="auto"/>
    </w:pPr>
  </w:style>
  <w:style w:type="character" w:customStyle="1" w:styleId="HeaderChar">
    <w:name w:val="Header Char"/>
    <w:basedOn w:val="DefaultParagraphFont"/>
    <w:link w:val="Header"/>
    <w:uiPriority w:val="99"/>
    <w:rsid w:val="00314EB5"/>
  </w:style>
  <w:style w:type="paragraph" w:styleId="Footer">
    <w:name w:val="footer"/>
    <w:basedOn w:val="Normal"/>
    <w:link w:val="FooterChar"/>
    <w:uiPriority w:val="99"/>
    <w:unhideWhenUsed/>
    <w:rsid w:val="00314EB5"/>
    <w:pPr>
      <w:tabs>
        <w:tab w:val="center" w:pos="4513"/>
        <w:tab w:val="right" w:pos="9026"/>
      </w:tabs>
      <w:spacing w:line="240" w:lineRule="auto"/>
    </w:pPr>
  </w:style>
  <w:style w:type="character" w:customStyle="1" w:styleId="FooterChar">
    <w:name w:val="Footer Char"/>
    <w:basedOn w:val="DefaultParagraphFont"/>
    <w:link w:val="Footer"/>
    <w:uiPriority w:val="99"/>
    <w:rsid w:val="00314EB5"/>
  </w:style>
  <w:style w:type="paragraph" w:styleId="FootnoteText">
    <w:name w:val="footnote text"/>
    <w:basedOn w:val="Normal"/>
    <w:link w:val="FootnoteTextChar"/>
    <w:unhideWhenUsed/>
    <w:rsid w:val="00603563"/>
    <w:pPr>
      <w:spacing w:line="240" w:lineRule="auto"/>
    </w:pPr>
    <w:rPr>
      <w:sz w:val="20"/>
      <w:szCs w:val="20"/>
    </w:rPr>
  </w:style>
  <w:style w:type="character" w:customStyle="1" w:styleId="FootnoteTextChar">
    <w:name w:val="Footnote Text Char"/>
    <w:basedOn w:val="DefaultParagraphFont"/>
    <w:link w:val="FootnoteText"/>
    <w:rsid w:val="00603563"/>
    <w:rPr>
      <w:sz w:val="20"/>
      <w:szCs w:val="20"/>
    </w:rPr>
  </w:style>
  <w:style w:type="character" w:styleId="FootnoteReference">
    <w:name w:val="footnote reference"/>
    <w:basedOn w:val="DefaultParagraphFont"/>
    <w:unhideWhenUsed/>
    <w:rsid w:val="00603563"/>
    <w:rPr>
      <w:vertAlign w:val="superscript"/>
    </w:rPr>
  </w:style>
  <w:style w:type="table" w:styleId="LightList-Accent1">
    <w:name w:val="Light List Accent 1"/>
    <w:basedOn w:val="TableNormal"/>
    <w:uiPriority w:val="61"/>
    <w:rsid w:val="00A400FF"/>
    <w:pPr>
      <w:spacing w:after="0" w:line="240" w:lineRule="auto"/>
    </w:pPr>
    <w:rPr>
      <w:rFonts w:ascii="Arial" w:eastAsia="Times New Roman" w:hAnsi="Arial" w:cs="Times New Roman"/>
      <w:sz w:val="24"/>
      <w:szCs w:val="24"/>
      <w:lang w:eastAsia="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9E25CB"/>
    <w:pPr>
      <w:ind w:left="720"/>
      <w:contextualSpacing/>
    </w:pPr>
  </w:style>
  <w:style w:type="table" w:styleId="TableGrid">
    <w:name w:val="Table Grid"/>
    <w:basedOn w:val="TableNormal"/>
    <w:uiPriority w:val="59"/>
    <w:rsid w:val="000D3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142C5"/>
    <w:rPr>
      <w:sz w:val="16"/>
      <w:szCs w:val="16"/>
    </w:rPr>
  </w:style>
  <w:style w:type="paragraph" w:styleId="CommentText">
    <w:name w:val="annotation text"/>
    <w:basedOn w:val="Normal"/>
    <w:link w:val="CommentTextChar"/>
    <w:uiPriority w:val="99"/>
    <w:semiHidden/>
    <w:unhideWhenUsed/>
    <w:rsid w:val="00D142C5"/>
    <w:pPr>
      <w:spacing w:line="240" w:lineRule="auto"/>
    </w:pPr>
    <w:rPr>
      <w:sz w:val="20"/>
      <w:szCs w:val="20"/>
    </w:rPr>
  </w:style>
  <w:style w:type="character" w:customStyle="1" w:styleId="CommentTextChar">
    <w:name w:val="Comment Text Char"/>
    <w:basedOn w:val="DefaultParagraphFont"/>
    <w:link w:val="CommentText"/>
    <w:uiPriority w:val="99"/>
    <w:semiHidden/>
    <w:rsid w:val="00D142C5"/>
    <w:rPr>
      <w:sz w:val="20"/>
      <w:szCs w:val="20"/>
    </w:rPr>
  </w:style>
  <w:style w:type="paragraph" w:styleId="CommentSubject">
    <w:name w:val="annotation subject"/>
    <w:basedOn w:val="CommentText"/>
    <w:next w:val="CommentText"/>
    <w:link w:val="CommentSubjectChar"/>
    <w:uiPriority w:val="99"/>
    <w:semiHidden/>
    <w:unhideWhenUsed/>
    <w:rsid w:val="00D142C5"/>
    <w:rPr>
      <w:b/>
      <w:bCs/>
    </w:rPr>
  </w:style>
  <w:style w:type="character" w:customStyle="1" w:styleId="CommentSubjectChar">
    <w:name w:val="Comment Subject Char"/>
    <w:basedOn w:val="CommentTextChar"/>
    <w:link w:val="CommentSubject"/>
    <w:uiPriority w:val="99"/>
    <w:semiHidden/>
    <w:rsid w:val="00D142C5"/>
    <w:rPr>
      <w:b/>
      <w:bCs/>
      <w:sz w:val="20"/>
      <w:szCs w:val="20"/>
    </w:rPr>
  </w:style>
  <w:style w:type="paragraph" w:styleId="Revision">
    <w:name w:val="Revision"/>
    <w:hidden/>
    <w:uiPriority w:val="99"/>
    <w:semiHidden/>
    <w:rsid w:val="00DE6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991318">
      <w:bodyDiv w:val="1"/>
      <w:marLeft w:val="0"/>
      <w:marRight w:val="0"/>
      <w:marTop w:val="0"/>
      <w:marBottom w:val="0"/>
      <w:divBdr>
        <w:top w:val="none" w:sz="0" w:space="0" w:color="auto"/>
        <w:left w:val="none" w:sz="0" w:space="0" w:color="auto"/>
        <w:bottom w:val="none" w:sz="0" w:space="0" w:color="auto"/>
        <w:right w:val="none" w:sz="0" w:space="0" w:color="auto"/>
      </w:divBdr>
      <w:divsChild>
        <w:div w:id="12857739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4CA09-CC41-4C03-A9E0-EA94D10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2511</Words>
  <Characters>14314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Winterbottom , Geoffrey</dc:creator>
  <cp:lastModifiedBy>Charlie Coleman</cp:lastModifiedBy>
  <cp:revision>2</cp:revision>
  <cp:lastPrinted>2017-11-06T12:47:00Z</cp:lastPrinted>
  <dcterms:created xsi:type="dcterms:W3CDTF">2017-11-10T16:09:00Z</dcterms:created>
  <dcterms:modified xsi:type="dcterms:W3CDTF">2017-11-10T16:09:00Z</dcterms:modified>
</cp:coreProperties>
</file>