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94E3" w14:textId="0BA3B1C1" w:rsidR="00140702" w:rsidRDefault="0E24B361" w:rsidP="7032A7B8">
      <w:pPr>
        <w:spacing w:after="80" w:line="360" w:lineRule="auto"/>
      </w:pPr>
      <w:r w:rsidRPr="7032A7B8">
        <w:rPr>
          <w:rFonts w:ascii="Arial" w:eastAsia="Arial" w:hAnsi="Arial" w:cs="Arial"/>
          <w:color w:val="706F6F"/>
        </w:rPr>
        <w:t>Handout 1</w:t>
      </w:r>
    </w:p>
    <w:p w14:paraId="7348EB27" w14:textId="009C799D" w:rsidR="00140702" w:rsidRDefault="0E24B361" w:rsidP="7032A7B8">
      <w:pPr>
        <w:spacing w:line="360" w:lineRule="auto"/>
      </w:pPr>
      <w:r w:rsidRPr="7032A7B8">
        <w:rPr>
          <w:rFonts w:ascii="Arial" w:eastAsia="Arial" w:hAnsi="Arial" w:cs="Arial"/>
          <w:b/>
          <w:bCs/>
          <w:color w:val="951B81"/>
          <w:sz w:val="36"/>
          <w:szCs w:val="36"/>
        </w:rPr>
        <w:t>Constructive challenge</w:t>
      </w:r>
    </w:p>
    <w:p w14:paraId="17F79AA4" w14:textId="3F766BE8" w:rsidR="00140702" w:rsidRDefault="0E24B361" w:rsidP="7032A7B8">
      <w:pPr>
        <w:spacing w:line="360" w:lineRule="auto"/>
      </w:pPr>
      <w:r w:rsidRPr="7032A7B8">
        <w:rPr>
          <w:rFonts w:ascii="Arial" w:eastAsia="Arial" w:hAnsi="Arial" w:cs="Arial"/>
        </w:rPr>
        <w:t>Constructive challenge is the purposeful and respectful practice of questioning ideas, decisions and assumptions to strengthen outcomes, rather than criticise individuals; it focuses on the substance of a proposal by testing evidence, probing risks, exploring alternatives and examining underlying reasoning, to improve clarity, accountability and decision</w:t>
      </w:r>
      <w:r w:rsidR="00000000">
        <w:noBreakHyphen/>
      </w:r>
      <w:r w:rsidRPr="7032A7B8">
        <w:rPr>
          <w:rFonts w:ascii="Arial" w:eastAsia="Arial" w:hAnsi="Arial" w:cs="Arial"/>
        </w:rPr>
        <w:t>making while maintaining trust and productive working relationships. The phrases below help keep challenges specific, supported and on the substance of the issue.</w:t>
      </w:r>
    </w:p>
    <w:p w14:paraId="2415E4BE" w14:textId="5BF6971B" w:rsidR="00140702" w:rsidRDefault="0E24B361" w:rsidP="7032A7B8">
      <w:pPr>
        <w:pStyle w:val="Heading3"/>
        <w:spacing w:line="360" w:lineRule="auto"/>
      </w:pPr>
      <w:r w:rsidRPr="7032A7B8">
        <w:rPr>
          <w:rFonts w:ascii="Arial" w:eastAsia="Arial" w:hAnsi="Arial" w:cs="Arial"/>
          <w:b/>
          <w:bCs/>
          <w:color w:val="3D3D3D"/>
          <w:sz w:val="24"/>
          <w:szCs w:val="24"/>
        </w:rPr>
        <w:t>For challenging evidence</w:t>
      </w:r>
    </w:p>
    <w:p w14:paraId="5AE7E3C0" w14:textId="766E4A0B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“The data cited covers [period]. Can I ask about the position over the longer term?”</w:t>
      </w:r>
    </w:p>
    <w:p w14:paraId="02321395" w14:textId="2EB8B57F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“What alternatives were considered before this recommendation was made?”</w:t>
      </w:r>
    </w:p>
    <w:p w14:paraId="7BC6BB62" w14:textId="112322D5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“If the assumption in paragraph [X] does not hold, what happens to the recommendation?”</w:t>
      </w:r>
    </w:p>
    <w:p w14:paraId="226CE138" w14:textId="1A86435C" w:rsidR="00140702" w:rsidRDefault="0E24B361" w:rsidP="7032A7B8">
      <w:pPr>
        <w:pStyle w:val="Heading3"/>
        <w:spacing w:line="360" w:lineRule="auto"/>
      </w:pPr>
      <w:r w:rsidRPr="7032A7B8">
        <w:rPr>
          <w:rFonts w:ascii="Arial" w:eastAsia="Arial" w:hAnsi="Arial" w:cs="Arial"/>
          <w:b/>
          <w:bCs/>
          <w:color w:val="3D3D3D"/>
          <w:sz w:val="24"/>
          <w:szCs w:val="24"/>
        </w:rPr>
        <w:t>For challenging the reasoning</w:t>
      </w:r>
    </w:p>
    <w:p w14:paraId="2A96694E" w14:textId="6844E0C8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“What outcome is this decision intended to change, and how will members know whether it has been successful?”</w:t>
      </w:r>
    </w:p>
    <w:p w14:paraId="649B2D32" w14:textId="119B0566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“This report acknowledges [risk] but does not quantify it. How should members weigh that in reaching a decision?”</w:t>
      </w:r>
    </w:p>
    <w:p w14:paraId="67368152" w14:textId="4C0D44ED" w:rsidR="00140702" w:rsidRDefault="0E24B361" w:rsidP="7032A7B8">
      <w:pPr>
        <w:pStyle w:val="Heading3"/>
        <w:spacing w:line="360" w:lineRule="auto"/>
      </w:pPr>
      <w:r w:rsidRPr="7032A7B8">
        <w:rPr>
          <w:rFonts w:ascii="Arial" w:eastAsia="Arial" w:hAnsi="Arial" w:cs="Arial"/>
          <w:b/>
          <w:bCs/>
          <w:color w:val="3D3D3D"/>
          <w:sz w:val="24"/>
          <w:szCs w:val="24"/>
        </w:rPr>
        <w:t>For disagreeing with a position</w:t>
      </w:r>
    </w:p>
    <w:p w14:paraId="2EBFD6DB" w14:textId="3958BC37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“I do not think the evidence supports this conclusion, and my reason for that is [specific point].”</w:t>
      </w:r>
    </w:p>
    <w:p w14:paraId="5AA98FC3" w14:textId="0393C613" w:rsidR="00140702" w:rsidRDefault="0E24B361" w:rsidP="7032A7B8">
      <w:pPr>
        <w:pStyle w:val="Heading3"/>
        <w:spacing w:line="360" w:lineRule="auto"/>
      </w:pPr>
      <w:r w:rsidRPr="7032A7B8">
        <w:rPr>
          <w:rFonts w:ascii="Arial" w:eastAsia="Arial" w:hAnsi="Arial" w:cs="Arial"/>
          <w:b/>
          <w:bCs/>
          <w:color w:val="3D3D3D"/>
          <w:sz w:val="24"/>
          <w:szCs w:val="24"/>
        </w:rPr>
        <w:t>For listening and clarifying before responding</w:t>
      </w:r>
    </w:p>
    <w:p w14:paraId="795CF6AA" w14:textId="0A947753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“Can I check I have understood your point correctly before I respond?”</w:t>
      </w:r>
    </w:p>
    <w:p w14:paraId="7EEDFB79" w14:textId="4E5BA850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“I agree with part of that, but I want to test the conclusion being drawn from it.”</w:t>
      </w:r>
    </w:p>
    <w:p w14:paraId="3DFD7CCB" w14:textId="7E17B438" w:rsidR="00140702" w:rsidRDefault="0E24B361" w:rsidP="7032A7B8">
      <w:pPr>
        <w:pStyle w:val="Heading3"/>
        <w:spacing w:line="360" w:lineRule="auto"/>
      </w:pPr>
      <w:r w:rsidRPr="7032A7B8">
        <w:rPr>
          <w:rFonts w:ascii="Arial" w:eastAsia="Arial" w:hAnsi="Arial" w:cs="Arial"/>
          <w:b/>
          <w:bCs/>
          <w:color w:val="3D3D3D"/>
          <w:sz w:val="24"/>
          <w:szCs w:val="24"/>
        </w:rPr>
        <w:t>For using personal experience to serve an argument</w:t>
      </w:r>
    </w:p>
    <w:p w14:paraId="5E5787A5" w14:textId="06E68E7D" w:rsidR="00140702" w:rsidRDefault="0E24B361" w:rsidP="7032A7B8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7032A7B8">
        <w:rPr>
          <w:rFonts w:ascii="Arial" w:eastAsia="Arial" w:hAnsi="Arial" w:cs="Arial"/>
        </w:rPr>
        <w:t>“In my ward, I have seen [specific situation]. That is relevant here because it suggests [specific implication for the decision].”</w:t>
      </w:r>
    </w:p>
    <w:sectPr w:rsidR="001407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E54"/>
    <w:multiLevelType w:val="hybridMultilevel"/>
    <w:tmpl w:val="5DEEFED4"/>
    <w:lvl w:ilvl="0" w:tplc="B8A89DC6">
      <w:start w:val="1"/>
      <w:numFmt w:val="decimal"/>
      <w:lvlText w:val="•"/>
      <w:lvlJc w:val="left"/>
      <w:pPr>
        <w:ind w:left="720" w:hanging="360"/>
      </w:pPr>
    </w:lvl>
    <w:lvl w:ilvl="1" w:tplc="3320DB20">
      <w:start w:val="1"/>
      <w:numFmt w:val="lowerLetter"/>
      <w:lvlText w:val="%2."/>
      <w:lvlJc w:val="left"/>
      <w:pPr>
        <w:ind w:left="1440" w:hanging="360"/>
      </w:pPr>
    </w:lvl>
    <w:lvl w:ilvl="2" w:tplc="FC142AE0">
      <w:start w:val="1"/>
      <w:numFmt w:val="lowerRoman"/>
      <w:lvlText w:val="%3."/>
      <w:lvlJc w:val="right"/>
      <w:pPr>
        <w:ind w:left="2160" w:hanging="180"/>
      </w:pPr>
    </w:lvl>
    <w:lvl w:ilvl="3" w:tplc="19CC1152">
      <w:start w:val="1"/>
      <w:numFmt w:val="decimal"/>
      <w:lvlText w:val="%4."/>
      <w:lvlJc w:val="left"/>
      <w:pPr>
        <w:ind w:left="2880" w:hanging="360"/>
      </w:pPr>
    </w:lvl>
    <w:lvl w:ilvl="4" w:tplc="C6B00BBA">
      <w:start w:val="1"/>
      <w:numFmt w:val="lowerLetter"/>
      <w:lvlText w:val="%5."/>
      <w:lvlJc w:val="left"/>
      <w:pPr>
        <w:ind w:left="3600" w:hanging="360"/>
      </w:pPr>
    </w:lvl>
    <w:lvl w:ilvl="5" w:tplc="40B48EFE">
      <w:start w:val="1"/>
      <w:numFmt w:val="lowerRoman"/>
      <w:lvlText w:val="%6."/>
      <w:lvlJc w:val="right"/>
      <w:pPr>
        <w:ind w:left="4320" w:hanging="180"/>
      </w:pPr>
    </w:lvl>
    <w:lvl w:ilvl="6" w:tplc="38047172">
      <w:start w:val="1"/>
      <w:numFmt w:val="decimal"/>
      <w:lvlText w:val="%7."/>
      <w:lvlJc w:val="left"/>
      <w:pPr>
        <w:ind w:left="5040" w:hanging="360"/>
      </w:pPr>
    </w:lvl>
    <w:lvl w:ilvl="7" w:tplc="9402A1CA">
      <w:start w:val="1"/>
      <w:numFmt w:val="lowerLetter"/>
      <w:lvlText w:val="%8."/>
      <w:lvlJc w:val="left"/>
      <w:pPr>
        <w:ind w:left="5760" w:hanging="360"/>
      </w:pPr>
    </w:lvl>
    <w:lvl w:ilvl="8" w:tplc="742A00D0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84D5A"/>
    <w:rsid w:val="00140702"/>
    <w:rsid w:val="005F27EA"/>
    <w:rsid w:val="00B6097C"/>
    <w:rsid w:val="0E24B361"/>
    <w:rsid w:val="28784D5A"/>
    <w:rsid w:val="7032A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BC59"/>
  <w15:chartTrackingRefBased/>
  <w15:docId w15:val="{DF4B40A0-A16F-4263-8856-B4C323AB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A5426C5CF8C499239A2D46F6C2C2D" ma:contentTypeVersion="8" ma:contentTypeDescription="Create a new document." ma:contentTypeScope="" ma:versionID="7b8472572ec296cb12b85a55c60923b8">
  <xsd:schema xmlns:xsd="http://www.w3.org/2001/XMLSchema" xmlns:xs="http://www.w3.org/2001/XMLSchema" xmlns:p="http://schemas.microsoft.com/office/2006/metadata/properties" xmlns:ns2="df195855-442a-4f0b-98bf-d4ea468ae4ac" xmlns:ns3="ea1e48e1-5345-418d-83a6-2dc2747f72cd" targetNamespace="http://schemas.microsoft.com/office/2006/metadata/properties" ma:root="true" ma:fieldsID="b8b0194a24731d7c7baa087a59f8b482" ns2:_="" ns3:_="">
    <xsd:import namespace="df195855-442a-4f0b-98bf-d4ea468ae4ac"/>
    <xsd:import namespace="ea1e48e1-5345-418d-83a6-2dc2747f7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5855-442a-4f0b-98bf-d4ea468ae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48e1-5345-418d-83a6-2dc2747f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FAC8B-78AA-4382-A50E-E41F39824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B3821-0156-427A-BCFB-761DF29C8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C5CF7-9D46-40F0-8BFC-4892A4A0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95855-442a-4f0b-98bf-d4ea468ae4ac"/>
    <ds:schemaRef ds:uri="ea1e48e1-5345-418d-83a6-2dc2747f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Norman</dc:creator>
  <cp:keywords/>
  <dc:description/>
  <cp:lastModifiedBy>Sabah Yusuf</cp:lastModifiedBy>
  <cp:revision>2</cp:revision>
  <dcterms:created xsi:type="dcterms:W3CDTF">2026-06-12T12:03:00Z</dcterms:created>
  <dcterms:modified xsi:type="dcterms:W3CDTF">2026-06-12T12:03:00Z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0x010100550A5426C5CF8C499239A2D46F6C2C2D</vt:lpwstr>
  </property>
</Properties>
</file>