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DE" w:rsidRDefault="00786BF1">
      <w:r>
        <w:rPr>
          <w:noProof/>
          <w:lang w:eastAsia="en-GB"/>
        </w:rPr>
        <w:drawing>
          <wp:inline distT="0" distB="0" distL="0" distR="0" wp14:anchorId="6D9CE1DB">
            <wp:extent cx="2152015" cy="12192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7085" w:rsidRPr="00840BAE" w:rsidRDefault="00D83FE6">
      <w:pPr>
        <w:rPr>
          <w:rFonts w:ascii="Times New Roman" w:hAnsi="Times New Roman" w:cs="Times New Roman"/>
          <w:b/>
          <w:color w:val="009999"/>
          <w:sz w:val="48"/>
          <w:szCs w:val="48"/>
        </w:rPr>
      </w:pPr>
      <w:r>
        <w:rPr>
          <w:rFonts w:ascii="Times New Roman" w:hAnsi="Times New Roman" w:cs="Times New Roman"/>
          <w:b/>
          <w:color w:val="009999"/>
          <w:sz w:val="48"/>
          <w:szCs w:val="48"/>
        </w:rPr>
        <w:t xml:space="preserve">BRR </w:t>
      </w:r>
      <w:r w:rsidR="00840BAE" w:rsidRPr="00840BAE">
        <w:rPr>
          <w:rFonts w:ascii="Times New Roman" w:hAnsi="Times New Roman" w:cs="Times New Roman"/>
          <w:b/>
          <w:color w:val="009999"/>
          <w:sz w:val="48"/>
          <w:szCs w:val="48"/>
        </w:rPr>
        <w:t>Working Group</w:t>
      </w:r>
      <w:r>
        <w:rPr>
          <w:rFonts w:ascii="Times New Roman" w:hAnsi="Times New Roman" w:cs="Times New Roman"/>
          <w:b/>
          <w:color w:val="009999"/>
          <w:sz w:val="48"/>
          <w:szCs w:val="48"/>
        </w:rPr>
        <w:t>s</w:t>
      </w:r>
      <w:r w:rsidR="00840BAE" w:rsidRPr="00840BAE">
        <w:rPr>
          <w:rFonts w:ascii="Times New Roman" w:hAnsi="Times New Roman" w:cs="Times New Roman"/>
          <w:b/>
          <w:color w:val="009999"/>
          <w:sz w:val="48"/>
          <w:szCs w:val="48"/>
        </w:rPr>
        <w:t xml:space="preserve"> Forward Work Plan</w:t>
      </w:r>
    </w:p>
    <w:p w:rsidR="00840BAE" w:rsidRDefault="00170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has been a significant pause in the work of Steering and Working Groups and so there are some recalibrations to work through. </w:t>
      </w:r>
      <w:r w:rsidR="00C76282">
        <w:rPr>
          <w:rFonts w:ascii="Times New Roman" w:hAnsi="Times New Roman" w:cs="Times New Roman"/>
          <w:sz w:val="28"/>
          <w:szCs w:val="28"/>
        </w:rPr>
        <w:t>We propose that the</w:t>
      </w:r>
      <w:r w:rsidR="00840BAE">
        <w:rPr>
          <w:rFonts w:ascii="Times New Roman" w:hAnsi="Times New Roman" w:cs="Times New Roman"/>
          <w:sz w:val="28"/>
          <w:szCs w:val="28"/>
        </w:rPr>
        <w:t xml:space="preserve"> Business Rates Retention</w:t>
      </w:r>
      <w:r w:rsidR="00C76282">
        <w:rPr>
          <w:rFonts w:ascii="Times New Roman" w:hAnsi="Times New Roman" w:cs="Times New Roman"/>
          <w:sz w:val="28"/>
          <w:szCs w:val="28"/>
        </w:rPr>
        <w:t xml:space="preserve"> Working Groups be resumed and will issue further detail, including dates, following the first meeting of the Steering Group on 3 October. </w:t>
      </w:r>
    </w:p>
    <w:p w:rsidR="00183432" w:rsidRPr="00840BAE" w:rsidRDefault="00183432" w:rsidP="00183432">
      <w:pPr>
        <w:rPr>
          <w:rFonts w:ascii="Times New Roman" w:hAnsi="Times New Roman" w:cs="Times New Roman"/>
          <w:b/>
          <w:color w:val="009999"/>
          <w:sz w:val="28"/>
          <w:szCs w:val="28"/>
        </w:rPr>
      </w:pPr>
      <w:r w:rsidRPr="00183432">
        <w:rPr>
          <w:rFonts w:ascii="Times New Roman" w:hAnsi="Times New Roman" w:cs="Times New Roman"/>
          <w:b/>
          <w:color w:val="009999"/>
          <w:sz w:val="28"/>
          <w:szCs w:val="28"/>
        </w:rPr>
        <w:t xml:space="preserve">New Responsibilities </w:t>
      </w:r>
      <w:r w:rsidRPr="00840BAE">
        <w:rPr>
          <w:rFonts w:ascii="Times New Roman" w:hAnsi="Times New Roman" w:cs="Times New Roman"/>
          <w:b/>
          <w:color w:val="009999"/>
          <w:sz w:val="28"/>
          <w:szCs w:val="28"/>
        </w:rPr>
        <w:t>Working Group</w:t>
      </w:r>
    </w:p>
    <w:p w:rsidR="00183432" w:rsidRDefault="00170E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183432">
        <w:rPr>
          <w:rFonts w:ascii="Times New Roman" w:hAnsi="Times New Roman" w:cs="Times New Roman"/>
          <w:sz w:val="28"/>
          <w:szCs w:val="28"/>
        </w:rPr>
        <w:t>forward work plan for the New Responsibilities</w:t>
      </w:r>
      <w:r>
        <w:rPr>
          <w:rFonts w:ascii="Times New Roman" w:hAnsi="Times New Roman" w:cs="Times New Roman"/>
          <w:sz w:val="28"/>
          <w:szCs w:val="28"/>
        </w:rPr>
        <w:t xml:space="preserve"> Working Group </w:t>
      </w:r>
      <w:r w:rsidR="00183432">
        <w:rPr>
          <w:rFonts w:ascii="Times New Roman" w:hAnsi="Times New Roman" w:cs="Times New Roman"/>
          <w:sz w:val="28"/>
          <w:szCs w:val="28"/>
        </w:rPr>
        <w:t>will be proposed following</w:t>
      </w:r>
      <w:r>
        <w:rPr>
          <w:rFonts w:ascii="Times New Roman" w:hAnsi="Times New Roman" w:cs="Times New Roman"/>
          <w:sz w:val="28"/>
          <w:szCs w:val="28"/>
        </w:rPr>
        <w:t xml:space="preserve"> the 3 October Steering</w:t>
      </w:r>
      <w:r w:rsidR="00183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Group meeting. This working group will, once resumed, </w:t>
      </w:r>
      <w:r w:rsidRPr="002A7085">
        <w:rPr>
          <w:rFonts w:ascii="Times New Roman" w:hAnsi="Times New Roman" w:cs="Times New Roman"/>
          <w:sz w:val="28"/>
          <w:szCs w:val="28"/>
        </w:rPr>
        <w:t>agree</w:t>
      </w:r>
      <w:r>
        <w:rPr>
          <w:rFonts w:ascii="Times New Roman" w:hAnsi="Times New Roman" w:cs="Times New Roman"/>
          <w:sz w:val="28"/>
          <w:szCs w:val="28"/>
        </w:rPr>
        <w:t xml:space="preserve"> its</w:t>
      </w:r>
      <w:r w:rsidRPr="002A7085">
        <w:rPr>
          <w:rFonts w:ascii="Times New Roman" w:hAnsi="Times New Roman" w:cs="Times New Roman"/>
          <w:sz w:val="28"/>
          <w:szCs w:val="28"/>
        </w:rPr>
        <w:t xml:space="preserve"> forward look</w:t>
      </w:r>
      <w:r>
        <w:rPr>
          <w:rFonts w:ascii="Times New Roman" w:hAnsi="Times New Roman" w:cs="Times New Roman"/>
          <w:sz w:val="28"/>
          <w:szCs w:val="28"/>
        </w:rPr>
        <w:t xml:space="preserve"> and commission the</w:t>
      </w:r>
      <w:r w:rsidR="00A2633C">
        <w:rPr>
          <w:rFonts w:ascii="Times New Roman" w:hAnsi="Times New Roman" w:cs="Times New Roman"/>
          <w:sz w:val="28"/>
          <w:szCs w:val="28"/>
        </w:rPr>
        <w:t xml:space="preserve"> (sub)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Accounting and Accountability Working Group</w:t>
      </w:r>
      <w:r w:rsidRPr="00170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0BAE" w:rsidRPr="00840BAE" w:rsidRDefault="00840BAE">
      <w:pPr>
        <w:rPr>
          <w:rFonts w:ascii="Times New Roman" w:hAnsi="Times New Roman" w:cs="Times New Roman"/>
          <w:b/>
          <w:color w:val="009999"/>
          <w:sz w:val="28"/>
          <w:szCs w:val="28"/>
        </w:rPr>
      </w:pPr>
      <w:r w:rsidRPr="00840BAE">
        <w:rPr>
          <w:rFonts w:ascii="Times New Roman" w:hAnsi="Times New Roman" w:cs="Times New Roman"/>
          <w:b/>
          <w:color w:val="009999"/>
          <w:sz w:val="28"/>
          <w:szCs w:val="28"/>
        </w:rPr>
        <w:t>Systems Design Working Group</w:t>
      </w:r>
    </w:p>
    <w:p w:rsidR="00B439DD" w:rsidRPr="002A7085" w:rsidRDefault="00786BF1">
      <w:pPr>
        <w:rPr>
          <w:rFonts w:ascii="Times New Roman" w:hAnsi="Times New Roman" w:cs="Times New Roman"/>
          <w:sz w:val="28"/>
          <w:szCs w:val="28"/>
        </w:rPr>
      </w:pPr>
      <w:r w:rsidRPr="002A7085">
        <w:rPr>
          <w:rFonts w:ascii="Times New Roman" w:hAnsi="Times New Roman" w:cs="Times New Roman"/>
          <w:sz w:val="28"/>
          <w:szCs w:val="28"/>
        </w:rPr>
        <w:t>We propose that the Working Group be commissioned to consider the following elements of the Local Government Finance system in the following order:</w:t>
      </w:r>
    </w:p>
    <w:p w:rsidR="00786BF1" w:rsidRPr="002A7085" w:rsidRDefault="00786BF1" w:rsidP="006F5CC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A7085">
        <w:rPr>
          <w:rFonts w:ascii="Times New Roman" w:hAnsi="Times New Roman" w:cs="Times New Roman"/>
          <w:sz w:val="28"/>
          <w:szCs w:val="28"/>
        </w:rPr>
        <w:t>Options for reforms and greater business rates retention, including the legal position, timings and scope and agree forward look</w:t>
      </w:r>
      <w:r w:rsidR="006F5CC7">
        <w:rPr>
          <w:rFonts w:ascii="Times New Roman" w:hAnsi="Times New Roman" w:cs="Times New Roman"/>
          <w:sz w:val="28"/>
          <w:szCs w:val="28"/>
        </w:rPr>
        <w:t xml:space="preserve"> including for the</w:t>
      </w:r>
      <w:r w:rsidR="00A2633C">
        <w:rPr>
          <w:rFonts w:ascii="Times New Roman" w:hAnsi="Times New Roman" w:cs="Times New Roman"/>
          <w:sz w:val="28"/>
          <w:szCs w:val="28"/>
        </w:rPr>
        <w:t xml:space="preserve"> (sub)</w:t>
      </w:r>
      <w:r w:rsidR="006F5CC7">
        <w:rPr>
          <w:rFonts w:ascii="Times New Roman" w:hAnsi="Times New Roman" w:cs="Times New Roman"/>
          <w:sz w:val="28"/>
          <w:szCs w:val="28"/>
        </w:rPr>
        <w:t xml:space="preserve"> </w:t>
      </w:r>
      <w:r w:rsidR="006F5CC7" w:rsidRPr="00A26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Accounting and Accountability Working Group</w:t>
      </w:r>
      <w:r w:rsidRPr="002A7085">
        <w:rPr>
          <w:rFonts w:ascii="Times New Roman" w:hAnsi="Times New Roman" w:cs="Times New Roman"/>
          <w:sz w:val="28"/>
          <w:szCs w:val="28"/>
        </w:rPr>
        <w:t>;</w:t>
      </w:r>
    </w:p>
    <w:p w:rsidR="00786BF1" w:rsidRDefault="00DF10CA" w:rsidP="002A7085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safety net, tier splits, </w:t>
      </w:r>
      <w:r w:rsidR="00786BF1" w:rsidRPr="002A7085">
        <w:rPr>
          <w:rFonts w:ascii="Times New Roman" w:hAnsi="Times New Roman" w:cs="Times New Roman"/>
          <w:sz w:val="28"/>
          <w:szCs w:val="28"/>
        </w:rPr>
        <w:t>risk and gearing;</w:t>
      </w:r>
    </w:p>
    <w:p w:rsidR="00DF10CA" w:rsidRPr="002A7085" w:rsidRDefault="00DF10CA" w:rsidP="002A7085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2A7085">
        <w:rPr>
          <w:rFonts w:ascii="Times New Roman" w:hAnsi="Times New Roman" w:cs="Times New Roman"/>
          <w:sz w:val="28"/>
          <w:szCs w:val="28"/>
        </w:rPr>
        <w:t>itigating appeals losses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6BF1" w:rsidRPr="002A7085" w:rsidRDefault="00786BF1" w:rsidP="002A7085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2A7085">
        <w:rPr>
          <w:rFonts w:ascii="Times New Roman" w:hAnsi="Times New Roman" w:cs="Times New Roman"/>
          <w:sz w:val="28"/>
          <w:szCs w:val="28"/>
        </w:rPr>
        <w:t>Resets, set-up and measuring growth;</w:t>
      </w:r>
    </w:p>
    <w:p w:rsidR="00786BF1" w:rsidRPr="002A7085" w:rsidRDefault="00786BF1" w:rsidP="002A7085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2A7085">
        <w:rPr>
          <w:rFonts w:ascii="Times New Roman" w:hAnsi="Times New Roman" w:cs="Times New Roman"/>
          <w:sz w:val="28"/>
          <w:szCs w:val="28"/>
        </w:rPr>
        <w:t>Transitional arrangements;</w:t>
      </w:r>
    </w:p>
    <w:p w:rsidR="00786BF1" w:rsidRPr="002A7085" w:rsidRDefault="00786BF1" w:rsidP="002A7085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2A7085">
        <w:rPr>
          <w:rFonts w:ascii="Times New Roman" w:hAnsi="Times New Roman" w:cs="Times New Roman"/>
          <w:sz w:val="28"/>
          <w:szCs w:val="28"/>
        </w:rPr>
        <w:t>Reliefs, appeals and the Central List;</w:t>
      </w:r>
    </w:p>
    <w:p w:rsidR="00786BF1" w:rsidRPr="002A7085" w:rsidRDefault="00786BF1" w:rsidP="002A7085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2A7085">
        <w:rPr>
          <w:rFonts w:ascii="Times New Roman" w:hAnsi="Times New Roman" w:cs="Times New Roman"/>
          <w:sz w:val="28"/>
          <w:szCs w:val="28"/>
        </w:rPr>
        <w:t>Pooling;</w:t>
      </w:r>
    </w:p>
    <w:p w:rsidR="00B35920" w:rsidRPr="00B35920" w:rsidRDefault="00786BF1" w:rsidP="00B35920">
      <w:pPr>
        <w:pStyle w:val="ListParagraph"/>
        <w:numPr>
          <w:ilvl w:val="0"/>
          <w:numId w:val="2"/>
        </w:numPr>
        <w:spacing w:line="240" w:lineRule="auto"/>
        <w:ind w:left="107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2A7085">
        <w:rPr>
          <w:rFonts w:ascii="Times New Roman" w:hAnsi="Times New Roman" w:cs="Times New Roman"/>
          <w:sz w:val="28"/>
          <w:szCs w:val="28"/>
        </w:rPr>
        <w:t>Data and accounting.</w:t>
      </w:r>
      <w:bookmarkStart w:id="0" w:name="_GoBack"/>
      <w:bookmarkEnd w:id="0"/>
    </w:p>
    <w:p w:rsidR="00B35920" w:rsidRPr="00B35920" w:rsidRDefault="00B35920" w:rsidP="00B3592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See Annex C for the Fair Funding Working Group agenda pack.</w:t>
      </w:r>
    </w:p>
    <w:sectPr w:rsidR="00B35920" w:rsidRPr="00B359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F1" w:rsidRDefault="00786BF1" w:rsidP="00056850">
      <w:pPr>
        <w:spacing w:after="0" w:line="240" w:lineRule="auto"/>
      </w:pPr>
      <w:r>
        <w:separator/>
      </w:r>
    </w:p>
  </w:endnote>
  <w:endnote w:type="continuationSeparator" w:id="0">
    <w:p w:rsidR="00786BF1" w:rsidRDefault="00786BF1" w:rsidP="0005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50" w:rsidRDefault="000568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50" w:rsidRDefault="000568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50" w:rsidRDefault="00056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F1" w:rsidRDefault="00786BF1" w:rsidP="00056850">
      <w:pPr>
        <w:spacing w:after="0" w:line="240" w:lineRule="auto"/>
      </w:pPr>
      <w:r>
        <w:separator/>
      </w:r>
    </w:p>
  </w:footnote>
  <w:footnote w:type="continuationSeparator" w:id="0">
    <w:p w:rsidR="00786BF1" w:rsidRDefault="00786BF1" w:rsidP="0005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50" w:rsidRDefault="000568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50" w:rsidRDefault="000568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50" w:rsidRDefault="000568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1A2"/>
    <w:multiLevelType w:val="hybridMultilevel"/>
    <w:tmpl w:val="AF283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03B46"/>
    <w:multiLevelType w:val="hybridMultilevel"/>
    <w:tmpl w:val="3EB893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F1"/>
    <w:rsid w:val="00056850"/>
    <w:rsid w:val="00170EDE"/>
    <w:rsid w:val="00183432"/>
    <w:rsid w:val="002A7085"/>
    <w:rsid w:val="006F5CC7"/>
    <w:rsid w:val="00786BF1"/>
    <w:rsid w:val="00840BAE"/>
    <w:rsid w:val="00914946"/>
    <w:rsid w:val="00A2633C"/>
    <w:rsid w:val="00B35920"/>
    <w:rsid w:val="00B439DD"/>
    <w:rsid w:val="00C76282"/>
    <w:rsid w:val="00D83FE6"/>
    <w:rsid w:val="00DF10CA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paragraph" w:styleId="BalloonText">
    <w:name w:val="Balloon Text"/>
    <w:basedOn w:val="Normal"/>
    <w:link w:val="BalloonTextChar"/>
    <w:uiPriority w:val="99"/>
    <w:semiHidden/>
    <w:unhideWhenUsed/>
    <w:rsid w:val="0078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paragraph" w:styleId="BalloonText">
    <w:name w:val="Balloon Text"/>
    <w:basedOn w:val="Normal"/>
    <w:link w:val="BalloonTextChar"/>
    <w:uiPriority w:val="99"/>
    <w:semiHidden/>
    <w:unhideWhenUsed/>
    <w:rsid w:val="0078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33D1B3EB-D97E-4803-B33F-1A20241BE3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APOWELL3</dc:creator>
  <cp:lastModifiedBy>APOWELL3</cp:lastModifiedBy>
  <cp:revision>9</cp:revision>
  <dcterms:created xsi:type="dcterms:W3CDTF">2017-09-26T13:48:00Z</dcterms:created>
  <dcterms:modified xsi:type="dcterms:W3CDTF">2017-09-28T16:03:00Z</dcterms:modified>
</cp:coreProperties>
</file>