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C3E27" w14:textId="279AB97C" w:rsidR="00F90B4D" w:rsidRPr="004332E7" w:rsidRDefault="001A1341" w:rsidP="00F90B4D">
      <w:pPr>
        <w:rPr>
          <w:rFonts w:ascii="Arial" w:hAnsi="Arial" w:cs="Arial"/>
          <w:b/>
          <w:u w:val="single"/>
        </w:rPr>
      </w:pPr>
      <w:r>
        <w:rPr>
          <w:rFonts w:ascii="Arial" w:hAnsi="Arial" w:cs="Arial"/>
          <w:b/>
          <w:u w:val="single"/>
        </w:rPr>
        <w:t xml:space="preserve">LGA Briefing on </w:t>
      </w:r>
      <w:r w:rsidR="00F90B4D" w:rsidRPr="004332E7">
        <w:rPr>
          <w:rFonts w:ascii="Arial" w:hAnsi="Arial" w:cs="Arial"/>
          <w:b/>
          <w:u w:val="single"/>
        </w:rPr>
        <w:t>Statutory guidance on Local Government Investments and Statutory guidance on Minimum Revenue Provision</w:t>
      </w:r>
    </w:p>
    <w:p w14:paraId="7C8951B4" w14:textId="77777777" w:rsidR="00F90B4D" w:rsidRPr="004332E7" w:rsidRDefault="00F90B4D" w:rsidP="00F90B4D">
      <w:pPr>
        <w:rPr>
          <w:rFonts w:ascii="Arial" w:hAnsi="Arial" w:cs="Arial"/>
        </w:rPr>
      </w:pPr>
    </w:p>
    <w:p w14:paraId="3B106A0A" w14:textId="77777777" w:rsidR="00F90B4D" w:rsidRPr="004332E7" w:rsidRDefault="00F90B4D" w:rsidP="00F90B4D">
      <w:pPr>
        <w:rPr>
          <w:rFonts w:ascii="Arial" w:hAnsi="Arial" w:cs="Arial"/>
        </w:rPr>
      </w:pPr>
      <w:r w:rsidRPr="004332E7">
        <w:rPr>
          <w:rFonts w:ascii="Arial" w:hAnsi="Arial" w:cs="Arial"/>
        </w:rPr>
        <w:t xml:space="preserve">On 2 February MHCLG published updated statutory guidance on </w:t>
      </w:r>
      <w:r w:rsidR="00311D5F" w:rsidRPr="004332E7">
        <w:rPr>
          <w:rFonts w:ascii="Arial" w:hAnsi="Arial" w:cs="Arial"/>
        </w:rPr>
        <w:t xml:space="preserve">capital finance (on </w:t>
      </w:r>
      <w:hyperlink r:id="rId10" w:history="1">
        <w:r w:rsidR="00311D5F" w:rsidRPr="004332E7">
          <w:rPr>
            <w:rStyle w:val="Hyperlink"/>
            <w:rFonts w:ascii="Arial" w:hAnsi="Arial" w:cs="Arial"/>
          </w:rPr>
          <w:t>local government investments</w:t>
        </w:r>
      </w:hyperlink>
      <w:r w:rsidR="00311D5F" w:rsidRPr="004332E7">
        <w:rPr>
          <w:rFonts w:ascii="Arial" w:hAnsi="Arial" w:cs="Arial"/>
        </w:rPr>
        <w:t xml:space="preserve"> and on </w:t>
      </w:r>
      <w:hyperlink r:id="rId11" w:history="1">
        <w:r w:rsidR="00311D5F" w:rsidRPr="004332E7">
          <w:rPr>
            <w:rStyle w:val="Hyperlink"/>
            <w:rFonts w:ascii="Arial" w:hAnsi="Arial" w:cs="Arial"/>
          </w:rPr>
          <w:t>minimum revenue provision</w:t>
        </w:r>
      </w:hyperlink>
      <w:r w:rsidR="00311D5F" w:rsidRPr="004332E7">
        <w:rPr>
          <w:rFonts w:ascii="Arial" w:hAnsi="Arial" w:cs="Arial"/>
        </w:rPr>
        <w:t xml:space="preserve">). This followed a consultation that closed in December 2017. The Government has also published their </w:t>
      </w:r>
      <w:hyperlink r:id="rId12" w:history="1">
        <w:r w:rsidR="00311D5F" w:rsidRPr="004332E7">
          <w:rPr>
            <w:rStyle w:val="Hyperlink"/>
            <w:rFonts w:ascii="Arial" w:hAnsi="Arial" w:cs="Arial"/>
          </w:rPr>
          <w:t>response</w:t>
        </w:r>
      </w:hyperlink>
      <w:r w:rsidR="00311D5F" w:rsidRPr="004332E7">
        <w:rPr>
          <w:rFonts w:ascii="Arial" w:hAnsi="Arial" w:cs="Arial"/>
        </w:rPr>
        <w:t xml:space="preserve"> to the consultation proposed changes</w:t>
      </w:r>
      <w:r w:rsidR="00E65D3E" w:rsidRPr="004332E7">
        <w:rPr>
          <w:rFonts w:ascii="Arial" w:hAnsi="Arial" w:cs="Arial"/>
        </w:rPr>
        <w:t>. The</w:t>
      </w:r>
      <w:r w:rsidR="00311D5F" w:rsidRPr="004332E7">
        <w:rPr>
          <w:rFonts w:ascii="Arial" w:hAnsi="Arial" w:cs="Arial"/>
        </w:rPr>
        <w:t xml:space="preserve"> LGA </w:t>
      </w:r>
      <w:hyperlink r:id="rId13" w:history="1">
        <w:r w:rsidR="00311D5F" w:rsidRPr="004332E7">
          <w:rPr>
            <w:rStyle w:val="Hyperlink"/>
            <w:rFonts w:ascii="Arial" w:hAnsi="Arial" w:cs="Arial"/>
          </w:rPr>
          <w:t>responded</w:t>
        </w:r>
      </w:hyperlink>
      <w:r w:rsidR="00311D5F" w:rsidRPr="004332E7">
        <w:rPr>
          <w:rFonts w:ascii="Arial" w:hAnsi="Arial" w:cs="Arial"/>
        </w:rPr>
        <w:t xml:space="preserve"> to this consultation.</w:t>
      </w:r>
    </w:p>
    <w:p w14:paraId="7FC0E103" w14:textId="77777777" w:rsidR="00F90B4D" w:rsidRPr="004332E7" w:rsidRDefault="00F90B4D" w:rsidP="00F90B4D">
      <w:pPr>
        <w:rPr>
          <w:rFonts w:ascii="Arial" w:hAnsi="Arial" w:cs="Arial"/>
        </w:rPr>
      </w:pPr>
    </w:p>
    <w:p w14:paraId="25853910" w14:textId="77777777" w:rsidR="0056007D" w:rsidRDefault="0056007D" w:rsidP="00F90B4D">
      <w:pPr>
        <w:rPr>
          <w:rFonts w:ascii="Arial" w:hAnsi="Arial" w:cs="Arial"/>
        </w:rPr>
      </w:pPr>
      <w:r w:rsidRPr="004332E7">
        <w:rPr>
          <w:rFonts w:ascii="Arial" w:hAnsi="Arial" w:cs="Arial"/>
        </w:rPr>
        <w:t xml:space="preserve">This short note highlights the key changes from the consultation. It also highlights the main </w:t>
      </w:r>
      <w:r w:rsidR="005E7921">
        <w:rPr>
          <w:rFonts w:ascii="Arial" w:hAnsi="Arial" w:cs="Arial"/>
        </w:rPr>
        <w:t>new or revised areas of guidance.</w:t>
      </w:r>
    </w:p>
    <w:p w14:paraId="02EACFCA" w14:textId="77777777" w:rsidR="005E7921" w:rsidRDefault="005E7921" w:rsidP="00F90B4D">
      <w:pPr>
        <w:rPr>
          <w:rFonts w:ascii="Arial" w:hAnsi="Arial" w:cs="Arial"/>
        </w:rPr>
      </w:pPr>
    </w:p>
    <w:p w14:paraId="05323BF9" w14:textId="45DB1817" w:rsidR="005E7921" w:rsidRPr="004332E7" w:rsidRDefault="005E7921" w:rsidP="00F90B4D">
      <w:pPr>
        <w:rPr>
          <w:rFonts w:ascii="Arial" w:hAnsi="Arial" w:cs="Arial"/>
        </w:rPr>
      </w:pPr>
      <w:r>
        <w:rPr>
          <w:rFonts w:ascii="Arial" w:hAnsi="Arial" w:cs="Arial"/>
        </w:rPr>
        <w:t>The requirement on local authorities in relation to statutory guidance is that they are required to “have regard” to such guidance.</w:t>
      </w:r>
    </w:p>
    <w:p w14:paraId="73336CCA" w14:textId="77777777" w:rsidR="009A7F86" w:rsidRPr="004332E7" w:rsidRDefault="009A7F86" w:rsidP="00F90B4D">
      <w:pPr>
        <w:rPr>
          <w:rFonts w:ascii="Arial" w:hAnsi="Arial" w:cs="Arial"/>
        </w:rPr>
      </w:pPr>
    </w:p>
    <w:p w14:paraId="16E16E19" w14:textId="77777777" w:rsidR="009A7F86" w:rsidRPr="004332E7" w:rsidRDefault="009A7F86" w:rsidP="00F90B4D">
      <w:pPr>
        <w:rPr>
          <w:rFonts w:ascii="Arial" w:hAnsi="Arial" w:cs="Arial"/>
          <w:b/>
        </w:rPr>
      </w:pPr>
      <w:r w:rsidRPr="004332E7">
        <w:rPr>
          <w:rFonts w:ascii="Arial" w:hAnsi="Arial" w:cs="Arial"/>
          <w:b/>
        </w:rPr>
        <w:t xml:space="preserve">Investment guidance </w:t>
      </w:r>
    </w:p>
    <w:p w14:paraId="61496EDA" w14:textId="77777777" w:rsidR="009A7F86" w:rsidRPr="004332E7" w:rsidRDefault="009A7F86" w:rsidP="00F90B4D">
      <w:pPr>
        <w:rPr>
          <w:rFonts w:ascii="Arial" w:hAnsi="Arial" w:cs="Arial"/>
        </w:rPr>
      </w:pPr>
    </w:p>
    <w:p w14:paraId="592E7CC2" w14:textId="77777777" w:rsidR="009A7F86" w:rsidRPr="004332E7" w:rsidRDefault="009A7F86" w:rsidP="009A7F86">
      <w:pPr>
        <w:pStyle w:val="ListParagraph"/>
        <w:numPr>
          <w:ilvl w:val="0"/>
          <w:numId w:val="40"/>
        </w:numPr>
        <w:rPr>
          <w:rFonts w:ascii="Arial" w:hAnsi="Arial" w:cs="Arial"/>
          <w:lang w:val="en-GB"/>
        </w:rPr>
      </w:pPr>
      <w:r w:rsidRPr="004332E7">
        <w:rPr>
          <w:rFonts w:ascii="Arial" w:hAnsi="Arial" w:cs="Arial"/>
          <w:lang w:val="en-GB"/>
        </w:rPr>
        <w:t xml:space="preserve">The guidance applies from 1 April 2018, as per </w:t>
      </w:r>
      <w:r w:rsidR="00463229" w:rsidRPr="004332E7">
        <w:rPr>
          <w:rFonts w:ascii="Arial" w:hAnsi="Arial" w:cs="Arial"/>
          <w:lang w:val="en-GB"/>
        </w:rPr>
        <w:t xml:space="preserve">the </w:t>
      </w:r>
      <w:r w:rsidRPr="004332E7">
        <w:rPr>
          <w:rFonts w:ascii="Arial" w:hAnsi="Arial" w:cs="Arial"/>
          <w:lang w:val="en-GB"/>
        </w:rPr>
        <w:t>consultation.</w:t>
      </w:r>
    </w:p>
    <w:p w14:paraId="6774F6F7" w14:textId="77777777" w:rsidR="009A7F86" w:rsidRPr="004332E7" w:rsidRDefault="009A7F86" w:rsidP="009A7F86">
      <w:pPr>
        <w:pStyle w:val="ListParagraph"/>
        <w:rPr>
          <w:rFonts w:ascii="Arial" w:hAnsi="Arial" w:cs="Arial"/>
          <w:lang w:val="en-GB"/>
        </w:rPr>
      </w:pPr>
    </w:p>
    <w:p w14:paraId="0D334F6E" w14:textId="77777777" w:rsidR="009A7F86" w:rsidRPr="004332E7" w:rsidRDefault="001956F9" w:rsidP="009A7F86">
      <w:pPr>
        <w:pStyle w:val="ListParagraph"/>
        <w:numPr>
          <w:ilvl w:val="0"/>
          <w:numId w:val="40"/>
        </w:numPr>
        <w:rPr>
          <w:rFonts w:ascii="Arial" w:hAnsi="Arial" w:cs="Arial"/>
          <w:lang w:val="en-GB"/>
        </w:rPr>
      </w:pPr>
      <w:r w:rsidRPr="004332E7">
        <w:rPr>
          <w:rFonts w:ascii="Arial" w:hAnsi="Arial" w:cs="Arial"/>
          <w:lang w:val="en-GB"/>
        </w:rPr>
        <w:t xml:space="preserve">The guidance includes a new requirement for councils to prepare an investment strategy at least once a year. The format </w:t>
      </w:r>
      <w:r w:rsidR="00C136B4" w:rsidRPr="004332E7">
        <w:rPr>
          <w:rFonts w:ascii="Arial" w:hAnsi="Arial" w:cs="Arial"/>
          <w:lang w:val="en-GB"/>
        </w:rPr>
        <w:t xml:space="preserve">and presentation </w:t>
      </w:r>
      <w:r w:rsidRPr="004332E7">
        <w:rPr>
          <w:rFonts w:ascii="Arial" w:hAnsi="Arial" w:cs="Arial"/>
          <w:lang w:val="en-GB"/>
        </w:rPr>
        <w:t>of this will not be prescribed</w:t>
      </w:r>
      <w:r w:rsidR="00C136B4" w:rsidRPr="004332E7">
        <w:rPr>
          <w:rFonts w:ascii="Arial" w:hAnsi="Arial" w:cs="Arial"/>
          <w:lang w:val="en-GB"/>
        </w:rPr>
        <w:t>, so long as it is approved by full council</w:t>
      </w:r>
      <w:r w:rsidRPr="004332E7">
        <w:rPr>
          <w:rFonts w:ascii="Arial" w:hAnsi="Arial" w:cs="Arial"/>
          <w:lang w:val="en-GB"/>
        </w:rPr>
        <w:t>. Councils will be able to decide how this information is struc</w:t>
      </w:r>
      <w:r w:rsidR="00D33D59" w:rsidRPr="004332E7">
        <w:rPr>
          <w:rFonts w:ascii="Arial" w:hAnsi="Arial" w:cs="Arial"/>
          <w:lang w:val="en-GB"/>
        </w:rPr>
        <w:t xml:space="preserve">tured; it could be prepared as </w:t>
      </w:r>
      <w:r w:rsidRPr="004332E7">
        <w:rPr>
          <w:rFonts w:ascii="Arial" w:hAnsi="Arial" w:cs="Arial"/>
          <w:lang w:val="en-GB"/>
        </w:rPr>
        <w:t>p</w:t>
      </w:r>
      <w:r w:rsidR="00D33D59" w:rsidRPr="004332E7">
        <w:rPr>
          <w:rFonts w:ascii="Arial" w:hAnsi="Arial" w:cs="Arial"/>
          <w:lang w:val="en-GB"/>
        </w:rPr>
        <w:t>a</w:t>
      </w:r>
      <w:r w:rsidRPr="004332E7">
        <w:rPr>
          <w:rFonts w:ascii="Arial" w:hAnsi="Arial" w:cs="Arial"/>
          <w:lang w:val="en-GB"/>
        </w:rPr>
        <w:t xml:space="preserve">rt of </w:t>
      </w:r>
      <w:r w:rsidR="00C136B4" w:rsidRPr="004332E7">
        <w:rPr>
          <w:rFonts w:ascii="Arial" w:hAnsi="Arial" w:cs="Arial"/>
          <w:lang w:val="en-GB"/>
        </w:rPr>
        <w:t xml:space="preserve">another document such as the </w:t>
      </w:r>
      <w:r w:rsidRPr="004332E7">
        <w:rPr>
          <w:rFonts w:ascii="Arial" w:hAnsi="Arial" w:cs="Arial"/>
          <w:lang w:val="en-GB"/>
        </w:rPr>
        <w:t>capital strategy or the treasury management strategy, for example.</w:t>
      </w:r>
    </w:p>
    <w:p w14:paraId="047ADF72" w14:textId="77777777" w:rsidR="001956F9" w:rsidRPr="004332E7" w:rsidRDefault="001956F9" w:rsidP="001956F9">
      <w:pPr>
        <w:pStyle w:val="ListParagraph"/>
        <w:rPr>
          <w:rFonts w:ascii="Arial" w:hAnsi="Arial" w:cs="Arial"/>
          <w:lang w:val="en-GB"/>
        </w:rPr>
      </w:pPr>
    </w:p>
    <w:p w14:paraId="78DAB987" w14:textId="5153579B" w:rsidR="001956F9" w:rsidRPr="004332E7" w:rsidRDefault="001956F9" w:rsidP="009A7F86">
      <w:pPr>
        <w:pStyle w:val="ListParagraph"/>
        <w:numPr>
          <w:ilvl w:val="0"/>
          <w:numId w:val="40"/>
        </w:numPr>
        <w:rPr>
          <w:rFonts w:ascii="Arial" w:hAnsi="Arial" w:cs="Arial"/>
          <w:lang w:val="en-GB"/>
        </w:rPr>
      </w:pPr>
      <w:r w:rsidRPr="004332E7">
        <w:rPr>
          <w:rFonts w:ascii="Arial" w:hAnsi="Arial" w:cs="Arial"/>
          <w:lang w:val="en-GB"/>
        </w:rPr>
        <w:t xml:space="preserve">Councils will be required </w:t>
      </w:r>
      <w:r w:rsidR="002D7ABE" w:rsidRPr="004332E7">
        <w:rPr>
          <w:rFonts w:ascii="Arial" w:hAnsi="Arial" w:cs="Arial"/>
          <w:lang w:val="en-GB"/>
        </w:rPr>
        <w:t xml:space="preserve">to </w:t>
      </w:r>
      <w:r w:rsidRPr="004332E7">
        <w:rPr>
          <w:rFonts w:ascii="Arial" w:hAnsi="Arial" w:cs="Arial"/>
          <w:lang w:val="en-GB"/>
        </w:rPr>
        <w:t>disclose the contribution</w:t>
      </w:r>
      <w:bookmarkStart w:id="0" w:name="_GoBack"/>
      <w:bookmarkEnd w:id="0"/>
      <w:r w:rsidRPr="004332E7">
        <w:rPr>
          <w:rFonts w:ascii="Arial" w:hAnsi="Arial" w:cs="Arial"/>
          <w:lang w:val="en-GB"/>
        </w:rPr>
        <w:t xml:space="preserve"> that investments </w:t>
      </w:r>
      <w:r w:rsidR="00D33D59" w:rsidRPr="004332E7">
        <w:rPr>
          <w:rFonts w:ascii="Arial" w:hAnsi="Arial" w:cs="Arial"/>
          <w:lang w:val="en-GB"/>
        </w:rPr>
        <w:t xml:space="preserve">make “towards the service delivery objectives and / or place making role of the local authority”. This is an improvement on the proposal in the consultation which was for </w:t>
      </w:r>
      <w:r w:rsidR="003623F3" w:rsidRPr="004332E7">
        <w:rPr>
          <w:rFonts w:ascii="Arial" w:hAnsi="Arial" w:cs="Arial"/>
          <w:lang w:val="en-GB"/>
        </w:rPr>
        <w:t xml:space="preserve">identifying </w:t>
      </w:r>
      <w:r w:rsidR="002D7ABE" w:rsidRPr="004332E7">
        <w:rPr>
          <w:rFonts w:ascii="Arial" w:hAnsi="Arial" w:cs="Arial"/>
          <w:lang w:val="en-GB"/>
        </w:rPr>
        <w:t>the</w:t>
      </w:r>
      <w:r w:rsidR="00D33D59" w:rsidRPr="004332E7">
        <w:rPr>
          <w:rFonts w:ascii="Arial" w:hAnsi="Arial" w:cs="Arial"/>
          <w:lang w:val="en-GB"/>
        </w:rPr>
        <w:t xml:space="preserve"> contribution towards “core functions”.</w:t>
      </w:r>
      <w:r w:rsidR="00000401" w:rsidRPr="004332E7">
        <w:rPr>
          <w:rFonts w:ascii="Arial" w:hAnsi="Arial" w:cs="Arial"/>
          <w:lang w:val="en-GB"/>
        </w:rPr>
        <w:t xml:space="preserve">  </w:t>
      </w:r>
      <w:r w:rsidR="00C136B4" w:rsidRPr="004332E7">
        <w:rPr>
          <w:rFonts w:ascii="Arial" w:hAnsi="Arial" w:cs="Arial"/>
          <w:lang w:val="en-GB"/>
        </w:rPr>
        <w:t xml:space="preserve">It is not clear where this </w:t>
      </w:r>
      <w:r w:rsidR="00000401" w:rsidRPr="004332E7">
        <w:rPr>
          <w:rFonts w:ascii="Arial" w:hAnsi="Arial" w:cs="Arial"/>
          <w:lang w:val="en-GB"/>
        </w:rPr>
        <w:t>disclosure</w:t>
      </w:r>
      <w:r w:rsidR="00C136B4" w:rsidRPr="004332E7">
        <w:rPr>
          <w:rFonts w:ascii="Arial" w:hAnsi="Arial" w:cs="Arial"/>
          <w:lang w:val="en-GB"/>
        </w:rPr>
        <w:t xml:space="preserve"> will need to be made; presumably it could be part of the investment </w:t>
      </w:r>
      <w:r w:rsidR="00000401" w:rsidRPr="004332E7">
        <w:rPr>
          <w:rFonts w:ascii="Arial" w:hAnsi="Arial" w:cs="Arial"/>
          <w:lang w:val="en-GB"/>
        </w:rPr>
        <w:t>strategy</w:t>
      </w:r>
    </w:p>
    <w:p w14:paraId="7A0C7B2E" w14:textId="77777777" w:rsidR="00D33D59" w:rsidRPr="004332E7" w:rsidRDefault="00D33D59" w:rsidP="00D33D59">
      <w:pPr>
        <w:pStyle w:val="ListParagraph"/>
        <w:rPr>
          <w:rFonts w:ascii="Arial" w:hAnsi="Arial" w:cs="Arial"/>
          <w:lang w:val="en-GB"/>
        </w:rPr>
      </w:pPr>
    </w:p>
    <w:p w14:paraId="4BDE9FC0" w14:textId="77777777" w:rsidR="00D33D59" w:rsidRPr="004332E7" w:rsidRDefault="001E4AB1" w:rsidP="009A7F86">
      <w:pPr>
        <w:pStyle w:val="ListParagraph"/>
        <w:numPr>
          <w:ilvl w:val="0"/>
          <w:numId w:val="40"/>
        </w:numPr>
        <w:rPr>
          <w:rFonts w:ascii="Arial" w:hAnsi="Arial" w:cs="Arial"/>
          <w:lang w:val="en-GB"/>
        </w:rPr>
      </w:pPr>
      <w:r w:rsidRPr="004332E7">
        <w:rPr>
          <w:rFonts w:ascii="Arial" w:hAnsi="Arial" w:cs="Arial"/>
          <w:lang w:val="en-GB"/>
        </w:rPr>
        <w:t>As part of the disclosure process referred to above, c</w:t>
      </w:r>
      <w:r w:rsidR="00D33D59" w:rsidRPr="004332E7">
        <w:rPr>
          <w:rFonts w:ascii="Arial" w:hAnsi="Arial" w:cs="Arial"/>
          <w:lang w:val="en-GB"/>
        </w:rPr>
        <w:t xml:space="preserve">ouncils will be required to include indicators that </w:t>
      </w:r>
      <w:r w:rsidR="00552CA9" w:rsidRPr="004332E7">
        <w:rPr>
          <w:rFonts w:ascii="Arial" w:hAnsi="Arial" w:cs="Arial"/>
          <w:lang w:val="en-GB"/>
        </w:rPr>
        <w:t>enable council</w:t>
      </w:r>
      <w:r w:rsidR="002D7ABE" w:rsidRPr="004332E7">
        <w:rPr>
          <w:rFonts w:ascii="Arial" w:hAnsi="Arial" w:cs="Arial"/>
          <w:lang w:val="en-GB"/>
        </w:rPr>
        <w:t>l</w:t>
      </w:r>
      <w:r w:rsidR="00552CA9" w:rsidRPr="004332E7">
        <w:rPr>
          <w:rFonts w:ascii="Arial" w:hAnsi="Arial" w:cs="Arial"/>
          <w:lang w:val="en-GB"/>
        </w:rPr>
        <w:t>ors and the public to assess the</w:t>
      </w:r>
      <w:r w:rsidR="002D7ABE" w:rsidRPr="004332E7">
        <w:rPr>
          <w:rFonts w:ascii="Arial" w:hAnsi="Arial" w:cs="Arial"/>
          <w:lang w:val="en-GB"/>
        </w:rPr>
        <w:t xml:space="preserve"> authority’s</w:t>
      </w:r>
      <w:r w:rsidR="00552CA9" w:rsidRPr="004332E7">
        <w:rPr>
          <w:rFonts w:ascii="Arial" w:hAnsi="Arial" w:cs="Arial"/>
          <w:lang w:val="en-GB"/>
        </w:rPr>
        <w:t xml:space="preserve"> investments and the decisions taken. Th</w:t>
      </w:r>
      <w:r w:rsidR="007C630E" w:rsidRPr="004332E7">
        <w:rPr>
          <w:rFonts w:ascii="Arial" w:hAnsi="Arial" w:cs="Arial"/>
          <w:lang w:val="en-GB"/>
        </w:rPr>
        <w:t>e</w:t>
      </w:r>
      <w:r w:rsidR="00552CA9" w:rsidRPr="004332E7">
        <w:rPr>
          <w:rFonts w:ascii="Arial" w:hAnsi="Arial" w:cs="Arial"/>
          <w:lang w:val="en-GB"/>
        </w:rPr>
        <w:t xml:space="preserve"> fi</w:t>
      </w:r>
      <w:r w:rsidR="007C630E" w:rsidRPr="004332E7">
        <w:rPr>
          <w:rFonts w:ascii="Arial" w:hAnsi="Arial" w:cs="Arial"/>
          <w:lang w:val="en-GB"/>
        </w:rPr>
        <w:t xml:space="preserve">nal guidance does not </w:t>
      </w:r>
      <w:r w:rsidR="00C5047B" w:rsidRPr="004332E7">
        <w:rPr>
          <w:rFonts w:ascii="Arial" w:hAnsi="Arial" w:cs="Arial"/>
          <w:lang w:val="en-GB"/>
        </w:rPr>
        <w:t>require</w:t>
      </w:r>
      <w:r w:rsidR="00C136B4" w:rsidRPr="004332E7">
        <w:rPr>
          <w:rFonts w:ascii="Arial" w:hAnsi="Arial" w:cs="Arial"/>
          <w:lang w:val="en-GB"/>
        </w:rPr>
        <w:t xml:space="preserve"> that all councils produce the same indicators </w:t>
      </w:r>
      <w:r w:rsidR="004332E7" w:rsidRPr="004332E7">
        <w:rPr>
          <w:rFonts w:ascii="Arial" w:hAnsi="Arial" w:cs="Arial"/>
          <w:lang w:val="en-GB"/>
        </w:rPr>
        <w:t>to enable</w:t>
      </w:r>
      <w:r w:rsidR="00C5047B" w:rsidRPr="004332E7">
        <w:rPr>
          <w:rFonts w:ascii="Arial" w:hAnsi="Arial" w:cs="Arial"/>
          <w:lang w:val="en-GB"/>
        </w:rPr>
        <w:t xml:space="preserve"> inter authority comparisons</w:t>
      </w:r>
      <w:r w:rsidR="00C136B4" w:rsidRPr="004332E7">
        <w:rPr>
          <w:rFonts w:ascii="Arial" w:hAnsi="Arial" w:cs="Arial"/>
          <w:lang w:val="en-GB"/>
        </w:rPr>
        <w:t xml:space="preserve"> (benchmarking)</w:t>
      </w:r>
      <w:r w:rsidR="00C5047B" w:rsidRPr="004332E7">
        <w:rPr>
          <w:rFonts w:ascii="Arial" w:hAnsi="Arial" w:cs="Arial"/>
          <w:lang w:val="en-GB"/>
        </w:rPr>
        <w:t>.</w:t>
      </w:r>
      <w:r w:rsidR="007C630E" w:rsidRPr="004332E7">
        <w:rPr>
          <w:rFonts w:ascii="Arial" w:hAnsi="Arial" w:cs="Arial"/>
          <w:lang w:val="en-GB"/>
        </w:rPr>
        <w:t xml:space="preserve"> This is an improvement on the consultation and is in line with our response which </w:t>
      </w:r>
      <w:r w:rsidRPr="004332E7">
        <w:rPr>
          <w:rFonts w:ascii="Arial" w:hAnsi="Arial" w:cs="Arial"/>
          <w:lang w:val="en-GB"/>
        </w:rPr>
        <w:t xml:space="preserve">raised </w:t>
      </w:r>
      <w:r w:rsidR="007C630E" w:rsidRPr="004332E7">
        <w:rPr>
          <w:rFonts w:ascii="Arial" w:hAnsi="Arial" w:cs="Arial"/>
          <w:lang w:val="en-GB"/>
        </w:rPr>
        <w:t>concern</w:t>
      </w:r>
      <w:r w:rsidRPr="004332E7">
        <w:rPr>
          <w:rFonts w:ascii="Arial" w:hAnsi="Arial" w:cs="Arial"/>
          <w:lang w:val="en-GB"/>
        </w:rPr>
        <w:t>s</w:t>
      </w:r>
      <w:r w:rsidR="007C630E" w:rsidRPr="004332E7">
        <w:rPr>
          <w:rFonts w:ascii="Arial" w:hAnsi="Arial" w:cs="Arial"/>
          <w:lang w:val="en-GB"/>
        </w:rPr>
        <w:t xml:space="preserve"> that what had been proposed would have been a significant burden.</w:t>
      </w:r>
    </w:p>
    <w:p w14:paraId="36A37552" w14:textId="77777777" w:rsidR="007C630E" w:rsidRPr="004332E7" w:rsidRDefault="007C630E" w:rsidP="007C630E">
      <w:pPr>
        <w:pStyle w:val="ListParagraph"/>
        <w:rPr>
          <w:rFonts w:ascii="Arial" w:hAnsi="Arial" w:cs="Arial"/>
          <w:lang w:val="en-GB"/>
        </w:rPr>
      </w:pPr>
    </w:p>
    <w:p w14:paraId="37D8AC32" w14:textId="77777777" w:rsidR="008C1D9D" w:rsidRPr="004332E7" w:rsidRDefault="00C5047B" w:rsidP="00C5047B">
      <w:pPr>
        <w:pStyle w:val="ListParagraph"/>
        <w:numPr>
          <w:ilvl w:val="0"/>
          <w:numId w:val="40"/>
        </w:numPr>
        <w:rPr>
          <w:rFonts w:ascii="Arial" w:hAnsi="Arial" w:cs="Arial"/>
          <w:lang w:val="en-GB"/>
        </w:rPr>
      </w:pPr>
      <w:r w:rsidRPr="004332E7">
        <w:rPr>
          <w:rFonts w:ascii="Arial" w:hAnsi="Arial" w:cs="Arial"/>
          <w:lang w:val="en-GB"/>
        </w:rPr>
        <w:t>However, the informal commentary published alongside the guidance does specify indicators, including two n</w:t>
      </w:r>
      <w:r w:rsidR="007C630E" w:rsidRPr="004332E7">
        <w:rPr>
          <w:rFonts w:ascii="Arial" w:hAnsi="Arial" w:cs="Arial"/>
          <w:lang w:val="en-GB"/>
        </w:rPr>
        <w:t>ew indicator</w:t>
      </w:r>
      <w:r w:rsidRPr="004332E7">
        <w:rPr>
          <w:rFonts w:ascii="Arial" w:hAnsi="Arial" w:cs="Arial"/>
          <w:lang w:val="en-GB"/>
        </w:rPr>
        <w:t>s</w:t>
      </w:r>
      <w:r w:rsidR="007C630E" w:rsidRPr="004332E7">
        <w:rPr>
          <w:rFonts w:ascii="Arial" w:hAnsi="Arial" w:cs="Arial"/>
          <w:lang w:val="en-GB"/>
        </w:rPr>
        <w:t xml:space="preserve"> </w:t>
      </w:r>
      <w:r w:rsidRPr="004332E7">
        <w:rPr>
          <w:rFonts w:ascii="Arial" w:hAnsi="Arial" w:cs="Arial"/>
          <w:lang w:val="en-GB"/>
        </w:rPr>
        <w:t xml:space="preserve">that measure gross debt as a percentage of net service expenditure and commercial income as a percentage of net service expenditure. </w:t>
      </w:r>
      <w:r w:rsidR="008C1D9D" w:rsidRPr="004332E7">
        <w:rPr>
          <w:rFonts w:ascii="Arial" w:hAnsi="Arial" w:cs="Arial"/>
          <w:lang w:val="en-GB"/>
        </w:rPr>
        <w:t>The intention of the informal commentary is to direct councils to produce these set indicators; however, the actual statutory guidance does allow councils the flexibility to specify what indicators they want to publish, provided they allow consistent comparison between years within the authority.</w:t>
      </w:r>
    </w:p>
    <w:p w14:paraId="0E52D91A" w14:textId="77777777" w:rsidR="008C1D9D" w:rsidRPr="004332E7" w:rsidRDefault="008C1D9D" w:rsidP="002E6871">
      <w:pPr>
        <w:pStyle w:val="ListParagraph"/>
        <w:rPr>
          <w:rFonts w:ascii="Arial" w:hAnsi="Arial" w:cs="Arial"/>
          <w:lang w:val="en-GB"/>
        </w:rPr>
      </w:pPr>
    </w:p>
    <w:p w14:paraId="1B5F733E" w14:textId="77777777" w:rsidR="00C136B4" w:rsidRPr="004332E7" w:rsidRDefault="008C1D9D" w:rsidP="00C5047B">
      <w:pPr>
        <w:pStyle w:val="ListParagraph"/>
        <w:numPr>
          <w:ilvl w:val="0"/>
          <w:numId w:val="40"/>
        </w:numPr>
        <w:rPr>
          <w:rFonts w:ascii="Arial" w:hAnsi="Arial" w:cs="Arial"/>
          <w:lang w:val="en-GB"/>
        </w:rPr>
      </w:pPr>
      <w:r w:rsidRPr="004332E7">
        <w:rPr>
          <w:rFonts w:ascii="Arial" w:hAnsi="Arial" w:cs="Arial"/>
          <w:lang w:val="en-GB"/>
        </w:rPr>
        <w:t>L</w:t>
      </w:r>
      <w:r w:rsidR="00C91F7E" w:rsidRPr="004332E7">
        <w:rPr>
          <w:rFonts w:ascii="Arial" w:hAnsi="Arial" w:cs="Arial"/>
          <w:lang w:val="en-GB"/>
        </w:rPr>
        <w:t xml:space="preserve">ocal authorities will have to set limits for these indicators </w:t>
      </w:r>
      <w:r w:rsidRPr="004332E7">
        <w:rPr>
          <w:rFonts w:ascii="Arial" w:hAnsi="Arial" w:cs="Arial"/>
          <w:lang w:val="en-GB"/>
        </w:rPr>
        <w:t xml:space="preserve">of gross debt and commercial income as a percentage of net service indicator </w:t>
      </w:r>
      <w:r w:rsidR="00C91F7E" w:rsidRPr="004332E7">
        <w:rPr>
          <w:rFonts w:ascii="Arial" w:hAnsi="Arial" w:cs="Arial"/>
          <w:lang w:val="en-GB"/>
        </w:rPr>
        <w:t>that cannot be exce</w:t>
      </w:r>
      <w:r w:rsidR="00B57F7F" w:rsidRPr="004332E7">
        <w:rPr>
          <w:rFonts w:ascii="Arial" w:hAnsi="Arial" w:cs="Arial"/>
          <w:lang w:val="en-GB"/>
        </w:rPr>
        <w:t>e</w:t>
      </w:r>
      <w:r w:rsidR="00C91F7E" w:rsidRPr="004332E7">
        <w:rPr>
          <w:rFonts w:ascii="Arial" w:hAnsi="Arial" w:cs="Arial"/>
          <w:lang w:val="en-GB"/>
        </w:rPr>
        <w:t>ded.</w:t>
      </w:r>
      <w:r w:rsidR="007D3DBF" w:rsidRPr="004332E7">
        <w:rPr>
          <w:rFonts w:ascii="Arial" w:hAnsi="Arial" w:cs="Arial"/>
          <w:lang w:val="en-GB"/>
        </w:rPr>
        <w:t xml:space="preserve"> It is not clear how this will work in practice.</w:t>
      </w:r>
      <w:r w:rsidR="00C136B4" w:rsidRPr="004332E7">
        <w:rPr>
          <w:rFonts w:ascii="Arial" w:hAnsi="Arial" w:cs="Arial"/>
          <w:lang w:val="en-GB"/>
        </w:rPr>
        <w:t xml:space="preserve"> </w:t>
      </w:r>
      <w:r w:rsidR="0018758D" w:rsidRPr="004332E7">
        <w:rPr>
          <w:rFonts w:ascii="Arial" w:hAnsi="Arial" w:cs="Arial"/>
          <w:lang w:val="en-GB"/>
        </w:rPr>
        <w:t xml:space="preserve"> It is clear from the </w:t>
      </w:r>
      <w:r w:rsidR="00BA69CB" w:rsidRPr="004332E7">
        <w:rPr>
          <w:rFonts w:ascii="Arial" w:hAnsi="Arial" w:cs="Arial"/>
          <w:lang w:val="en-GB"/>
        </w:rPr>
        <w:t xml:space="preserve">commentary that if the authority finds that it </w:t>
      </w:r>
      <w:r w:rsidR="0018758D" w:rsidRPr="004332E7">
        <w:rPr>
          <w:rFonts w:ascii="Arial" w:hAnsi="Arial" w:cs="Arial"/>
          <w:lang w:val="en-GB"/>
        </w:rPr>
        <w:t>currently</w:t>
      </w:r>
      <w:r w:rsidR="00BA69CB" w:rsidRPr="004332E7">
        <w:rPr>
          <w:rFonts w:ascii="Arial" w:hAnsi="Arial" w:cs="Arial"/>
          <w:lang w:val="en-GB"/>
        </w:rPr>
        <w:t xml:space="preserve"> exceed</w:t>
      </w:r>
      <w:r w:rsidR="0018758D" w:rsidRPr="004332E7">
        <w:rPr>
          <w:rFonts w:ascii="Arial" w:hAnsi="Arial" w:cs="Arial"/>
          <w:lang w:val="en-GB"/>
        </w:rPr>
        <w:t>s</w:t>
      </w:r>
      <w:r w:rsidR="00BA69CB" w:rsidRPr="004332E7">
        <w:rPr>
          <w:rFonts w:ascii="Arial" w:hAnsi="Arial" w:cs="Arial"/>
          <w:lang w:val="en-GB"/>
        </w:rPr>
        <w:t xml:space="preserve"> the limits it </w:t>
      </w:r>
      <w:r w:rsidR="002E6871" w:rsidRPr="004332E7">
        <w:rPr>
          <w:rFonts w:ascii="Arial" w:hAnsi="Arial" w:cs="Arial"/>
          <w:lang w:val="en-GB"/>
        </w:rPr>
        <w:t xml:space="preserve">has </w:t>
      </w:r>
      <w:r w:rsidR="00BA69CB" w:rsidRPr="004332E7">
        <w:rPr>
          <w:rFonts w:ascii="Arial" w:hAnsi="Arial" w:cs="Arial"/>
          <w:lang w:val="en-GB"/>
        </w:rPr>
        <w:t>set for itself as described above, it will not need to dispose of investments currently held in order to meet those limits.</w:t>
      </w:r>
    </w:p>
    <w:p w14:paraId="37D4DF3A" w14:textId="77777777" w:rsidR="00B57F7F" w:rsidRPr="004332E7" w:rsidRDefault="00B57F7F" w:rsidP="00B57F7F">
      <w:pPr>
        <w:pStyle w:val="ListParagraph"/>
        <w:rPr>
          <w:rFonts w:ascii="Arial" w:hAnsi="Arial" w:cs="Arial"/>
          <w:lang w:val="en-GB"/>
        </w:rPr>
      </w:pPr>
    </w:p>
    <w:p w14:paraId="7C847568" w14:textId="77777777" w:rsidR="00B57F7F" w:rsidRDefault="001E4AB1" w:rsidP="00C5047B">
      <w:pPr>
        <w:pStyle w:val="ListParagraph"/>
        <w:numPr>
          <w:ilvl w:val="0"/>
          <w:numId w:val="40"/>
        </w:numPr>
        <w:rPr>
          <w:rFonts w:ascii="Arial" w:hAnsi="Arial" w:cs="Arial"/>
          <w:lang w:val="en-GB"/>
        </w:rPr>
      </w:pPr>
      <w:r w:rsidRPr="004332E7">
        <w:rPr>
          <w:rFonts w:ascii="Arial" w:hAnsi="Arial" w:cs="Arial"/>
          <w:lang w:val="en-GB"/>
        </w:rPr>
        <w:t xml:space="preserve">Under the </w:t>
      </w:r>
      <w:r w:rsidR="00B57F7F" w:rsidRPr="004332E7">
        <w:rPr>
          <w:rFonts w:ascii="Arial" w:hAnsi="Arial" w:cs="Arial"/>
          <w:lang w:val="en-GB"/>
        </w:rPr>
        <w:t xml:space="preserve">guidance councils may not “borrow in advance of need” to profit from </w:t>
      </w:r>
      <w:r w:rsidR="007D3DBF" w:rsidRPr="004332E7">
        <w:rPr>
          <w:rFonts w:ascii="Arial" w:hAnsi="Arial" w:cs="Arial"/>
          <w:lang w:val="en-GB"/>
        </w:rPr>
        <w:t>the investment of the sums borrowed. This is not new. What is new is that this will apply to non</w:t>
      </w:r>
      <w:r w:rsidRPr="004332E7">
        <w:rPr>
          <w:rFonts w:ascii="Arial" w:hAnsi="Arial" w:cs="Arial"/>
          <w:lang w:val="en-GB"/>
        </w:rPr>
        <w:t>-</w:t>
      </w:r>
      <w:r w:rsidR="007D3DBF" w:rsidRPr="004332E7">
        <w:rPr>
          <w:rFonts w:ascii="Arial" w:hAnsi="Arial" w:cs="Arial"/>
          <w:lang w:val="en-GB"/>
        </w:rPr>
        <w:t>financial investments (e</w:t>
      </w:r>
      <w:r w:rsidR="002D7ABE" w:rsidRPr="004332E7">
        <w:rPr>
          <w:rFonts w:ascii="Arial" w:hAnsi="Arial" w:cs="Arial"/>
          <w:lang w:val="en-GB"/>
        </w:rPr>
        <w:t>.</w:t>
      </w:r>
      <w:r w:rsidR="007D3DBF" w:rsidRPr="004332E7">
        <w:rPr>
          <w:rFonts w:ascii="Arial" w:hAnsi="Arial" w:cs="Arial"/>
          <w:lang w:val="en-GB"/>
        </w:rPr>
        <w:t>g</w:t>
      </w:r>
      <w:r w:rsidR="002D7ABE" w:rsidRPr="004332E7">
        <w:rPr>
          <w:rFonts w:ascii="Arial" w:hAnsi="Arial" w:cs="Arial"/>
          <w:lang w:val="en-GB"/>
        </w:rPr>
        <w:t>.</w:t>
      </w:r>
      <w:r w:rsidR="007D3DBF" w:rsidRPr="004332E7">
        <w:rPr>
          <w:rFonts w:ascii="Arial" w:hAnsi="Arial" w:cs="Arial"/>
          <w:lang w:val="en-GB"/>
        </w:rPr>
        <w:t xml:space="preserve"> investment in commercial property that is solely commercial) rather than just financial investments</w:t>
      </w:r>
      <w:r w:rsidR="00BA69CB" w:rsidRPr="004332E7">
        <w:rPr>
          <w:rFonts w:ascii="Arial" w:hAnsi="Arial" w:cs="Arial"/>
          <w:lang w:val="en-GB"/>
        </w:rPr>
        <w:t xml:space="preserve"> (this can be understood by cross referring all parts of the prudential framework, including the two Cipfa codes)</w:t>
      </w:r>
      <w:r w:rsidR="007D3DBF" w:rsidRPr="004332E7">
        <w:rPr>
          <w:rFonts w:ascii="Arial" w:hAnsi="Arial" w:cs="Arial"/>
          <w:lang w:val="en-GB"/>
        </w:rPr>
        <w:t>. In the past, investments in commercial property would have counted solely as capital expenditure and so could have been funded from borrowing; now this will only apply where the council can justify that the investment is not wholly commercial.</w:t>
      </w:r>
    </w:p>
    <w:p w14:paraId="0098FF9C" w14:textId="77777777" w:rsidR="005E7921" w:rsidRPr="005E7921" w:rsidRDefault="005E7921" w:rsidP="005E7921">
      <w:pPr>
        <w:pStyle w:val="ListParagraph"/>
        <w:rPr>
          <w:rFonts w:ascii="Arial" w:hAnsi="Arial" w:cs="Arial"/>
          <w:lang w:val="en-GB"/>
        </w:rPr>
      </w:pPr>
    </w:p>
    <w:p w14:paraId="0892BBA6" w14:textId="77777777" w:rsidR="005E7921" w:rsidRPr="004332E7" w:rsidRDefault="005E7921" w:rsidP="00C5047B">
      <w:pPr>
        <w:pStyle w:val="ListParagraph"/>
        <w:numPr>
          <w:ilvl w:val="0"/>
          <w:numId w:val="40"/>
        </w:numPr>
        <w:rPr>
          <w:rFonts w:ascii="Arial" w:hAnsi="Arial" w:cs="Arial"/>
          <w:lang w:val="en-GB"/>
        </w:rPr>
      </w:pPr>
      <w:r>
        <w:rPr>
          <w:rFonts w:ascii="Arial" w:hAnsi="Arial" w:cs="Arial"/>
          <w:lang w:val="en-GB"/>
        </w:rPr>
        <w:t>Where a council chooses to disregard the Prudential code and this guidance, its investment strategy should set out why this is the case and what the councils relevant policies are.</w:t>
      </w:r>
    </w:p>
    <w:p w14:paraId="003576B9" w14:textId="77777777" w:rsidR="00F90B4D" w:rsidRPr="004332E7" w:rsidRDefault="00F90B4D" w:rsidP="00F90B4D">
      <w:pPr>
        <w:rPr>
          <w:rFonts w:ascii="Arial" w:hAnsi="Arial" w:cs="Arial"/>
        </w:rPr>
      </w:pPr>
    </w:p>
    <w:p w14:paraId="1E1844A7" w14:textId="77777777" w:rsidR="00F90B4D" w:rsidRPr="004332E7" w:rsidRDefault="007D3DBF" w:rsidP="00F90B4D">
      <w:pPr>
        <w:rPr>
          <w:rFonts w:ascii="Arial" w:hAnsi="Arial" w:cs="Arial"/>
          <w:b/>
        </w:rPr>
      </w:pPr>
      <w:r w:rsidRPr="004332E7">
        <w:rPr>
          <w:rFonts w:ascii="Arial" w:hAnsi="Arial" w:cs="Arial"/>
          <w:b/>
        </w:rPr>
        <w:t>Minimum Revenue Provision</w:t>
      </w:r>
      <w:r w:rsidR="000E6CB4" w:rsidRPr="004332E7">
        <w:rPr>
          <w:rFonts w:ascii="Arial" w:hAnsi="Arial" w:cs="Arial"/>
          <w:b/>
        </w:rPr>
        <w:t xml:space="preserve"> (MRP)</w:t>
      </w:r>
    </w:p>
    <w:p w14:paraId="240E87A9" w14:textId="77777777" w:rsidR="007D3DBF" w:rsidRPr="004332E7" w:rsidRDefault="007D3DBF" w:rsidP="00F90B4D">
      <w:pPr>
        <w:rPr>
          <w:rFonts w:ascii="Arial" w:hAnsi="Arial" w:cs="Arial"/>
        </w:rPr>
      </w:pPr>
    </w:p>
    <w:p w14:paraId="5C772576" w14:textId="77777777" w:rsidR="002F6428" w:rsidRPr="004332E7" w:rsidRDefault="002F6428" w:rsidP="007D3DBF">
      <w:pPr>
        <w:pStyle w:val="ListParagraph"/>
        <w:numPr>
          <w:ilvl w:val="0"/>
          <w:numId w:val="41"/>
        </w:numPr>
        <w:rPr>
          <w:rFonts w:ascii="Arial" w:hAnsi="Arial" w:cs="Arial"/>
          <w:lang w:val="en-GB"/>
        </w:rPr>
      </w:pPr>
      <w:r w:rsidRPr="004332E7">
        <w:rPr>
          <w:rFonts w:ascii="Arial" w:hAnsi="Arial" w:cs="Arial"/>
          <w:lang w:val="en-GB"/>
        </w:rPr>
        <w:t xml:space="preserve">Minimum Revenue Provision (MRP) is the calculated annual charge to the revenue account </w:t>
      </w:r>
      <w:r w:rsidR="00E65D3E" w:rsidRPr="004332E7">
        <w:rPr>
          <w:rFonts w:ascii="Arial" w:hAnsi="Arial" w:cs="Arial"/>
          <w:lang w:val="en-GB"/>
        </w:rPr>
        <w:t>of</w:t>
      </w:r>
      <w:r w:rsidRPr="004332E7">
        <w:rPr>
          <w:rFonts w:ascii="Arial" w:hAnsi="Arial" w:cs="Arial"/>
          <w:lang w:val="en-GB"/>
        </w:rPr>
        <w:t xml:space="preserve"> provision to repay debt incurred in respect of capital expenditure financed by borrowing or other long term credit arrangements (such as PFI).</w:t>
      </w:r>
    </w:p>
    <w:p w14:paraId="61E517DD" w14:textId="77777777" w:rsidR="002F6428" w:rsidRPr="004332E7" w:rsidRDefault="002F6428" w:rsidP="008C1D9D">
      <w:pPr>
        <w:pStyle w:val="ListParagraph"/>
        <w:rPr>
          <w:rFonts w:ascii="Arial" w:hAnsi="Arial" w:cs="Arial"/>
          <w:lang w:val="en-GB"/>
        </w:rPr>
      </w:pPr>
    </w:p>
    <w:p w14:paraId="2CD16256" w14:textId="77777777" w:rsidR="007D3DBF" w:rsidRPr="004332E7" w:rsidRDefault="002D7ABE" w:rsidP="007D3DBF">
      <w:pPr>
        <w:pStyle w:val="ListParagraph"/>
        <w:numPr>
          <w:ilvl w:val="0"/>
          <w:numId w:val="41"/>
        </w:numPr>
        <w:rPr>
          <w:rFonts w:ascii="Arial" w:hAnsi="Arial" w:cs="Arial"/>
          <w:lang w:val="en-GB"/>
        </w:rPr>
      </w:pPr>
      <w:r w:rsidRPr="004332E7">
        <w:rPr>
          <w:rFonts w:ascii="Arial" w:hAnsi="Arial" w:cs="Arial"/>
          <w:lang w:val="en-GB"/>
        </w:rPr>
        <w:t>The k</w:t>
      </w:r>
      <w:r w:rsidR="000E6CB4" w:rsidRPr="004332E7">
        <w:rPr>
          <w:rFonts w:ascii="Arial" w:hAnsi="Arial" w:cs="Arial"/>
          <w:lang w:val="en-GB"/>
        </w:rPr>
        <w:t xml:space="preserve">ey change is that the Guidance will not be implemented in full until </w:t>
      </w:r>
      <w:r w:rsidR="00BA69CB" w:rsidRPr="004332E7">
        <w:rPr>
          <w:rFonts w:ascii="Arial" w:hAnsi="Arial" w:cs="Arial"/>
          <w:lang w:val="en-GB"/>
        </w:rPr>
        <w:t>2019/20</w:t>
      </w:r>
      <w:r w:rsidR="000E6CB4" w:rsidRPr="004332E7">
        <w:rPr>
          <w:rFonts w:ascii="Arial" w:hAnsi="Arial" w:cs="Arial"/>
          <w:lang w:val="en-GB"/>
        </w:rPr>
        <w:t>. This was something we called for very clearly as 2018/19 implementation would cause problems.</w:t>
      </w:r>
    </w:p>
    <w:p w14:paraId="77B64A0A" w14:textId="77777777" w:rsidR="000E6CB4" w:rsidRPr="004332E7" w:rsidRDefault="000E6CB4" w:rsidP="000E6CB4">
      <w:pPr>
        <w:pStyle w:val="ListParagraph"/>
        <w:rPr>
          <w:rFonts w:ascii="Arial" w:hAnsi="Arial" w:cs="Arial"/>
          <w:lang w:val="en-GB"/>
        </w:rPr>
      </w:pPr>
      <w:r w:rsidRPr="004332E7">
        <w:rPr>
          <w:rFonts w:ascii="Arial" w:hAnsi="Arial" w:cs="Arial"/>
          <w:lang w:val="en-GB"/>
        </w:rPr>
        <w:t xml:space="preserve"> </w:t>
      </w:r>
    </w:p>
    <w:p w14:paraId="274368CE" w14:textId="77777777" w:rsidR="000E6CB4" w:rsidRPr="004332E7" w:rsidRDefault="00AE4092" w:rsidP="007D3DBF">
      <w:pPr>
        <w:pStyle w:val="ListParagraph"/>
        <w:numPr>
          <w:ilvl w:val="0"/>
          <w:numId w:val="41"/>
        </w:numPr>
        <w:rPr>
          <w:rFonts w:ascii="Arial" w:hAnsi="Arial" w:cs="Arial"/>
          <w:lang w:val="en-GB"/>
        </w:rPr>
      </w:pPr>
      <w:r w:rsidRPr="004332E7">
        <w:rPr>
          <w:rFonts w:ascii="Arial" w:hAnsi="Arial" w:cs="Arial"/>
          <w:lang w:val="en-GB"/>
        </w:rPr>
        <w:t>In the past, reassessments of MRP methodology ha</w:t>
      </w:r>
      <w:r w:rsidR="00E65D3E" w:rsidRPr="004332E7">
        <w:rPr>
          <w:rFonts w:ascii="Arial" w:hAnsi="Arial" w:cs="Arial"/>
          <w:lang w:val="en-GB"/>
        </w:rPr>
        <w:t>ve</w:t>
      </w:r>
      <w:r w:rsidRPr="004332E7">
        <w:rPr>
          <w:rFonts w:ascii="Arial" w:hAnsi="Arial" w:cs="Arial"/>
          <w:lang w:val="en-GB"/>
        </w:rPr>
        <w:t xml:space="preserve"> meant that some councils have calculated too much provision for MRP in the past and they have therefore either taken this back to the revenue account (to spend on current services) or not paid MRP for some time until their assessment </w:t>
      </w:r>
      <w:r w:rsidR="00E65D3E" w:rsidRPr="004332E7">
        <w:rPr>
          <w:rFonts w:ascii="Arial" w:hAnsi="Arial" w:cs="Arial"/>
          <w:lang w:val="en-GB"/>
        </w:rPr>
        <w:t>means</w:t>
      </w:r>
      <w:r w:rsidRPr="004332E7">
        <w:rPr>
          <w:rFonts w:ascii="Arial" w:hAnsi="Arial" w:cs="Arial"/>
          <w:lang w:val="en-GB"/>
        </w:rPr>
        <w:t xml:space="preserve"> they need to make </w:t>
      </w:r>
      <w:r w:rsidR="00E65D3E" w:rsidRPr="004332E7">
        <w:rPr>
          <w:rFonts w:ascii="Arial" w:hAnsi="Arial" w:cs="Arial"/>
          <w:lang w:val="en-GB"/>
        </w:rPr>
        <w:t>further</w:t>
      </w:r>
      <w:r w:rsidRPr="004332E7">
        <w:rPr>
          <w:rFonts w:ascii="Arial" w:hAnsi="Arial" w:cs="Arial"/>
          <w:lang w:val="en-GB"/>
        </w:rPr>
        <w:t xml:space="preserve"> provision</w:t>
      </w:r>
      <w:r w:rsidR="00E65D3E" w:rsidRPr="004332E7">
        <w:rPr>
          <w:rFonts w:ascii="Arial" w:hAnsi="Arial" w:cs="Arial"/>
          <w:lang w:val="en-GB"/>
        </w:rPr>
        <w:t xml:space="preserve">. Under the new </w:t>
      </w:r>
      <w:r w:rsidR="000E6CB4" w:rsidRPr="004332E7">
        <w:rPr>
          <w:rFonts w:ascii="Arial" w:hAnsi="Arial" w:cs="Arial"/>
          <w:lang w:val="en-GB"/>
        </w:rPr>
        <w:t xml:space="preserve">Guidance it </w:t>
      </w:r>
      <w:r w:rsidR="00E65D3E" w:rsidRPr="004332E7">
        <w:rPr>
          <w:rFonts w:ascii="Arial" w:hAnsi="Arial" w:cs="Arial"/>
          <w:lang w:val="en-GB"/>
        </w:rPr>
        <w:t xml:space="preserve">will </w:t>
      </w:r>
      <w:r w:rsidR="000E6CB4" w:rsidRPr="004332E7">
        <w:rPr>
          <w:rFonts w:ascii="Arial" w:hAnsi="Arial" w:cs="Arial"/>
          <w:lang w:val="en-GB"/>
        </w:rPr>
        <w:t xml:space="preserve">not </w:t>
      </w:r>
      <w:r w:rsidR="00E65D3E" w:rsidRPr="004332E7">
        <w:rPr>
          <w:rFonts w:ascii="Arial" w:hAnsi="Arial" w:cs="Arial"/>
          <w:lang w:val="en-GB"/>
        </w:rPr>
        <w:t xml:space="preserve">be </w:t>
      </w:r>
      <w:r w:rsidR="000E6CB4" w:rsidRPr="004332E7">
        <w:rPr>
          <w:rFonts w:ascii="Arial" w:hAnsi="Arial" w:cs="Arial"/>
          <w:lang w:val="en-GB"/>
        </w:rPr>
        <w:t xml:space="preserve">possible to take a credit from the MRP account if there has been over provision in the past. However, it will </w:t>
      </w:r>
      <w:r w:rsidRPr="004332E7">
        <w:rPr>
          <w:rFonts w:ascii="Arial" w:hAnsi="Arial" w:cs="Arial"/>
          <w:lang w:val="en-GB"/>
        </w:rPr>
        <w:t xml:space="preserve">still </w:t>
      </w:r>
      <w:r w:rsidR="000E6CB4" w:rsidRPr="004332E7">
        <w:rPr>
          <w:rFonts w:ascii="Arial" w:hAnsi="Arial" w:cs="Arial"/>
          <w:lang w:val="en-GB"/>
        </w:rPr>
        <w:t>be possible to take a holiday for this reason</w:t>
      </w:r>
      <w:r w:rsidR="00BA69CB" w:rsidRPr="004332E7">
        <w:rPr>
          <w:rFonts w:ascii="Arial" w:hAnsi="Arial" w:cs="Arial"/>
          <w:lang w:val="en-GB"/>
        </w:rPr>
        <w:t xml:space="preserve"> </w:t>
      </w:r>
    </w:p>
    <w:p w14:paraId="60187463" w14:textId="77777777" w:rsidR="009E3D72" w:rsidRPr="004332E7" w:rsidRDefault="009E3D72" w:rsidP="009E3D72">
      <w:pPr>
        <w:pStyle w:val="ListParagraph"/>
        <w:rPr>
          <w:rFonts w:ascii="Arial" w:hAnsi="Arial" w:cs="Arial"/>
          <w:lang w:val="en-GB"/>
        </w:rPr>
      </w:pPr>
    </w:p>
    <w:p w14:paraId="2535D3BB" w14:textId="77777777" w:rsidR="009E3D72" w:rsidRPr="004332E7" w:rsidRDefault="009E3D72" w:rsidP="009E3D72">
      <w:pPr>
        <w:pStyle w:val="ListParagraph"/>
        <w:numPr>
          <w:ilvl w:val="0"/>
          <w:numId w:val="41"/>
        </w:numPr>
        <w:rPr>
          <w:rFonts w:ascii="Arial" w:hAnsi="Arial" w:cs="Arial"/>
          <w:lang w:val="en-GB"/>
        </w:rPr>
      </w:pPr>
      <w:r w:rsidRPr="004332E7">
        <w:rPr>
          <w:rFonts w:ascii="Arial" w:hAnsi="Arial" w:cs="Arial"/>
          <w:lang w:val="en-GB"/>
        </w:rPr>
        <w:t xml:space="preserve">Councils will not, however, be able to change the basis of their MRP calculation in order to </w:t>
      </w:r>
      <w:r w:rsidR="00AE4092" w:rsidRPr="004332E7">
        <w:rPr>
          <w:rFonts w:ascii="Arial" w:hAnsi="Arial" w:cs="Arial"/>
          <w:lang w:val="en-GB"/>
        </w:rPr>
        <w:t xml:space="preserve">calculate that </w:t>
      </w:r>
      <w:r w:rsidRPr="004332E7">
        <w:rPr>
          <w:rFonts w:ascii="Arial" w:hAnsi="Arial" w:cs="Arial"/>
          <w:lang w:val="en-GB"/>
        </w:rPr>
        <w:t>an overpayment</w:t>
      </w:r>
      <w:r w:rsidR="00AE4092" w:rsidRPr="004332E7">
        <w:rPr>
          <w:rFonts w:ascii="Arial" w:hAnsi="Arial" w:cs="Arial"/>
          <w:lang w:val="en-GB"/>
        </w:rPr>
        <w:t xml:space="preserve"> was made </w:t>
      </w:r>
      <w:r w:rsidRPr="004332E7">
        <w:rPr>
          <w:rFonts w:ascii="Arial" w:hAnsi="Arial" w:cs="Arial"/>
          <w:lang w:val="en-GB"/>
        </w:rPr>
        <w:t>in previous years</w:t>
      </w:r>
      <w:r w:rsidR="00AE4092" w:rsidRPr="004332E7">
        <w:rPr>
          <w:rFonts w:ascii="Arial" w:hAnsi="Arial" w:cs="Arial"/>
          <w:lang w:val="en-GB"/>
        </w:rPr>
        <w:t>, in order</w:t>
      </w:r>
      <w:r w:rsidRPr="004332E7">
        <w:rPr>
          <w:rFonts w:ascii="Arial" w:hAnsi="Arial" w:cs="Arial"/>
          <w:lang w:val="en-GB"/>
        </w:rPr>
        <w:t xml:space="preserve"> to enable an MRP holiday in the future. This will apply from 1 April 2018</w:t>
      </w:r>
      <w:r w:rsidR="00AE4092" w:rsidRPr="004332E7">
        <w:rPr>
          <w:rFonts w:ascii="Arial" w:hAnsi="Arial" w:cs="Arial"/>
          <w:lang w:val="en-GB"/>
        </w:rPr>
        <w:t>, before the rest of the guidance.</w:t>
      </w:r>
    </w:p>
    <w:p w14:paraId="1D0877A4" w14:textId="77777777" w:rsidR="000E6CB4" w:rsidRPr="004332E7" w:rsidRDefault="000E6CB4" w:rsidP="000E6CB4">
      <w:pPr>
        <w:pStyle w:val="ListParagraph"/>
        <w:rPr>
          <w:rFonts w:ascii="Arial" w:hAnsi="Arial" w:cs="Arial"/>
          <w:lang w:val="en-GB"/>
        </w:rPr>
      </w:pPr>
    </w:p>
    <w:p w14:paraId="68E285B9" w14:textId="77777777" w:rsidR="000E6CB4" w:rsidRPr="004332E7" w:rsidRDefault="000E6CB4" w:rsidP="007D3DBF">
      <w:pPr>
        <w:pStyle w:val="ListParagraph"/>
        <w:numPr>
          <w:ilvl w:val="0"/>
          <w:numId w:val="41"/>
        </w:numPr>
        <w:rPr>
          <w:rFonts w:ascii="Arial" w:hAnsi="Arial" w:cs="Arial"/>
          <w:lang w:val="en-GB"/>
        </w:rPr>
      </w:pPr>
      <w:r w:rsidRPr="004332E7">
        <w:rPr>
          <w:rFonts w:ascii="Arial" w:hAnsi="Arial" w:cs="Arial"/>
          <w:lang w:val="en-GB"/>
        </w:rPr>
        <w:lastRenderedPageBreak/>
        <w:t>The guidance sets maximum economic life for assets in assessing MRP. The consultation proposed setting maximum times for this. The guidance is slightly more flexible than the consultation in that the special position of PFI assets has been recogni</w:t>
      </w:r>
      <w:r w:rsidR="002D7ABE" w:rsidRPr="004332E7">
        <w:rPr>
          <w:rFonts w:ascii="Arial" w:hAnsi="Arial" w:cs="Arial"/>
          <w:lang w:val="en-GB"/>
        </w:rPr>
        <w:t>s</w:t>
      </w:r>
      <w:r w:rsidRPr="004332E7">
        <w:rPr>
          <w:rFonts w:ascii="Arial" w:hAnsi="Arial" w:cs="Arial"/>
          <w:lang w:val="en-GB"/>
        </w:rPr>
        <w:t>ed</w:t>
      </w:r>
      <w:r w:rsidR="00E65D3E" w:rsidRPr="004332E7">
        <w:rPr>
          <w:rFonts w:ascii="Arial" w:hAnsi="Arial" w:cs="Arial"/>
          <w:lang w:val="en-GB"/>
        </w:rPr>
        <w:t>.</w:t>
      </w:r>
      <w:r w:rsidRPr="004332E7">
        <w:rPr>
          <w:rFonts w:ascii="Arial" w:hAnsi="Arial" w:cs="Arial"/>
          <w:lang w:val="en-GB"/>
        </w:rPr>
        <w:t xml:space="preserve"> </w:t>
      </w:r>
      <w:r w:rsidR="00E65D3E" w:rsidRPr="004332E7">
        <w:rPr>
          <w:rFonts w:ascii="Arial" w:hAnsi="Arial" w:cs="Arial"/>
          <w:lang w:val="en-GB"/>
        </w:rPr>
        <w:t>T</w:t>
      </w:r>
      <w:r w:rsidRPr="004332E7">
        <w:rPr>
          <w:rFonts w:ascii="Arial" w:hAnsi="Arial" w:cs="Arial"/>
          <w:lang w:val="en-GB"/>
        </w:rPr>
        <w:t xml:space="preserve">here is </w:t>
      </w:r>
      <w:r w:rsidR="00E65D3E" w:rsidRPr="004332E7">
        <w:rPr>
          <w:rFonts w:ascii="Arial" w:hAnsi="Arial" w:cs="Arial"/>
          <w:lang w:val="en-GB"/>
        </w:rPr>
        <w:t xml:space="preserve">also </w:t>
      </w:r>
      <w:r w:rsidRPr="004332E7">
        <w:rPr>
          <w:rFonts w:ascii="Arial" w:hAnsi="Arial" w:cs="Arial"/>
          <w:lang w:val="en-GB"/>
        </w:rPr>
        <w:t xml:space="preserve">some flexibility </w:t>
      </w:r>
      <w:r w:rsidR="009E3D72" w:rsidRPr="004332E7">
        <w:rPr>
          <w:rFonts w:ascii="Arial" w:hAnsi="Arial" w:cs="Arial"/>
          <w:lang w:val="en-GB"/>
        </w:rPr>
        <w:t xml:space="preserve">where the </w:t>
      </w:r>
      <w:r w:rsidR="002D7ABE" w:rsidRPr="004332E7">
        <w:rPr>
          <w:rFonts w:ascii="Arial" w:hAnsi="Arial" w:cs="Arial"/>
          <w:lang w:val="en-GB"/>
        </w:rPr>
        <w:t xml:space="preserve">authority </w:t>
      </w:r>
      <w:r w:rsidR="009E3D72" w:rsidRPr="004332E7">
        <w:rPr>
          <w:rFonts w:ascii="Arial" w:hAnsi="Arial" w:cs="Arial"/>
          <w:lang w:val="en-GB"/>
        </w:rPr>
        <w:t>has a professional opinion that an operational asset will deliver benefits for more than the maximum economic life</w:t>
      </w:r>
      <w:r w:rsidR="002D7ABE" w:rsidRPr="004332E7">
        <w:rPr>
          <w:rFonts w:ascii="Arial" w:hAnsi="Arial" w:cs="Arial"/>
          <w:lang w:val="en-GB"/>
        </w:rPr>
        <w:t xml:space="preserve"> as set out in the guidance</w:t>
      </w:r>
      <w:r w:rsidR="009E3D72" w:rsidRPr="004332E7">
        <w:rPr>
          <w:rFonts w:ascii="Arial" w:hAnsi="Arial" w:cs="Arial"/>
          <w:lang w:val="en-GB"/>
        </w:rPr>
        <w:t xml:space="preserve">. </w:t>
      </w:r>
      <w:r w:rsidR="00036F57" w:rsidRPr="004332E7">
        <w:rPr>
          <w:rFonts w:ascii="Arial" w:hAnsi="Arial" w:cs="Arial"/>
          <w:lang w:val="en-GB"/>
        </w:rPr>
        <w:t xml:space="preserve">However, in the past some councils have argued that they have not needed to make MRP for some investments as any borrowing would be repaid by selling the assets sometime in the future; this will not now be possible meaning MRP will need to be made for these assets. </w:t>
      </w:r>
    </w:p>
    <w:p w14:paraId="5530FE6B" w14:textId="77777777" w:rsidR="009E3D72" w:rsidRPr="004332E7" w:rsidRDefault="009E3D72" w:rsidP="009E3D72">
      <w:pPr>
        <w:pStyle w:val="ListParagraph"/>
        <w:rPr>
          <w:rFonts w:ascii="Arial" w:hAnsi="Arial" w:cs="Arial"/>
          <w:lang w:val="en-GB"/>
        </w:rPr>
      </w:pPr>
    </w:p>
    <w:p w14:paraId="539D4482" w14:textId="77777777" w:rsidR="009E3D72" w:rsidRPr="004332E7" w:rsidRDefault="009E3D72" w:rsidP="009E3D72">
      <w:pPr>
        <w:rPr>
          <w:rFonts w:ascii="Arial" w:hAnsi="Arial" w:cs="Arial"/>
        </w:rPr>
      </w:pPr>
    </w:p>
    <w:sectPr w:rsidR="009E3D72" w:rsidRPr="004332E7">
      <w:headerReference w:type="default" r:id="rId14"/>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2EAE" w14:textId="77777777" w:rsidR="00767BA2" w:rsidRDefault="00767BA2">
      <w:r>
        <w:separator/>
      </w:r>
    </w:p>
  </w:endnote>
  <w:endnote w:type="continuationSeparator" w:id="0">
    <w:p w14:paraId="498C5153" w14:textId="77777777" w:rsidR="00767BA2" w:rsidRDefault="0076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E48E" w14:textId="77777777" w:rsidR="00863DFB" w:rsidRDefault="00863DF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A85E" w14:textId="77777777" w:rsidR="00767BA2" w:rsidRDefault="00767BA2">
      <w:r>
        <w:separator/>
      </w:r>
    </w:p>
  </w:footnote>
  <w:footnote w:type="continuationSeparator" w:id="0">
    <w:p w14:paraId="7E68AA6C" w14:textId="77777777" w:rsidR="00767BA2" w:rsidRDefault="0076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0CD7" w14:textId="77777777" w:rsidR="00863DFB" w:rsidRDefault="00863DF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F16"/>
    <w:multiLevelType w:val="hybridMultilevel"/>
    <w:tmpl w:val="DB969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A6340"/>
    <w:multiLevelType w:val="hybridMultilevel"/>
    <w:tmpl w:val="E7DA3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93C29"/>
    <w:multiLevelType w:val="multilevel"/>
    <w:tmpl w:val="78B8CB44"/>
    <w:styleLink w:val="List6"/>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 w15:restartNumberingAfterBreak="0">
    <w:nsid w:val="0D286FDF"/>
    <w:multiLevelType w:val="multilevel"/>
    <w:tmpl w:val="0CEC07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1FD4516"/>
    <w:multiLevelType w:val="hybridMultilevel"/>
    <w:tmpl w:val="1158D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7079D"/>
    <w:multiLevelType w:val="hybridMultilevel"/>
    <w:tmpl w:val="C330AB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7241DD"/>
    <w:multiLevelType w:val="hybridMultilevel"/>
    <w:tmpl w:val="1018F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C61BD"/>
    <w:multiLevelType w:val="hybridMultilevel"/>
    <w:tmpl w:val="1B20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D43F2"/>
    <w:multiLevelType w:val="hybridMultilevel"/>
    <w:tmpl w:val="23028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82082"/>
    <w:multiLevelType w:val="multilevel"/>
    <w:tmpl w:val="B4CA2A5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2EA23643"/>
    <w:multiLevelType w:val="multilevel"/>
    <w:tmpl w:val="EB0E3802"/>
    <w:lvl w:ilvl="0">
      <w:start w:val="1"/>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1" w15:restartNumberingAfterBreak="0">
    <w:nsid w:val="2FAE7099"/>
    <w:multiLevelType w:val="hybridMultilevel"/>
    <w:tmpl w:val="27903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45D6B"/>
    <w:multiLevelType w:val="hybridMultilevel"/>
    <w:tmpl w:val="1F82469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84A2B80"/>
    <w:multiLevelType w:val="multilevel"/>
    <w:tmpl w:val="09FA29F8"/>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8F42BE3"/>
    <w:multiLevelType w:val="hybridMultilevel"/>
    <w:tmpl w:val="FDD8E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B5C52"/>
    <w:multiLevelType w:val="hybridMultilevel"/>
    <w:tmpl w:val="F8AC70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A449F"/>
    <w:multiLevelType w:val="multilevel"/>
    <w:tmpl w:val="B6428624"/>
    <w:styleLink w:val="List7"/>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877741"/>
    <w:multiLevelType w:val="multilevel"/>
    <w:tmpl w:val="A0EE45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45877FE5"/>
    <w:multiLevelType w:val="multilevel"/>
    <w:tmpl w:val="7BBEA4C0"/>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0" w15:restartNumberingAfterBreak="0">
    <w:nsid w:val="45E93730"/>
    <w:multiLevelType w:val="multilevel"/>
    <w:tmpl w:val="B38CA80C"/>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1" w15:restartNumberingAfterBreak="0">
    <w:nsid w:val="4D062212"/>
    <w:multiLevelType w:val="multilevel"/>
    <w:tmpl w:val="783E498E"/>
    <w:styleLink w:val="List0"/>
    <w:lvl w:ilvl="0">
      <w:start w:val="1"/>
      <w:numFmt w:val="lowerRoman"/>
      <w:lvlText w:val="%1)"/>
      <w:lvlJc w:val="left"/>
      <w:pPr>
        <w:tabs>
          <w:tab w:val="num" w:pos="851"/>
        </w:tabs>
        <w:ind w:left="851" w:hanging="72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2" w15:restartNumberingAfterBreak="0">
    <w:nsid w:val="4EC92D5A"/>
    <w:multiLevelType w:val="multilevel"/>
    <w:tmpl w:val="134E14E4"/>
    <w:styleLink w:val="List21"/>
    <w:lvl w:ilvl="0">
      <w:start w:val="1"/>
      <w:numFmt w:val="decimal"/>
      <w:lvlText w:val="%1."/>
      <w:lvlJc w:val="left"/>
      <w:pPr>
        <w:tabs>
          <w:tab w:val="num" w:pos="720"/>
        </w:tabs>
        <w:ind w:left="720" w:hanging="720"/>
      </w:pPr>
      <w:rPr>
        <w:rFonts w:ascii="Arial" w:eastAsia="Arial" w:hAnsi="Arial" w:cs="Arial"/>
        <w:position w:val="0"/>
        <w:sz w:val="22"/>
        <w:szCs w:val="22"/>
      </w:rPr>
    </w:lvl>
    <w:lvl w:ilvl="1">
      <w:start w:val="1"/>
      <w:numFmt w:val="lowerLetter"/>
      <w:lvlText w:val="%2."/>
      <w:lvlJc w:val="left"/>
      <w:pPr>
        <w:tabs>
          <w:tab w:val="num" w:pos="1050"/>
        </w:tabs>
        <w:ind w:left="1050" w:hanging="330"/>
      </w:pPr>
      <w:rPr>
        <w:rFonts w:ascii="Arial" w:eastAsia="Arial" w:hAnsi="Arial" w:cs="Arial"/>
        <w:position w:val="0"/>
        <w:sz w:val="22"/>
        <w:szCs w:val="22"/>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decimal"/>
      <w:lvlText w:val="%4."/>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abstractNum w:abstractNumId="23" w15:restartNumberingAfterBreak="0">
    <w:nsid w:val="4ECE74EB"/>
    <w:multiLevelType w:val="hybridMultilevel"/>
    <w:tmpl w:val="BE4E6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23390E"/>
    <w:multiLevelType w:val="hybridMultilevel"/>
    <w:tmpl w:val="96AEF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92EEE"/>
    <w:multiLevelType w:val="multilevel"/>
    <w:tmpl w:val="22CA14BA"/>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6" w15:restartNumberingAfterBreak="0">
    <w:nsid w:val="53326C95"/>
    <w:multiLevelType w:val="multilevel"/>
    <w:tmpl w:val="CC068D84"/>
    <w:styleLink w:val="List41"/>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7" w15:restartNumberingAfterBreak="0">
    <w:nsid w:val="54B43A77"/>
    <w:multiLevelType w:val="multilevel"/>
    <w:tmpl w:val="6088BA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56C45CB7"/>
    <w:multiLevelType w:val="multilevel"/>
    <w:tmpl w:val="1F8A461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59880E83"/>
    <w:multiLevelType w:val="multilevel"/>
    <w:tmpl w:val="C524A61A"/>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0" w15:restartNumberingAfterBreak="0">
    <w:nsid w:val="5BD417BB"/>
    <w:multiLevelType w:val="multilevel"/>
    <w:tmpl w:val="19A09184"/>
    <w:styleLink w:val="List1"/>
    <w:lvl w:ilvl="0">
      <w:start w:val="1"/>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31" w15:restartNumberingAfterBreak="0">
    <w:nsid w:val="5C5918DD"/>
    <w:multiLevelType w:val="hybridMultilevel"/>
    <w:tmpl w:val="D9647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8224A"/>
    <w:multiLevelType w:val="hybridMultilevel"/>
    <w:tmpl w:val="4FC25296"/>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3C35F0"/>
    <w:multiLevelType w:val="hybridMultilevel"/>
    <w:tmpl w:val="0880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EB6770"/>
    <w:multiLevelType w:val="multilevel"/>
    <w:tmpl w:val="F1C83228"/>
    <w:lvl w:ilvl="0">
      <w:start w:val="1"/>
      <w:numFmt w:val="lowerRoman"/>
      <w:lvlText w:val="%1)"/>
      <w:lvlJc w:val="left"/>
      <w:pPr>
        <w:tabs>
          <w:tab w:val="num" w:pos="851"/>
        </w:tabs>
        <w:ind w:left="851" w:hanging="72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5" w15:restartNumberingAfterBreak="0">
    <w:nsid w:val="68294813"/>
    <w:multiLevelType w:val="multilevel"/>
    <w:tmpl w:val="6C882E50"/>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6" w15:restartNumberingAfterBreak="0">
    <w:nsid w:val="6D812E29"/>
    <w:multiLevelType w:val="multilevel"/>
    <w:tmpl w:val="0B320352"/>
    <w:styleLink w:val="List51"/>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7" w15:restartNumberingAfterBreak="0">
    <w:nsid w:val="6FC11719"/>
    <w:multiLevelType w:val="multilevel"/>
    <w:tmpl w:val="9D30B6DC"/>
    <w:lvl w:ilvl="0">
      <w:start w:val="1"/>
      <w:numFmt w:val="decimal"/>
      <w:lvlText w:val="%1."/>
      <w:lvlJc w:val="left"/>
      <w:pPr>
        <w:tabs>
          <w:tab w:val="num" w:pos="720"/>
        </w:tabs>
        <w:ind w:left="720" w:hanging="720"/>
      </w:pPr>
      <w:rPr>
        <w:rFonts w:ascii="Arial" w:eastAsia="Arial" w:hAnsi="Arial" w:cs="Arial"/>
        <w:position w:val="0"/>
        <w:sz w:val="22"/>
        <w:szCs w:val="22"/>
      </w:rPr>
    </w:lvl>
    <w:lvl w:ilvl="1">
      <w:start w:val="1"/>
      <w:numFmt w:val="lowerLetter"/>
      <w:lvlText w:val="%2."/>
      <w:lvlJc w:val="left"/>
      <w:pPr>
        <w:tabs>
          <w:tab w:val="num" w:pos="1050"/>
        </w:tabs>
        <w:ind w:left="1050" w:hanging="330"/>
      </w:pPr>
      <w:rPr>
        <w:rFonts w:ascii="Arial" w:eastAsia="Arial" w:hAnsi="Arial" w:cs="Arial"/>
        <w:position w:val="0"/>
        <w:sz w:val="22"/>
        <w:szCs w:val="22"/>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decimal"/>
      <w:lvlText w:val="%4."/>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abstractNum w:abstractNumId="38" w15:restartNumberingAfterBreak="0">
    <w:nsid w:val="714820AF"/>
    <w:multiLevelType w:val="multilevel"/>
    <w:tmpl w:val="2836ED12"/>
    <w:styleLink w:val="List3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9" w15:restartNumberingAfterBreak="0">
    <w:nsid w:val="75AF7E25"/>
    <w:multiLevelType w:val="multilevel"/>
    <w:tmpl w:val="542A1F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B5246CE"/>
    <w:multiLevelType w:val="multilevel"/>
    <w:tmpl w:val="44E2DEA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4"/>
  </w:num>
  <w:num w:numId="2">
    <w:abstractNumId w:val="13"/>
  </w:num>
  <w:num w:numId="3">
    <w:abstractNumId w:val="21"/>
  </w:num>
  <w:num w:numId="4">
    <w:abstractNumId w:val="10"/>
  </w:num>
  <w:num w:numId="5">
    <w:abstractNumId w:val="40"/>
  </w:num>
  <w:num w:numId="6">
    <w:abstractNumId w:val="30"/>
  </w:num>
  <w:num w:numId="7">
    <w:abstractNumId w:val="37"/>
  </w:num>
  <w:num w:numId="8">
    <w:abstractNumId w:val="18"/>
  </w:num>
  <w:num w:numId="9">
    <w:abstractNumId w:val="22"/>
  </w:num>
  <w:num w:numId="10">
    <w:abstractNumId w:val="29"/>
  </w:num>
  <w:num w:numId="11">
    <w:abstractNumId w:val="28"/>
  </w:num>
  <w:num w:numId="12">
    <w:abstractNumId w:val="38"/>
  </w:num>
  <w:num w:numId="13">
    <w:abstractNumId w:val="19"/>
  </w:num>
  <w:num w:numId="14">
    <w:abstractNumId w:val="39"/>
  </w:num>
  <w:num w:numId="15">
    <w:abstractNumId w:val="26"/>
  </w:num>
  <w:num w:numId="16">
    <w:abstractNumId w:val="20"/>
  </w:num>
  <w:num w:numId="17">
    <w:abstractNumId w:val="9"/>
  </w:num>
  <w:num w:numId="18">
    <w:abstractNumId w:val="36"/>
  </w:num>
  <w:num w:numId="19">
    <w:abstractNumId w:val="35"/>
  </w:num>
  <w:num w:numId="20">
    <w:abstractNumId w:val="3"/>
  </w:num>
  <w:num w:numId="21">
    <w:abstractNumId w:val="2"/>
  </w:num>
  <w:num w:numId="22">
    <w:abstractNumId w:val="25"/>
  </w:num>
  <w:num w:numId="23">
    <w:abstractNumId w:val="27"/>
  </w:num>
  <w:num w:numId="24">
    <w:abstractNumId w:val="16"/>
  </w:num>
  <w:num w:numId="25">
    <w:abstractNumId w:val="33"/>
  </w:num>
  <w:num w:numId="26">
    <w:abstractNumId w:val="5"/>
  </w:num>
  <w:num w:numId="27">
    <w:abstractNumId w:val="12"/>
  </w:num>
  <w:num w:numId="28">
    <w:abstractNumId w:val="32"/>
  </w:num>
  <w:num w:numId="29">
    <w:abstractNumId w:val="31"/>
  </w:num>
  <w:num w:numId="30">
    <w:abstractNumId w:val="8"/>
  </w:num>
  <w:num w:numId="31">
    <w:abstractNumId w:val="4"/>
  </w:num>
  <w:num w:numId="32">
    <w:abstractNumId w:val="24"/>
  </w:num>
  <w:num w:numId="33">
    <w:abstractNumId w:val="14"/>
  </w:num>
  <w:num w:numId="34">
    <w:abstractNumId w:val="0"/>
  </w:num>
  <w:num w:numId="35">
    <w:abstractNumId w:val="7"/>
  </w:num>
  <w:num w:numId="36">
    <w:abstractNumId w:val="15"/>
  </w:num>
  <w:num w:numId="37">
    <w:abstractNumId w:val="11"/>
  </w:num>
  <w:num w:numId="38">
    <w:abstractNumId w:val="17"/>
  </w:num>
  <w:num w:numId="39">
    <w:abstractNumId w:val="23"/>
  </w:num>
  <w:num w:numId="40">
    <w:abstractNumId w:val="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28"/>
    <w:rsid w:val="00000401"/>
    <w:rsid w:val="00012468"/>
    <w:rsid w:val="00036F57"/>
    <w:rsid w:val="0004357D"/>
    <w:rsid w:val="00070E3B"/>
    <w:rsid w:val="000876AA"/>
    <w:rsid w:val="000A2CED"/>
    <w:rsid w:val="000E6CB4"/>
    <w:rsid w:val="000E70F8"/>
    <w:rsid w:val="001235B6"/>
    <w:rsid w:val="00124DF5"/>
    <w:rsid w:val="00182C12"/>
    <w:rsid w:val="0018758D"/>
    <w:rsid w:val="00190846"/>
    <w:rsid w:val="001956F9"/>
    <w:rsid w:val="001A1341"/>
    <w:rsid w:val="001E46BE"/>
    <w:rsid w:val="001E4AB1"/>
    <w:rsid w:val="001F5358"/>
    <w:rsid w:val="0021490B"/>
    <w:rsid w:val="00222EF3"/>
    <w:rsid w:val="00225B76"/>
    <w:rsid w:val="002341C9"/>
    <w:rsid w:val="00235EFE"/>
    <w:rsid w:val="00253828"/>
    <w:rsid w:val="002A6FAD"/>
    <w:rsid w:val="002B5385"/>
    <w:rsid w:val="002D39ED"/>
    <w:rsid w:val="002D7ABE"/>
    <w:rsid w:val="002E6871"/>
    <w:rsid w:val="002F6428"/>
    <w:rsid w:val="002F7328"/>
    <w:rsid w:val="00301D88"/>
    <w:rsid w:val="00311D5F"/>
    <w:rsid w:val="00315249"/>
    <w:rsid w:val="00326C9C"/>
    <w:rsid w:val="00335F11"/>
    <w:rsid w:val="003623F3"/>
    <w:rsid w:val="00382FE5"/>
    <w:rsid w:val="00384524"/>
    <w:rsid w:val="003B41D9"/>
    <w:rsid w:val="003C309B"/>
    <w:rsid w:val="003D18FE"/>
    <w:rsid w:val="00431F91"/>
    <w:rsid w:val="004332E7"/>
    <w:rsid w:val="00463229"/>
    <w:rsid w:val="00491332"/>
    <w:rsid w:val="004916A2"/>
    <w:rsid w:val="004A02FC"/>
    <w:rsid w:val="004B6A43"/>
    <w:rsid w:val="004C2BEC"/>
    <w:rsid w:val="004C4A94"/>
    <w:rsid w:val="00523415"/>
    <w:rsid w:val="0054284A"/>
    <w:rsid w:val="005517B3"/>
    <w:rsid w:val="00552CA9"/>
    <w:rsid w:val="0056007D"/>
    <w:rsid w:val="0057606B"/>
    <w:rsid w:val="005A7530"/>
    <w:rsid w:val="005E1DD5"/>
    <w:rsid w:val="005E3BDF"/>
    <w:rsid w:val="005E7921"/>
    <w:rsid w:val="006252FC"/>
    <w:rsid w:val="00640B9D"/>
    <w:rsid w:val="00652931"/>
    <w:rsid w:val="00691368"/>
    <w:rsid w:val="00694644"/>
    <w:rsid w:val="006A4564"/>
    <w:rsid w:val="006A5874"/>
    <w:rsid w:val="006C2DE8"/>
    <w:rsid w:val="006C3369"/>
    <w:rsid w:val="006D1948"/>
    <w:rsid w:val="00712598"/>
    <w:rsid w:val="00767BA2"/>
    <w:rsid w:val="00781BBB"/>
    <w:rsid w:val="007870F7"/>
    <w:rsid w:val="00795A18"/>
    <w:rsid w:val="007B7208"/>
    <w:rsid w:val="007C2B15"/>
    <w:rsid w:val="007C630E"/>
    <w:rsid w:val="007D3BC6"/>
    <w:rsid w:val="007D3DBF"/>
    <w:rsid w:val="00822888"/>
    <w:rsid w:val="008243C9"/>
    <w:rsid w:val="00830FB2"/>
    <w:rsid w:val="008367F1"/>
    <w:rsid w:val="008373C5"/>
    <w:rsid w:val="0083759B"/>
    <w:rsid w:val="00854231"/>
    <w:rsid w:val="00863DFB"/>
    <w:rsid w:val="00880C4A"/>
    <w:rsid w:val="008B6DE1"/>
    <w:rsid w:val="008C1D9D"/>
    <w:rsid w:val="008C3843"/>
    <w:rsid w:val="008E6DB4"/>
    <w:rsid w:val="0092225B"/>
    <w:rsid w:val="00952748"/>
    <w:rsid w:val="0096277F"/>
    <w:rsid w:val="009900F9"/>
    <w:rsid w:val="009923DC"/>
    <w:rsid w:val="00993729"/>
    <w:rsid w:val="009A7F86"/>
    <w:rsid w:val="009B622B"/>
    <w:rsid w:val="009E3D72"/>
    <w:rsid w:val="00A56CD2"/>
    <w:rsid w:val="00A74468"/>
    <w:rsid w:val="00A908B8"/>
    <w:rsid w:val="00AA507A"/>
    <w:rsid w:val="00AB3668"/>
    <w:rsid w:val="00AD596B"/>
    <w:rsid w:val="00AD7BD8"/>
    <w:rsid w:val="00AE289E"/>
    <w:rsid w:val="00AE2915"/>
    <w:rsid w:val="00AE3F8A"/>
    <w:rsid w:val="00AE4092"/>
    <w:rsid w:val="00AF2560"/>
    <w:rsid w:val="00B2237A"/>
    <w:rsid w:val="00B24841"/>
    <w:rsid w:val="00B57F7F"/>
    <w:rsid w:val="00B74E5E"/>
    <w:rsid w:val="00B831F9"/>
    <w:rsid w:val="00BA69CB"/>
    <w:rsid w:val="00BC2A65"/>
    <w:rsid w:val="00BC5525"/>
    <w:rsid w:val="00C136B4"/>
    <w:rsid w:val="00C142E2"/>
    <w:rsid w:val="00C27E31"/>
    <w:rsid w:val="00C46EB0"/>
    <w:rsid w:val="00C5047B"/>
    <w:rsid w:val="00C7760A"/>
    <w:rsid w:val="00C91F7E"/>
    <w:rsid w:val="00CA140D"/>
    <w:rsid w:val="00CB077B"/>
    <w:rsid w:val="00CB0CA6"/>
    <w:rsid w:val="00CC1470"/>
    <w:rsid w:val="00D14350"/>
    <w:rsid w:val="00D1457A"/>
    <w:rsid w:val="00D2689E"/>
    <w:rsid w:val="00D33D59"/>
    <w:rsid w:val="00D3428D"/>
    <w:rsid w:val="00D660F5"/>
    <w:rsid w:val="00D666A9"/>
    <w:rsid w:val="00D70E8A"/>
    <w:rsid w:val="00DE07CF"/>
    <w:rsid w:val="00E04EF3"/>
    <w:rsid w:val="00E06D24"/>
    <w:rsid w:val="00E06EC2"/>
    <w:rsid w:val="00E5237A"/>
    <w:rsid w:val="00E65D3E"/>
    <w:rsid w:val="00E746EF"/>
    <w:rsid w:val="00E77CA2"/>
    <w:rsid w:val="00E913FB"/>
    <w:rsid w:val="00E93746"/>
    <w:rsid w:val="00EF18BD"/>
    <w:rsid w:val="00F7306C"/>
    <w:rsid w:val="00F81A12"/>
    <w:rsid w:val="00F877BB"/>
    <w:rsid w:val="00F90B4D"/>
    <w:rsid w:val="00FA1F6C"/>
    <w:rsid w:val="00FD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66A4"/>
  <w15:docId w15:val="{AC614FD3-C84A-428A-A287-7BCF3FE5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styleId="ListParagraph">
    <w:name w:val="List Paragraph"/>
    <w:link w:val="ListParagraphChar"/>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character" w:styleId="FollowedHyperlink">
    <w:name w:val="FollowedHyperlink"/>
    <w:basedOn w:val="DefaultParagraphFont"/>
    <w:uiPriority w:val="99"/>
    <w:semiHidden/>
    <w:unhideWhenUsed/>
    <w:rsid w:val="00B74E5E"/>
    <w:rPr>
      <w:color w:val="800080" w:themeColor="followedHyperlink"/>
      <w:u w:val="single"/>
    </w:rPr>
  </w:style>
  <w:style w:type="paragraph" w:styleId="BalloonText">
    <w:name w:val="Balloon Text"/>
    <w:basedOn w:val="Normal"/>
    <w:link w:val="BalloonTextChar"/>
    <w:uiPriority w:val="99"/>
    <w:semiHidden/>
    <w:unhideWhenUsed/>
    <w:rsid w:val="00795A18"/>
    <w:rPr>
      <w:rFonts w:ascii="Tahoma" w:hAnsi="Tahoma" w:cs="Tahoma"/>
      <w:sz w:val="16"/>
      <w:szCs w:val="16"/>
    </w:rPr>
  </w:style>
  <w:style w:type="character" w:customStyle="1" w:styleId="BalloonTextChar">
    <w:name w:val="Balloon Text Char"/>
    <w:basedOn w:val="DefaultParagraphFont"/>
    <w:link w:val="BalloonText"/>
    <w:uiPriority w:val="99"/>
    <w:semiHidden/>
    <w:rsid w:val="00795A18"/>
    <w:rPr>
      <w:rFonts w:ascii="Tahoma" w:hAnsi="Tahoma" w:cs="Tahoma"/>
      <w:sz w:val="16"/>
      <w:szCs w:val="16"/>
      <w:lang w:eastAsia="en-US"/>
    </w:rPr>
  </w:style>
  <w:style w:type="paragraph" w:customStyle="1" w:styleId="Default">
    <w:name w:val="Default"/>
    <w:rsid w:val="00795A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Spacing">
    <w:name w:val="No Spacing"/>
    <w:basedOn w:val="Normal"/>
    <w:uiPriority w:val="1"/>
    <w:qFormat/>
    <w:rsid w:val="00A7446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ListParagraphChar">
    <w:name w:val="List Paragraph Char"/>
    <w:basedOn w:val="DefaultParagraphFont"/>
    <w:link w:val="ListParagraph"/>
    <w:uiPriority w:val="34"/>
    <w:rsid w:val="008243C9"/>
    <w:rPr>
      <w:rFonts w:hAnsi="Arial Unicode MS" w:cs="Arial Unicode MS"/>
      <w:color w:val="000000"/>
      <w:sz w:val="24"/>
      <w:szCs w:val="24"/>
      <w:u w:color="000000"/>
      <w:lang w:val="en-US"/>
    </w:rPr>
  </w:style>
  <w:style w:type="character" w:styleId="CommentReference">
    <w:name w:val="annotation reference"/>
    <w:basedOn w:val="DefaultParagraphFont"/>
    <w:uiPriority w:val="99"/>
    <w:semiHidden/>
    <w:unhideWhenUsed/>
    <w:rsid w:val="00463229"/>
    <w:rPr>
      <w:sz w:val="16"/>
      <w:szCs w:val="16"/>
    </w:rPr>
  </w:style>
  <w:style w:type="paragraph" w:styleId="CommentText">
    <w:name w:val="annotation text"/>
    <w:basedOn w:val="Normal"/>
    <w:link w:val="CommentTextChar"/>
    <w:uiPriority w:val="99"/>
    <w:semiHidden/>
    <w:unhideWhenUsed/>
    <w:rsid w:val="00463229"/>
    <w:rPr>
      <w:sz w:val="20"/>
      <w:szCs w:val="20"/>
    </w:rPr>
  </w:style>
  <w:style w:type="character" w:customStyle="1" w:styleId="CommentTextChar">
    <w:name w:val="Comment Text Char"/>
    <w:basedOn w:val="DefaultParagraphFont"/>
    <w:link w:val="CommentText"/>
    <w:uiPriority w:val="99"/>
    <w:semiHidden/>
    <w:rsid w:val="00463229"/>
    <w:rPr>
      <w:lang w:eastAsia="en-US"/>
    </w:rPr>
  </w:style>
  <w:style w:type="paragraph" w:styleId="CommentSubject">
    <w:name w:val="annotation subject"/>
    <w:basedOn w:val="CommentText"/>
    <w:next w:val="CommentText"/>
    <w:link w:val="CommentSubjectChar"/>
    <w:uiPriority w:val="99"/>
    <w:semiHidden/>
    <w:unhideWhenUsed/>
    <w:rsid w:val="00463229"/>
    <w:rPr>
      <w:b/>
      <w:bCs/>
    </w:rPr>
  </w:style>
  <w:style w:type="character" w:customStyle="1" w:styleId="CommentSubjectChar">
    <w:name w:val="Comment Subject Char"/>
    <w:basedOn w:val="CommentTextChar"/>
    <w:link w:val="CommentSubject"/>
    <w:uiPriority w:val="99"/>
    <w:semiHidden/>
    <w:rsid w:val="004632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694">
      <w:bodyDiv w:val="1"/>
      <w:marLeft w:val="0"/>
      <w:marRight w:val="0"/>
      <w:marTop w:val="0"/>
      <w:marBottom w:val="0"/>
      <w:divBdr>
        <w:top w:val="none" w:sz="0" w:space="0" w:color="auto"/>
        <w:left w:val="none" w:sz="0" w:space="0" w:color="auto"/>
        <w:bottom w:val="none" w:sz="0" w:space="0" w:color="auto"/>
        <w:right w:val="none" w:sz="0" w:space="0" w:color="auto"/>
      </w:divBdr>
    </w:div>
    <w:div w:id="16359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sites/default/files/documents/LGA%20response%20prudential%20framework%20of%20capital%20finance%20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proposed-changes-to-the-prudential-framework-of-capital-fin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apital-finance-guidance-on-minimum-revenue-provision-third-edi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apital-finance-guidance-on-local-government-investments-second-ed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372B467C794D98A244C807443814" ma:contentTypeVersion="0" ma:contentTypeDescription="Create a new document." ma:contentTypeScope="" ma:versionID="21a0f498c2b2e0ad76be74f54472073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E7789-A2C2-425D-B8DB-381812CDD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D693A1-F5AB-4A99-9BED-0C7E65CB1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87BA7C-5A2D-4A32-9906-67A0040B4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933546A3</Template>
  <TotalTime>1</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Bevis Ingram</dc:creator>
  <cp:lastModifiedBy>Bevis Ingram</cp:lastModifiedBy>
  <cp:revision>5</cp:revision>
  <cp:lastPrinted>2018-01-11T11:39:00Z</cp:lastPrinted>
  <dcterms:created xsi:type="dcterms:W3CDTF">2018-02-14T14:23:00Z</dcterms:created>
  <dcterms:modified xsi:type="dcterms:W3CDTF">2018-02-16T12:00:00Z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0x0101000F5C372B467C794D98A244C807443814</vt:lpwstr>
  </property>
</Properties>
</file>