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6507C5" w:rsidR="006507C5" w:rsidP="006507C5" w:rsidRDefault="006507C5" w14:paraId="4EEFE9CB" wp14:textId="77777777">
      <w:pPr>
        <w:rPr>
          <w:rFonts w:ascii="Arial" w:hAnsi="Arial" w:cs="Arial"/>
          <w:b/>
          <w:sz w:val="24"/>
          <w:szCs w:val="24"/>
        </w:rPr>
      </w:pPr>
      <w:r w:rsidRPr="006507C5">
        <w:rPr>
          <w:rFonts w:ascii="Arial" w:hAnsi="Arial" w:cs="Arial"/>
          <w:b/>
          <w:sz w:val="24"/>
          <w:szCs w:val="24"/>
        </w:rPr>
        <w:t>APPENDIX 1</w:t>
      </w:r>
    </w:p>
    <w:p xmlns:wp14="http://schemas.microsoft.com/office/word/2010/wordml" w:rsidRPr="006507C5" w:rsidR="006507C5" w:rsidP="006507C5" w:rsidRDefault="006507C5" w14:paraId="672A6659" wp14:textId="77777777">
      <w:pPr>
        <w:rPr>
          <w:rFonts w:ascii="Arial" w:hAnsi="Arial" w:cs="Arial"/>
          <w:sz w:val="24"/>
          <w:szCs w:val="24"/>
        </w:rPr>
      </w:pPr>
      <w:bookmarkStart w:name="_GoBack" w:id="0"/>
      <w:bookmarkEnd w:id="0"/>
    </w:p>
    <w:p xmlns:wp14="http://schemas.microsoft.com/office/word/2010/wordml" w:rsidRPr="006507C5" w:rsidR="006507C5" w:rsidP="006507C5" w:rsidRDefault="006507C5" w14:paraId="1EB1C058" wp14:textId="77777777">
      <w:pPr>
        <w:rPr>
          <w:rFonts w:ascii="Arial" w:hAnsi="Arial" w:cs="Arial"/>
          <w:b/>
          <w:sz w:val="24"/>
          <w:szCs w:val="24"/>
        </w:rPr>
      </w:pPr>
      <w:r w:rsidRPr="006507C5">
        <w:rPr>
          <w:rFonts w:ascii="Arial" w:hAnsi="Arial" w:cs="Arial"/>
          <w:b/>
          <w:sz w:val="24"/>
          <w:szCs w:val="24"/>
        </w:rPr>
        <w:t>Terms of References of the Shadow Authority</w:t>
      </w:r>
    </w:p>
    <w:p xmlns:wp14="http://schemas.microsoft.com/office/word/2010/wordml" w:rsidRPr="00B7186E" w:rsidR="006507C5" w:rsidP="006507C5" w:rsidRDefault="006507C5" w14:paraId="0A37501D" wp14:textId="77777777">
      <w:pPr>
        <w:rPr>
          <w:rFonts w:ascii="Arial" w:hAnsi="Arial" w:cs="Arial"/>
          <w:sz w:val="24"/>
          <w:szCs w:val="24"/>
        </w:rPr>
      </w:pPr>
    </w:p>
    <w:p xmlns:wp14="http://schemas.microsoft.com/office/word/2010/wordml" w:rsidRPr="00B7186E" w:rsidR="006507C5" w:rsidP="006507C5" w:rsidRDefault="00B7186E" w14:paraId="50915FC9" wp14:textId="77777777">
      <w:pPr>
        <w:rPr>
          <w:rFonts w:ascii="Arial" w:hAnsi="Arial" w:cs="Arial"/>
          <w:i/>
          <w:sz w:val="24"/>
          <w:szCs w:val="24"/>
        </w:rPr>
      </w:pPr>
      <w:r w:rsidRPr="00B7186E">
        <w:rPr>
          <w:rFonts w:ascii="Arial" w:hAnsi="Arial" w:cs="Arial"/>
          <w:i/>
          <w:sz w:val="24"/>
          <w:szCs w:val="24"/>
        </w:rPr>
        <w:t>Extract from the Constitution for the Shadow Authority for Buckinghamshire</w:t>
      </w:r>
    </w:p>
    <w:p xmlns:wp14="http://schemas.microsoft.com/office/word/2010/wordml" w:rsidRPr="006507C5" w:rsidR="006507C5" w:rsidP="006507C5" w:rsidRDefault="006507C5" w14:paraId="5DAB6C7B" wp14:textId="77777777">
      <w:pPr>
        <w:rPr>
          <w:rFonts w:ascii="Arial" w:hAnsi="Arial" w:cs="Arial"/>
          <w:sz w:val="24"/>
          <w:szCs w:val="24"/>
        </w:rPr>
      </w:pPr>
    </w:p>
    <w:tbl>
      <w:tblPr>
        <w:tblStyle w:val="TableGrid"/>
        <w:tblW w:w="0" w:type="auto"/>
        <w:tblInd w:w="100" w:type="dxa"/>
        <w:tblBorders>
          <w:insideH w:val="none" w:color="auto" w:sz="0" w:space="0"/>
          <w:insideV w:val="none" w:color="auto" w:sz="0" w:space="0"/>
        </w:tblBorders>
        <w:tblLook w:val="04A0" w:firstRow="1" w:lastRow="0" w:firstColumn="1" w:lastColumn="0" w:noHBand="0" w:noVBand="1"/>
      </w:tblPr>
      <w:tblGrid>
        <w:gridCol w:w="9016"/>
      </w:tblGrid>
      <w:tr xmlns:wp14="http://schemas.microsoft.com/office/word/2010/wordml" w:rsidRPr="006507C5" w:rsidR="006507C5" w:rsidTr="006507C5" w14:paraId="731A77E2" wp14:textId="77777777">
        <w:tc>
          <w:tcPr>
            <w:tcW w:w="9016" w:type="dxa"/>
          </w:tcPr>
          <w:p w:rsidRPr="006507C5" w:rsidR="006507C5" w:rsidP="00FC2A5D" w:rsidRDefault="006507C5" w14:paraId="3D8C0EA6" wp14:textId="77777777">
            <w:pPr>
              <w:pStyle w:val="Heading2"/>
              <w:ind w:left="0" w:right="0"/>
              <w:outlineLvl w:val="1"/>
              <w:rPr>
                <w:rFonts w:eastAsia="Times New Roman"/>
                <w:sz w:val="24"/>
                <w:szCs w:val="24"/>
                <w:lang w:val="en-US"/>
              </w:rPr>
            </w:pPr>
            <w:r w:rsidRPr="006507C5">
              <w:rPr>
                <w:rFonts w:eastAsia="Times New Roman"/>
                <w:sz w:val="24"/>
                <w:szCs w:val="24"/>
                <w:lang w:val="en-US"/>
              </w:rPr>
              <w:t>Article 4 - The full Shadow Authority</w:t>
            </w:r>
          </w:p>
        </w:tc>
      </w:tr>
      <w:tr xmlns:wp14="http://schemas.microsoft.com/office/word/2010/wordml" w:rsidRPr="006507C5" w:rsidR="006507C5" w:rsidTr="006507C5" w14:paraId="77CB0816" wp14:textId="77777777">
        <w:tc>
          <w:tcPr>
            <w:tcW w:w="9016" w:type="dxa"/>
          </w:tcPr>
          <w:p w:rsidRPr="006507C5" w:rsidR="006507C5" w:rsidP="00FC2A5D" w:rsidRDefault="006507C5" w14:paraId="2E258915" wp14:textId="77777777">
            <w:pPr>
              <w:pStyle w:val="Heading3"/>
              <w:numPr>
                <w:ilvl w:val="0"/>
                <w:numId w:val="1"/>
              </w:numPr>
              <w:spacing w:before="217"/>
              <w:outlineLvl w:val="2"/>
              <w:rPr>
                <w:rFonts w:eastAsia="Times New Roman"/>
                <w:lang w:val="en-US"/>
              </w:rPr>
            </w:pPr>
            <w:r w:rsidRPr="006507C5">
              <w:rPr>
                <w:rFonts w:eastAsia="Times New Roman"/>
                <w:lang w:val="en-US"/>
              </w:rPr>
              <w:t>Functions</w:t>
            </w:r>
          </w:p>
        </w:tc>
      </w:tr>
      <w:tr xmlns:wp14="http://schemas.microsoft.com/office/word/2010/wordml" w:rsidRPr="006507C5" w:rsidR="006507C5" w:rsidTr="006507C5" w14:paraId="02EB378F" wp14:textId="77777777">
        <w:tc>
          <w:tcPr>
            <w:tcW w:w="9016" w:type="dxa"/>
          </w:tcPr>
          <w:p w:rsidRPr="006507C5" w:rsidR="006507C5" w:rsidP="00FC2A5D" w:rsidRDefault="006507C5" w14:paraId="6A05A809" wp14:textId="77777777">
            <w:pPr>
              <w:pStyle w:val="BodyText"/>
              <w:spacing w:before="4"/>
              <w:rPr>
                <w:b/>
                <w:bCs/>
                <w:lang w:val="en-US"/>
              </w:rPr>
            </w:pPr>
          </w:p>
        </w:tc>
      </w:tr>
      <w:tr xmlns:wp14="http://schemas.microsoft.com/office/word/2010/wordml" w:rsidRPr="006507C5" w:rsidR="006507C5" w:rsidTr="006507C5" w14:paraId="3045DAA9" wp14:textId="77777777">
        <w:tc>
          <w:tcPr>
            <w:tcW w:w="9016" w:type="dxa"/>
          </w:tcPr>
          <w:p w:rsidRPr="006507C5" w:rsidR="006507C5" w:rsidP="00FC2A5D" w:rsidRDefault="006507C5" w14:paraId="030FAF9F" wp14:textId="77777777">
            <w:pPr>
              <w:pStyle w:val="ListParagraph"/>
              <w:numPr>
                <w:ilvl w:val="1"/>
                <w:numId w:val="1"/>
              </w:numPr>
              <w:spacing w:before="1"/>
              <w:rPr>
                <w:sz w:val="24"/>
                <w:szCs w:val="24"/>
                <w:lang w:val="en-US"/>
              </w:rPr>
            </w:pPr>
            <w:r w:rsidRPr="006507C5">
              <w:rPr>
                <w:sz w:val="24"/>
                <w:szCs w:val="24"/>
                <w:lang w:val="en-US"/>
              </w:rPr>
              <w:t>The functions of the Shadow Authority are set out in the Buckinghamshire (Structural Changes) Order 2019 (“the 2019 Order”) and in relevant consequential</w:t>
            </w:r>
            <w:r w:rsidRPr="006507C5">
              <w:rPr>
                <w:spacing w:val="-7"/>
                <w:sz w:val="24"/>
                <w:szCs w:val="24"/>
                <w:lang w:val="en-US"/>
              </w:rPr>
              <w:t xml:space="preserve"> </w:t>
            </w:r>
            <w:r w:rsidRPr="006507C5">
              <w:rPr>
                <w:sz w:val="24"/>
                <w:szCs w:val="24"/>
                <w:lang w:val="en-US"/>
              </w:rPr>
              <w:t>orders.</w:t>
            </w:r>
          </w:p>
        </w:tc>
      </w:tr>
      <w:tr xmlns:wp14="http://schemas.microsoft.com/office/word/2010/wordml" w:rsidRPr="006507C5" w:rsidR="006507C5" w:rsidTr="006507C5" w14:paraId="5A39BBE3" wp14:textId="77777777">
        <w:tc>
          <w:tcPr>
            <w:tcW w:w="9016" w:type="dxa"/>
          </w:tcPr>
          <w:p w:rsidRPr="006507C5" w:rsidR="006507C5" w:rsidP="00FC2A5D" w:rsidRDefault="006507C5" w14:paraId="41C8F396" wp14:textId="77777777">
            <w:pPr>
              <w:pStyle w:val="BodyText"/>
              <w:rPr>
                <w:lang w:val="en-US"/>
              </w:rPr>
            </w:pPr>
          </w:p>
        </w:tc>
      </w:tr>
      <w:tr xmlns:wp14="http://schemas.microsoft.com/office/word/2010/wordml" w:rsidRPr="006507C5" w:rsidR="006507C5" w:rsidTr="006507C5" w14:paraId="01667713" wp14:textId="77777777">
        <w:tc>
          <w:tcPr>
            <w:tcW w:w="9016" w:type="dxa"/>
          </w:tcPr>
          <w:p w:rsidRPr="006507C5" w:rsidR="006507C5" w:rsidP="00FC2A5D" w:rsidRDefault="006507C5" w14:paraId="645A80AE" wp14:textId="77777777">
            <w:pPr>
              <w:pStyle w:val="ListParagraph"/>
              <w:numPr>
                <w:ilvl w:val="1"/>
                <w:numId w:val="1"/>
              </w:numPr>
              <w:rPr>
                <w:sz w:val="24"/>
                <w:szCs w:val="24"/>
                <w:lang w:val="en-US"/>
              </w:rPr>
            </w:pPr>
            <w:r w:rsidRPr="006507C5">
              <w:rPr>
                <w:sz w:val="24"/>
                <w:szCs w:val="24"/>
                <w:lang w:val="en-US"/>
              </w:rPr>
              <w:t>Save to the extent any provision of any Act, the 2019 Order or regulations under sections 9D or 9DA of the Local Government Act 2000 require otherwise, then unless the Shadow Executive requests the Shadow Authority to discharge any function in accordance with Article 16 (3) of the 2019 Order, the functions of the Shadow Authority conferred on the Shadow Authority by or under the 2019 Order are delegated to the Shadow Executive.</w:t>
            </w:r>
          </w:p>
        </w:tc>
      </w:tr>
      <w:tr xmlns:wp14="http://schemas.microsoft.com/office/word/2010/wordml" w:rsidRPr="006507C5" w:rsidR="006507C5" w:rsidTr="006507C5" w14:paraId="72A3D3EC" wp14:textId="77777777">
        <w:tc>
          <w:tcPr>
            <w:tcW w:w="9016" w:type="dxa"/>
          </w:tcPr>
          <w:p w:rsidRPr="006507C5" w:rsidR="006507C5" w:rsidP="00FC2A5D" w:rsidRDefault="006507C5" w14:paraId="0D0B940D" wp14:textId="77777777">
            <w:pPr>
              <w:pStyle w:val="BodyText"/>
              <w:rPr>
                <w:lang w:val="en-US"/>
              </w:rPr>
            </w:pPr>
          </w:p>
        </w:tc>
      </w:tr>
      <w:tr xmlns:wp14="http://schemas.microsoft.com/office/word/2010/wordml" w:rsidRPr="006507C5" w:rsidR="006507C5" w:rsidTr="006507C5" w14:paraId="6AC863B5" wp14:textId="77777777">
        <w:tc>
          <w:tcPr>
            <w:tcW w:w="9016" w:type="dxa"/>
          </w:tcPr>
          <w:p w:rsidRPr="006507C5" w:rsidR="006507C5" w:rsidP="00FC2A5D" w:rsidRDefault="006507C5" w14:paraId="38C4284D" wp14:textId="77777777">
            <w:pPr>
              <w:pStyle w:val="ListParagraph"/>
              <w:numPr>
                <w:ilvl w:val="1"/>
                <w:numId w:val="1"/>
              </w:numPr>
              <w:rPr>
                <w:sz w:val="24"/>
                <w:szCs w:val="24"/>
                <w:lang w:val="en-US"/>
              </w:rPr>
            </w:pPr>
            <w:r w:rsidRPr="006507C5">
              <w:rPr>
                <w:sz w:val="24"/>
                <w:szCs w:val="24"/>
                <w:lang w:val="en-US"/>
              </w:rPr>
              <w:t>The Shadow Authority will be responsible for the adoption of the Shadow Authority’s budget and policy framework. For these purposes the budget includes the setting of the council tax; and the policy framework means such plans and strategies as must by law be approved by the Shadow Authority.</w:t>
            </w:r>
          </w:p>
        </w:tc>
      </w:tr>
      <w:tr xmlns:wp14="http://schemas.microsoft.com/office/word/2010/wordml" w:rsidRPr="006507C5" w:rsidR="006507C5" w:rsidTr="006507C5" w14:paraId="0E27B00A" wp14:textId="77777777">
        <w:tc>
          <w:tcPr>
            <w:tcW w:w="9016" w:type="dxa"/>
          </w:tcPr>
          <w:p w:rsidRPr="006507C5" w:rsidR="006507C5" w:rsidP="00FC2A5D" w:rsidRDefault="006507C5" w14:paraId="60061E4C" wp14:textId="77777777">
            <w:pPr>
              <w:pStyle w:val="BodyText"/>
              <w:rPr>
                <w:lang w:val="en-US"/>
              </w:rPr>
            </w:pPr>
          </w:p>
        </w:tc>
      </w:tr>
      <w:tr xmlns:wp14="http://schemas.microsoft.com/office/word/2010/wordml" w:rsidRPr="006507C5" w:rsidR="006507C5" w:rsidTr="006507C5" w14:paraId="5F3C6780" wp14:textId="77777777">
        <w:tc>
          <w:tcPr>
            <w:tcW w:w="9016" w:type="dxa"/>
          </w:tcPr>
          <w:p w:rsidRPr="006507C5" w:rsidR="006507C5" w:rsidP="00FC2A5D" w:rsidRDefault="006507C5" w14:paraId="21B79783" wp14:textId="77777777">
            <w:pPr>
              <w:pStyle w:val="ListParagraph"/>
              <w:numPr>
                <w:ilvl w:val="1"/>
                <w:numId w:val="1"/>
              </w:numPr>
              <w:rPr>
                <w:sz w:val="24"/>
                <w:szCs w:val="24"/>
                <w:lang w:val="en-US"/>
              </w:rPr>
            </w:pPr>
            <w:r w:rsidRPr="006507C5">
              <w:rPr>
                <w:sz w:val="24"/>
                <w:szCs w:val="24"/>
                <w:lang w:val="en-US"/>
              </w:rPr>
              <w:t>The Shadow Authority also has the functions set out in Part 3 of this Constitution.</w:t>
            </w:r>
          </w:p>
        </w:tc>
      </w:tr>
      <w:tr xmlns:wp14="http://schemas.microsoft.com/office/word/2010/wordml" w:rsidRPr="006507C5" w:rsidR="006507C5" w:rsidTr="006507C5" w14:paraId="44EAFD9C" wp14:textId="77777777">
        <w:tc>
          <w:tcPr>
            <w:tcW w:w="9016" w:type="dxa"/>
          </w:tcPr>
          <w:p w:rsidRPr="006507C5" w:rsidR="006507C5" w:rsidP="00FC2A5D" w:rsidRDefault="006507C5" w14:paraId="4B94D5A5" wp14:textId="77777777">
            <w:pPr>
              <w:pStyle w:val="BodyText"/>
              <w:spacing w:before="2"/>
              <w:rPr>
                <w:lang w:val="en-US"/>
              </w:rPr>
            </w:pPr>
          </w:p>
        </w:tc>
      </w:tr>
      <w:tr xmlns:wp14="http://schemas.microsoft.com/office/word/2010/wordml" w:rsidRPr="006507C5" w:rsidR="006507C5" w:rsidTr="006507C5" w14:paraId="5ECAF739" wp14:textId="77777777">
        <w:tc>
          <w:tcPr>
            <w:tcW w:w="9016" w:type="dxa"/>
          </w:tcPr>
          <w:p w:rsidRPr="006507C5" w:rsidR="006507C5" w:rsidP="00FC2A5D" w:rsidRDefault="006507C5" w14:paraId="1EF2E736" wp14:textId="77777777">
            <w:pPr>
              <w:pStyle w:val="Heading3"/>
              <w:numPr>
                <w:ilvl w:val="0"/>
                <w:numId w:val="1"/>
              </w:numPr>
              <w:outlineLvl w:val="2"/>
              <w:rPr>
                <w:rFonts w:eastAsia="Times New Roman"/>
                <w:lang w:val="en-US"/>
              </w:rPr>
            </w:pPr>
            <w:r w:rsidRPr="006507C5">
              <w:rPr>
                <w:rFonts w:eastAsia="Times New Roman"/>
                <w:lang w:val="en-US"/>
              </w:rPr>
              <w:t>Shadow Authority</w:t>
            </w:r>
            <w:r w:rsidRPr="006507C5">
              <w:rPr>
                <w:rFonts w:eastAsia="Times New Roman"/>
                <w:spacing w:val="-64"/>
                <w:lang w:val="en-US"/>
              </w:rPr>
              <w:t xml:space="preserve"> </w:t>
            </w:r>
            <w:r w:rsidRPr="006507C5">
              <w:rPr>
                <w:rFonts w:eastAsia="Times New Roman"/>
                <w:lang w:val="en-US"/>
              </w:rPr>
              <w:t>Meeting</w:t>
            </w:r>
          </w:p>
        </w:tc>
      </w:tr>
      <w:tr xmlns:wp14="http://schemas.microsoft.com/office/word/2010/wordml" w:rsidRPr="006507C5" w:rsidR="006507C5" w:rsidTr="006507C5" w14:paraId="3DEEC669" wp14:textId="77777777">
        <w:tc>
          <w:tcPr>
            <w:tcW w:w="9016" w:type="dxa"/>
          </w:tcPr>
          <w:p w:rsidRPr="006507C5" w:rsidR="006507C5" w:rsidP="00FC2A5D" w:rsidRDefault="006507C5" w14:paraId="3656B9AB" wp14:textId="77777777">
            <w:pPr>
              <w:pStyle w:val="BodyText"/>
              <w:spacing w:before="2"/>
              <w:rPr>
                <w:b/>
                <w:bCs/>
                <w:lang w:val="en-US"/>
              </w:rPr>
            </w:pPr>
          </w:p>
        </w:tc>
      </w:tr>
      <w:tr xmlns:wp14="http://schemas.microsoft.com/office/word/2010/wordml" w:rsidRPr="006507C5" w:rsidR="006507C5" w:rsidTr="006507C5" w14:paraId="1D8A4336" wp14:textId="77777777">
        <w:tc>
          <w:tcPr>
            <w:tcW w:w="9016" w:type="dxa"/>
          </w:tcPr>
          <w:p w:rsidRPr="006507C5" w:rsidR="006507C5" w:rsidP="00FC2A5D" w:rsidRDefault="006507C5" w14:paraId="23A9E170" wp14:textId="77777777">
            <w:pPr>
              <w:pStyle w:val="ListParagraph"/>
              <w:numPr>
                <w:ilvl w:val="1"/>
                <w:numId w:val="1"/>
              </w:numPr>
              <w:spacing w:before="1"/>
              <w:rPr>
                <w:sz w:val="24"/>
                <w:szCs w:val="24"/>
                <w:lang w:val="en-US"/>
              </w:rPr>
            </w:pPr>
            <w:r w:rsidRPr="006507C5">
              <w:rPr>
                <w:sz w:val="24"/>
                <w:szCs w:val="24"/>
                <w:lang w:val="en-US"/>
              </w:rPr>
              <w:t>The first meeting of the Shadow Authority will be held within 14 days after the coming into force of the 2019</w:t>
            </w:r>
            <w:r w:rsidRPr="006507C5">
              <w:rPr>
                <w:spacing w:val="-8"/>
                <w:sz w:val="24"/>
                <w:szCs w:val="24"/>
                <w:lang w:val="en-US"/>
              </w:rPr>
              <w:t xml:space="preserve"> </w:t>
            </w:r>
            <w:r w:rsidRPr="006507C5">
              <w:rPr>
                <w:sz w:val="24"/>
                <w:szCs w:val="24"/>
                <w:lang w:val="en-US"/>
              </w:rPr>
              <w:t>Order.</w:t>
            </w:r>
          </w:p>
        </w:tc>
      </w:tr>
      <w:tr xmlns:wp14="http://schemas.microsoft.com/office/word/2010/wordml" w:rsidRPr="006507C5" w:rsidR="006507C5" w:rsidTr="006507C5" w14:paraId="45FB0818" wp14:textId="77777777">
        <w:tc>
          <w:tcPr>
            <w:tcW w:w="9016" w:type="dxa"/>
          </w:tcPr>
          <w:p w:rsidRPr="006507C5" w:rsidR="006507C5" w:rsidP="00FC2A5D" w:rsidRDefault="006507C5" w14:paraId="049F31CB" wp14:textId="77777777">
            <w:pPr>
              <w:pStyle w:val="BodyText"/>
              <w:spacing w:before="4"/>
              <w:rPr>
                <w:lang w:val="en-US"/>
              </w:rPr>
            </w:pPr>
          </w:p>
        </w:tc>
      </w:tr>
      <w:tr xmlns:wp14="http://schemas.microsoft.com/office/word/2010/wordml" w:rsidRPr="006507C5" w:rsidR="006507C5" w:rsidTr="006507C5" w14:paraId="1F582AD9" wp14:textId="77777777">
        <w:tc>
          <w:tcPr>
            <w:tcW w:w="9016" w:type="dxa"/>
          </w:tcPr>
          <w:p w:rsidRPr="006507C5" w:rsidR="006507C5" w:rsidP="00FC2A5D" w:rsidRDefault="006507C5" w14:paraId="45392521" wp14:textId="77777777">
            <w:pPr>
              <w:pStyle w:val="ListParagraph"/>
              <w:numPr>
                <w:ilvl w:val="1"/>
                <w:numId w:val="1"/>
              </w:numPr>
              <w:spacing w:before="1"/>
              <w:rPr>
                <w:sz w:val="24"/>
                <w:szCs w:val="24"/>
                <w:lang w:val="en-US"/>
              </w:rPr>
            </w:pPr>
            <w:r w:rsidRPr="006507C5">
              <w:rPr>
                <w:sz w:val="24"/>
                <w:szCs w:val="24"/>
                <w:lang w:val="en-US"/>
              </w:rPr>
              <w:t>Ordinary</w:t>
            </w:r>
            <w:r w:rsidRPr="006507C5">
              <w:rPr>
                <w:spacing w:val="-19"/>
                <w:sz w:val="24"/>
                <w:szCs w:val="24"/>
                <w:lang w:val="en-US"/>
              </w:rPr>
              <w:t xml:space="preserve"> m</w:t>
            </w:r>
            <w:r w:rsidRPr="006507C5">
              <w:rPr>
                <w:sz w:val="24"/>
                <w:szCs w:val="24"/>
                <w:lang w:val="en-US"/>
              </w:rPr>
              <w:t>eetings</w:t>
            </w:r>
            <w:r w:rsidRPr="006507C5">
              <w:rPr>
                <w:spacing w:val="-16"/>
                <w:sz w:val="24"/>
                <w:szCs w:val="24"/>
                <w:lang w:val="en-US"/>
              </w:rPr>
              <w:t xml:space="preserve"> </w:t>
            </w:r>
            <w:r w:rsidRPr="006507C5">
              <w:rPr>
                <w:sz w:val="24"/>
                <w:szCs w:val="24"/>
                <w:lang w:val="en-US"/>
              </w:rPr>
              <w:t>will</w:t>
            </w:r>
            <w:r w:rsidRPr="006507C5">
              <w:rPr>
                <w:spacing w:val="-15"/>
                <w:sz w:val="24"/>
                <w:szCs w:val="24"/>
                <w:lang w:val="en-US"/>
              </w:rPr>
              <w:t xml:space="preserve"> </w:t>
            </w:r>
            <w:r w:rsidRPr="006507C5">
              <w:rPr>
                <w:sz w:val="24"/>
                <w:szCs w:val="24"/>
                <w:lang w:val="en-US"/>
              </w:rPr>
              <w:t>be</w:t>
            </w:r>
            <w:r w:rsidRPr="006507C5">
              <w:rPr>
                <w:spacing w:val="-16"/>
                <w:sz w:val="24"/>
                <w:szCs w:val="24"/>
                <w:lang w:val="en-US"/>
              </w:rPr>
              <w:t xml:space="preserve"> </w:t>
            </w:r>
            <w:r w:rsidRPr="006507C5">
              <w:rPr>
                <w:sz w:val="24"/>
                <w:szCs w:val="24"/>
                <w:lang w:val="en-US"/>
              </w:rPr>
              <w:t>held</w:t>
            </w:r>
            <w:r w:rsidRPr="006507C5">
              <w:rPr>
                <w:spacing w:val="-16"/>
                <w:sz w:val="24"/>
                <w:szCs w:val="24"/>
                <w:lang w:val="en-US"/>
              </w:rPr>
              <w:t xml:space="preserve"> </w:t>
            </w:r>
            <w:r w:rsidRPr="006507C5">
              <w:rPr>
                <w:sz w:val="24"/>
                <w:szCs w:val="24"/>
                <w:lang w:val="en-US"/>
              </w:rPr>
              <w:t>according</w:t>
            </w:r>
            <w:r w:rsidRPr="006507C5">
              <w:rPr>
                <w:spacing w:val="-18"/>
                <w:sz w:val="24"/>
                <w:szCs w:val="24"/>
                <w:lang w:val="en-US"/>
              </w:rPr>
              <w:t xml:space="preserve"> </w:t>
            </w:r>
            <w:r w:rsidRPr="006507C5">
              <w:rPr>
                <w:sz w:val="24"/>
                <w:szCs w:val="24"/>
                <w:lang w:val="en-US"/>
              </w:rPr>
              <w:t>to</w:t>
            </w:r>
            <w:r w:rsidRPr="006507C5">
              <w:rPr>
                <w:spacing w:val="-17"/>
                <w:sz w:val="24"/>
                <w:szCs w:val="24"/>
                <w:lang w:val="en-US"/>
              </w:rPr>
              <w:t xml:space="preserve"> </w:t>
            </w:r>
            <w:r w:rsidRPr="006507C5">
              <w:rPr>
                <w:sz w:val="24"/>
                <w:szCs w:val="24"/>
                <w:lang w:val="en-US"/>
              </w:rPr>
              <w:t>a</w:t>
            </w:r>
            <w:r w:rsidRPr="006507C5">
              <w:rPr>
                <w:spacing w:val="-18"/>
                <w:sz w:val="24"/>
                <w:szCs w:val="24"/>
                <w:lang w:val="en-US"/>
              </w:rPr>
              <w:t xml:space="preserve"> </w:t>
            </w:r>
            <w:r w:rsidRPr="006507C5">
              <w:rPr>
                <w:sz w:val="24"/>
                <w:szCs w:val="24"/>
                <w:lang w:val="en-US"/>
              </w:rPr>
              <w:t>calendar</w:t>
            </w:r>
            <w:r w:rsidRPr="006507C5">
              <w:rPr>
                <w:spacing w:val="-17"/>
                <w:sz w:val="24"/>
                <w:szCs w:val="24"/>
                <w:lang w:val="en-US"/>
              </w:rPr>
              <w:t xml:space="preserve"> </w:t>
            </w:r>
            <w:r w:rsidRPr="006507C5">
              <w:rPr>
                <w:sz w:val="24"/>
                <w:szCs w:val="24"/>
                <w:lang w:val="en-US"/>
              </w:rPr>
              <w:t>of</w:t>
            </w:r>
            <w:r w:rsidRPr="006507C5">
              <w:rPr>
                <w:spacing w:val="-16"/>
                <w:sz w:val="24"/>
                <w:szCs w:val="24"/>
                <w:lang w:val="en-US"/>
              </w:rPr>
              <w:t xml:space="preserve"> </w:t>
            </w:r>
            <w:r w:rsidRPr="006507C5">
              <w:rPr>
                <w:sz w:val="24"/>
                <w:szCs w:val="24"/>
                <w:lang w:val="en-US"/>
              </w:rPr>
              <w:t>meetings</w:t>
            </w:r>
            <w:r w:rsidRPr="006507C5">
              <w:rPr>
                <w:spacing w:val="-16"/>
                <w:sz w:val="24"/>
                <w:szCs w:val="24"/>
                <w:lang w:val="en-US"/>
              </w:rPr>
              <w:t xml:space="preserve"> </w:t>
            </w:r>
            <w:r w:rsidRPr="006507C5">
              <w:rPr>
                <w:sz w:val="24"/>
                <w:szCs w:val="24"/>
                <w:lang w:val="en-US"/>
              </w:rPr>
              <w:t>to</w:t>
            </w:r>
            <w:r w:rsidRPr="006507C5">
              <w:rPr>
                <w:spacing w:val="-17"/>
                <w:sz w:val="24"/>
                <w:szCs w:val="24"/>
                <w:lang w:val="en-US"/>
              </w:rPr>
              <w:t xml:space="preserve"> </w:t>
            </w:r>
            <w:r w:rsidRPr="006507C5">
              <w:rPr>
                <w:sz w:val="24"/>
                <w:szCs w:val="24"/>
                <w:lang w:val="en-US"/>
              </w:rPr>
              <w:t>be</w:t>
            </w:r>
            <w:r w:rsidRPr="006507C5">
              <w:rPr>
                <w:spacing w:val="-18"/>
                <w:sz w:val="24"/>
                <w:szCs w:val="24"/>
                <w:lang w:val="en-US"/>
              </w:rPr>
              <w:t xml:space="preserve"> </w:t>
            </w:r>
            <w:r w:rsidRPr="006507C5">
              <w:rPr>
                <w:sz w:val="24"/>
                <w:szCs w:val="24"/>
                <w:lang w:val="en-US"/>
              </w:rPr>
              <w:t>agreed by the Shadow Authority and which will be published once</w:t>
            </w:r>
            <w:r w:rsidRPr="006507C5">
              <w:rPr>
                <w:spacing w:val="-25"/>
                <w:sz w:val="24"/>
                <w:szCs w:val="24"/>
                <w:lang w:val="en-US"/>
              </w:rPr>
              <w:t xml:space="preserve"> </w:t>
            </w:r>
            <w:r w:rsidRPr="006507C5">
              <w:rPr>
                <w:sz w:val="24"/>
                <w:szCs w:val="24"/>
                <w:lang w:val="en-US"/>
              </w:rPr>
              <w:t>agreed.</w:t>
            </w:r>
          </w:p>
        </w:tc>
      </w:tr>
      <w:tr xmlns:wp14="http://schemas.microsoft.com/office/word/2010/wordml" w:rsidRPr="006507C5" w:rsidR="006507C5" w:rsidTr="006507C5" w14:paraId="53128261" wp14:textId="77777777">
        <w:tc>
          <w:tcPr>
            <w:tcW w:w="9016" w:type="dxa"/>
          </w:tcPr>
          <w:p w:rsidRPr="006507C5" w:rsidR="006507C5" w:rsidP="00FC2A5D" w:rsidRDefault="006507C5" w14:paraId="62486C05" wp14:textId="77777777">
            <w:pPr>
              <w:pStyle w:val="BodyText"/>
              <w:spacing w:before="2"/>
              <w:rPr>
                <w:lang w:val="en-US"/>
              </w:rPr>
            </w:pPr>
          </w:p>
        </w:tc>
      </w:tr>
      <w:tr xmlns:wp14="http://schemas.microsoft.com/office/word/2010/wordml" w:rsidRPr="006507C5" w:rsidR="006507C5" w:rsidTr="006507C5" w14:paraId="6BEEEFA3" wp14:textId="77777777">
        <w:tc>
          <w:tcPr>
            <w:tcW w:w="9016" w:type="dxa"/>
          </w:tcPr>
          <w:p w:rsidRPr="006507C5" w:rsidR="006507C5" w:rsidP="00FC2A5D" w:rsidRDefault="006507C5" w14:paraId="6CD2DD65" wp14:textId="77777777">
            <w:pPr>
              <w:pStyle w:val="ListParagraph"/>
              <w:numPr>
                <w:ilvl w:val="1"/>
                <w:numId w:val="1"/>
              </w:numPr>
              <w:rPr>
                <w:sz w:val="24"/>
                <w:szCs w:val="24"/>
                <w:lang w:val="en-US"/>
              </w:rPr>
            </w:pPr>
            <w:r w:rsidRPr="006507C5">
              <w:rPr>
                <w:sz w:val="24"/>
                <w:szCs w:val="24"/>
                <w:lang w:val="en-US"/>
              </w:rPr>
              <w:t xml:space="preserve">Extraordinary meetings may be called as and when required </w:t>
            </w:r>
            <w:r w:rsidRPr="006507C5">
              <w:rPr>
                <w:spacing w:val="8"/>
                <w:sz w:val="24"/>
                <w:szCs w:val="24"/>
                <w:lang w:val="en-US"/>
              </w:rPr>
              <w:t xml:space="preserve">as </w:t>
            </w:r>
            <w:r w:rsidRPr="006507C5">
              <w:rPr>
                <w:sz w:val="24"/>
                <w:szCs w:val="24"/>
                <w:lang w:val="en-US"/>
              </w:rPr>
              <w:t>provided in the Shadow Authority Procedure</w:t>
            </w:r>
            <w:r w:rsidRPr="006507C5">
              <w:rPr>
                <w:spacing w:val="-31"/>
                <w:sz w:val="24"/>
                <w:szCs w:val="24"/>
                <w:lang w:val="en-US"/>
              </w:rPr>
              <w:t xml:space="preserve"> </w:t>
            </w:r>
            <w:r w:rsidRPr="006507C5">
              <w:rPr>
                <w:sz w:val="24"/>
                <w:szCs w:val="24"/>
                <w:lang w:val="en-US"/>
              </w:rPr>
              <w:t>Rules.</w:t>
            </w:r>
          </w:p>
        </w:tc>
      </w:tr>
      <w:tr xmlns:wp14="http://schemas.microsoft.com/office/word/2010/wordml" w:rsidRPr="006507C5" w:rsidR="006507C5" w:rsidTr="006507C5" w14:paraId="4101652C" wp14:textId="77777777">
        <w:tc>
          <w:tcPr>
            <w:tcW w:w="9016" w:type="dxa"/>
          </w:tcPr>
          <w:p w:rsidRPr="006507C5" w:rsidR="006507C5" w:rsidP="00FC2A5D" w:rsidRDefault="006507C5" w14:paraId="4B99056E" wp14:textId="77777777">
            <w:pPr>
              <w:pStyle w:val="BodyText"/>
              <w:spacing w:before="2"/>
              <w:rPr>
                <w:lang w:val="en-US"/>
              </w:rPr>
            </w:pPr>
          </w:p>
        </w:tc>
      </w:tr>
      <w:tr xmlns:wp14="http://schemas.microsoft.com/office/word/2010/wordml" w:rsidRPr="006507C5" w:rsidR="006507C5" w:rsidTr="006507C5" w14:paraId="1536ECF1" wp14:textId="77777777">
        <w:tc>
          <w:tcPr>
            <w:tcW w:w="9016" w:type="dxa"/>
          </w:tcPr>
          <w:p w:rsidRPr="006507C5" w:rsidR="006507C5" w:rsidP="00FC2A5D" w:rsidRDefault="006507C5" w14:paraId="45EB8754" wp14:textId="77777777">
            <w:pPr>
              <w:pStyle w:val="Heading3"/>
              <w:numPr>
                <w:ilvl w:val="0"/>
                <w:numId w:val="1"/>
              </w:numPr>
              <w:outlineLvl w:val="2"/>
              <w:rPr>
                <w:rFonts w:eastAsia="Times New Roman"/>
                <w:lang w:val="en-US"/>
              </w:rPr>
            </w:pPr>
            <w:r w:rsidRPr="006507C5">
              <w:rPr>
                <w:rFonts w:eastAsia="Times New Roman"/>
                <w:lang w:val="en-US"/>
              </w:rPr>
              <w:t>Conduct</w:t>
            </w:r>
            <w:r w:rsidRPr="006507C5">
              <w:rPr>
                <w:rFonts w:eastAsia="Times New Roman"/>
                <w:spacing w:val="-37"/>
                <w:lang w:val="en-US"/>
              </w:rPr>
              <w:t xml:space="preserve"> </w:t>
            </w:r>
            <w:r w:rsidRPr="006507C5">
              <w:rPr>
                <w:rFonts w:eastAsia="Times New Roman"/>
                <w:lang w:val="en-US"/>
              </w:rPr>
              <w:t>of</w:t>
            </w:r>
            <w:r w:rsidRPr="006507C5">
              <w:rPr>
                <w:rFonts w:eastAsia="Times New Roman"/>
                <w:spacing w:val="-37"/>
                <w:lang w:val="en-US"/>
              </w:rPr>
              <w:t xml:space="preserve"> </w:t>
            </w:r>
            <w:r w:rsidRPr="006507C5">
              <w:rPr>
                <w:rFonts w:eastAsia="Times New Roman"/>
                <w:lang w:val="en-US"/>
              </w:rPr>
              <w:t>Shadow Authority</w:t>
            </w:r>
            <w:r w:rsidRPr="006507C5">
              <w:rPr>
                <w:rFonts w:eastAsia="Times New Roman"/>
                <w:spacing w:val="-33"/>
                <w:lang w:val="en-US"/>
              </w:rPr>
              <w:t xml:space="preserve"> </w:t>
            </w:r>
            <w:r w:rsidRPr="006507C5">
              <w:rPr>
                <w:rFonts w:eastAsia="Times New Roman"/>
                <w:lang w:val="en-US"/>
              </w:rPr>
              <w:t>Meetings</w:t>
            </w:r>
          </w:p>
        </w:tc>
      </w:tr>
      <w:tr xmlns:wp14="http://schemas.microsoft.com/office/word/2010/wordml" w:rsidRPr="006507C5" w:rsidR="006507C5" w:rsidTr="006507C5" w14:paraId="1299C43A" wp14:textId="77777777">
        <w:tc>
          <w:tcPr>
            <w:tcW w:w="9016" w:type="dxa"/>
          </w:tcPr>
          <w:p w:rsidRPr="006507C5" w:rsidR="006507C5" w:rsidP="00FC2A5D" w:rsidRDefault="006507C5" w14:paraId="4DDBEF00" wp14:textId="77777777">
            <w:pPr>
              <w:pStyle w:val="BodyText"/>
              <w:spacing w:before="4"/>
              <w:rPr>
                <w:b/>
                <w:bCs/>
                <w:lang w:val="en-US"/>
              </w:rPr>
            </w:pPr>
          </w:p>
        </w:tc>
      </w:tr>
      <w:tr xmlns:wp14="http://schemas.microsoft.com/office/word/2010/wordml" w:rsidRPr="006507C5" w:rsidR="006507C5" w:rsidTr="006507C5" w14:paraId="6EDC38AD" wp14:textId="77777777">
        <w:tc>
          <w:tcPr>
            <w:tcW w:w="9016" w:type="dxa"/>
          </w:tcPr>
          <w:p w:rsidR="006507C5" w:rsidP="00FC2A5D" w:rsidRDefault="006507C5" w14:paraId="2F92B72D" wp14:textId="77777777">
            <w:pPr>
              <w:pStyle w:val="ListParagraph"/>
              <w:numPr>
                <w:ilvl w:val="1"/>
                <w:numId w:val="1"/>
              </w:numPr>
              <w:spacing w:before="1"/>
              <w:rPr>
                <w:sz w:val="24"/>
                <w:szCs w:val="24"/>
                <w:lang w:val="en-US"/>
              </w:rPr>
            </w:pPr>
            <w:r w:rsidRPr="006507C5">
              <w:rPr>
                <w:sz w:val="24"/>
                <w:szCs w:val="24"/>
                <w:lang w:val="en-US"/>
              </w:rPr>
              <w:t>Shadow Authority meetings will be conducted in accordance with the law</w:t>
            </w:r>
            <w:r w:rsidRPr="006507C5">
              <w:rPr>
                <w:spacing w:val="-31"/>
                <w:sz w:val="24"/>
                <w:szCs w:val="24"/>
                <w:lang w:val="en-US"/>
              </w:rPr>
              <w:t xml:space="preserve"> </w:t>
            </w:r>
            <w:r w:rsidRPr="006507C5">
              <w:rPr>
                <w:sz w:val="24"/>
                <w:szCs w:val="24"/>
                <w:lang w:val="en-US"/>
              </w:rPr>
              <w:t>and the Shadow Authority Procedures</w:t>
            </w:r>
            <w:r w:rsidRPr="006507C5">
              <w:rPr>
                <w:spacing w:val="-27"/>
                <w:sz w:val="24"/>
                <w:szCs w:val="24"/>
                <w:lang w:val="en-US"/>
              </w:rPr>
              <w:t xml:space="preserve"> </w:t>
            </w:r>
            <w:r w:rsidRPr="006507C5">
              <w:rPr>
                <w:sz w:val="24"/>
                <w:szCs w:val="24"/>
                <w:lang w:val="en-US"/>
              </w:rPr>
              <w:t>Rules.</w:t>
            </w:r>
          </w:p>
          <w:p w:rsidR="006507C5" w:rsidP="006507C5" w:rsidRDefault="006507C5" w14:paraId="3461D779" wp14:textId="77777777">
            <w:pPr>
              <w:spacing w:before="1"/>
              <w:rPr>
                <w:sz w:val="24"/>
                <w:szCs w:val="24"/>
                <w:lang w:val="en-US"/>
              </w:rPr>
            </w:pPr>
          </w:p>
          <w:p w:rsidR="006507C5" w:rsidP="006507C5" w:rsidRDefault="006507C5" w14:paraId="3CF2D8B6" wp14:textId="77777777">
            <w:pPr>
              <w:spacing w:before="1"/>
              <w:rPr>
                <w:sz w:val="24"/>
                <w:szCs w:val="24"/>
                <w:lang w:val="en-US"/>
              </w:rPr>
            </w:pPr>
          </w:p>
          <w:p w:rsidR="006507C5" w:rsidP="006507C5" w:rsidRDefault="006507C5" w14:paraId="0FB78278" wp14:textId="77777777">
            <w:pPr>
              <w:spacing w:before="1"/>
              <w:rPr>
                <w:sz w:val="24"/>
                <w:szCs w:val="24"/>
                <w:lang w:val="en-US"/>
              </w:rPr>
            </w:pPr>
          </w:p>
          <w:p w:rsidRPr="006507C5" w:rsidR="006507C5" w:rsidP="006507C5" w:rsidRDefault="006507C5" w14:paraId="1FC39945" wp14:textId="77777777">
            <w:pPr>
              <w:spacing w:before="1"/>
              <w:rPr>
                <w:sz w:val="24"/>
                <w:szCs w:val="24"/>
                <w:lang w:val="en-US"/>
              </w:rPr>
            </w:pPr>
          </w:p>
        </w:tc>
      </w:tr>
      <w:tr xmlns:wp14="http://schemas.microsoft.com/office/word/2010/wordml" w:rsidRPr="006507C5" w:rsidR="006507C5" w:rsidTr="006507C5" w14:paraId="0562CB0E" wp14:textId="77777777">
        <w:tc>
          <w:tcPr>
            <w:tcW w:w="9016" w:type="dxa"/>
          </w:tcPr>
          <w:p w:rsidRPr="006507C5" w:rsidR="006507C5" w:rsidP="00FC2A5D" w:rsidRDefault="006507C5" w14:paraId="34CE0A41" wp14:textId="77777777">
            <w:pPr>
              <w:pStyle w:val="BodyText"/>
              <w:spacing w:before="3"/>
              <w:rPr>
                <w:lang w:val="en-US"/>
              </w:rPr>
            </w:pPr>
          </w:p>
        </w:tc>
      </w:tr>
      <w:tr xmlns:wp14="http://schemas.microsoft.com/office/word/2010/wordml" w:rsidRPr="006507C5" w:rsidR="006507C5" w:rsidTr="006507C5" w14:paraId="0AA1F5E1" wp14:textId="77777777">
        <w:tc>
          <w:tcPr>
            <w:tcW w:w="9016" w:type="dxa"/>
          </w:tcPr>
          <w:p w:rsidRPr="006507C5" w:rsidR="006507C5" w:rsidP="00FC2A5D" w:rsidRDefault="006507C5" w14:paraId="0E1AF2A5" wp14:textId="77777777">
            <w:pPr>
              <w:pStyle w:val="Heading3"/>
              <w:numPr>
                <w:ilvl w:val="0"/>
                <w:numId w:val="1"/>
              </w:numPr>
              <w:outlineLvl w:val="2"/>
              <w:rPr>
                <w:rFonts w:eastAsia="Times New Roman"/>
                <w:lang w:val="en-US"/>
              </w:rPr>
            </w:pPr>
            <w:r w:rsidRPr="006507C5">
              <w:rPr>
                <w:rFonts w:eastAsia="Times New Roman"/>
                <w:lang w:val="en-US"/>
              </w:rPr>
              <w:t>Responsibility for</w:t>
            </w:r>
            <w:r w:rsidRPr="006507C5">
              <w:rPr>
                <w:rFonts w:eastAsia="Times New Roman"/>
                <w:spacing w:val="-23"/>
                <w:lang w:val="en-US"/>
              </w:rPr>
              <w:t xml:space="preserve"> </w:t>
            </w:r>
            <w:r w:rsidRPr="006507C5">
              <w:rPr>
                <w:rFonts w:eastAsia="Times New Roman"/>
                <w:lang w:val="en-US"/>
              </w:rPr>
              <w:t>Functions</w:t>
            </w:r>
          </w:p>
        </w:tc>
      </w:tr>
      <w:tr xmlns:wp14="http://schemas.microsoft.com/office/word/2010/wordml" w:rsidRPr="006507C5" w:rsidR="006507C5" w:rsidTr="006507C5" w14:paraId="62EBF3C5" wp14:textId="77777777">
        <w:tc>
          <w:tcPr>
            <w:tcW w:w="9016" w:type="dxa"/>
          </w:tcPr>
          <w:p w:rsidRPr="006507C5" w:rsidR="006507C5" w:rsidP="00FC2A5D" w:rsidRDefault="006507C5" w14:paraId="6D98A12B" wp14:textId="77777777">
            <w:pPr>
              <w:pStyle w:val="BodyText"/>
              <w:spacing w:before="8"/>
              <w:rPr>
                <w:b/>
                <w:bCs/>
                <w:lang w:val="en-US"/>
              </w:rPr>
            </w:pPr>
          </w:p>
        </w:tc>
      </w:tr>
      <w:tr xmlns:wp14="http://schemas.microsoft.com/office/word/2010/wordml" w:rsidRPr="006507C5" w:rsidR="006507C5" w:rsidTr="006507C5" w14:paraId="624CA11D" wp14:textId="77777777">
        <w:tc>
          <w:tcPr>
            <w:tcW w:w="9016" w:type="dxa"/>
          </w:tcPr>
          <w:p w:rsidR="006507C5" w:rsidP="00FC2A5D" w:rsidRDefault="006507C5" w14:paraId="2C1BAF1E" wp14:textId="77777777">
            <w:pPr>
              <w:pStyle w:val="ListParagraph"/>
              <w:numPr>
                <w:ilvl w:val="1"/>
                <w:numId w:val="1"/>
              </w:numPr>
              <w:spacing w:line="274" w:lineRule="exact"/>
              <w:rPr>
                <w:sz w:val="24"/>
                <w:szCs w:val="24"/>
                <w:lang w:val="en-US"/>
              </w:rPr>
            </w:pPr>
            <w:r w:rsidRPr="006507C5">
              <w:rPr>
                <w:sz w:val="24"/>
                <w:szCs w:val="24"/>
                <w:lang w:val="en-US"/>
              </w:rPr>
              <w:t>The Shadow Authority will maintain a record of those Shadow Authority functions which are the responsibility of its subordinate</w:t>
            </w:r>
            <w:r w:rsidRPr="006507C5">
              <w:rPr>
                <w:spacing w:val="-44"/>
                <w:sz w:val="24"/>
                <w:szCs w:val="24"/>
                <w:lang w:val="en-US"/>
              </w:rPr>
              <w:t xml:space="preserve"> </w:t>
            </w:r>
            <w:r w:rsidRPr="006507C5">
              <w:rPr>
                <w:sz w:val="24"/>
                <w:szCs w:val="24"/>
                <w:lang w:val="en-US"/>
              </w:rPr>
              <w:t>bodies.</w:t>
            </w:r>
          </w:p>
          <w:p w:rsidRPr="006507C5" w:rsidR="006507C5" w:rsidP="006507C5" w:rsidRDefault="006507C5" w14:paraId="2946DB82" wp14:textId="77777777">
            <w:pPr>
              <w:pStyle w:val="ListParagraph"/>
              <w:spacing w:line="274" w:lineRule="exact"/>
              <w:ind w:firstLine="0"/>
              <w:rPr>
                <w:sz w:val="24"/>
                <w:szCs w:val="24"/>
                <w:lang w:val="en-US"/>
              </w:rPr>
            </w:pPr>
          </w:p>
        </w:tc>
      </w:tr>
    </w:tbl>
    <w:p xmlns:wp14="http://schemas.microsoft.com/office/word/2010/wordml" w:rsidRPr="006507C5" w:rsidR="00BC59EF" w:rsidP="006507C5" w:rsidRDefault="00BC59EF" w14:paraId="5997CC1D" wp14:textId="77777777">
      <w:pPr>
        <w:rPr>
          <w:rFonts w:ascii="Arial" w:hAnsi="Arial" w:cs="Arial"/>
          <w:sz w:val="24"/>
          <w:szCs w:val="24"/>
        </w:rPr>
      </w:pPr>
    </w:p>
    <w:p xmlns:wp14="http://schemas.microsoft.com/office/word/2010/wordml" w:rsidRPr="006507C5" w:rsidR="006507C5" w:rsidP="006507C5" w:rsidRDefault="006507C5" w14:paraId="201473F0" wp14:textId="60C06D63">
      <w:pPr>
        <w:rPr>
          <w:rFonts w:ascii="Arial" w:hAnsi="Arial" w:cs="Arial"/>
          <w:sz w:val="24"/>
          <w:szCs w:val="24"/>
        </w:rPr>
      </w:pPr>
      <w:r w:rsidRPr="0C8EA934" w:rsidR="006507C5">
        <w:rPr>
          <w:rFonts w:ascii="Arial" w:hAnsi="Arial" w:cs="Arial"/>
          <w:sz w:val="24"/>
          <w:szCs w:val="24"/>
        </w:rPr>
        <w:t xml:space="preserve"> </w:t>
      </w:r>
    </w:p>
    <w:sectPr w:rsidRPr="006507C5" w:rsidR="006507C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06DD2"/>
    <w:multiLevelType w:val="multilevel"/>
    <w:tmpl w:val="1EE80E10"/>
    <w:lvl w:ilvl="0">
      <w:start w:val="1"/>
      <w:numFmt w:val="decimal"/>
      <w:lvlText w:val="%1"/>
      <w:lvlJc w:val="left"/>
      <w:pPr>
        <w:ind w:left="808" w:hanging="708"/>
      </w:pPr>
      <w:rPr>
        <w:rFonts w:hint="default" w:ascii="Arial" w:hAnsi="Arial" w:eastAsia="Arial" w:cs="Arial"/>
        <w:b/>
        <w:bCs/>
        <w:w w:val="99"/>
        <w:sz w:val="24"/>
        <w:szCs w:val="24"/>
      </w:rPr>
    </w:lvl>
    <w:lvl w:ilvl="1">
      <w:start w:val="1"/>
      <w:numFmt w:val="decimal"/>
      <w:lvlText w:val="%1.%2"/>
      <w:lvlJc w:val="left"/>
      <w:pPr>
        <w:ind w:left="808" w:hanging="708"/>
      </w:pPr>
      <w:rPr>
        <w:rFonts w:hint="default" w:ascii="Arial" w:hAnsi="Arial" w:eastAsia="Arial" w:cs="Arial"/>
        <w:spacing w:val="-9"/>
        <w:w w:val="99"/>
        <w:sz w:val="24"/>
        <w:szCs w:val="24"/>
      </w:rPr>
    </w:lvl>
    <w:lvl w:ilvl="2">
      <w:start w:val="1"/>
      <w:numFmt w:val="bullet"/>
      <w:lvlText w:val="•"/>
      <w:lvlJc w:val="left"/>
      <w:pPr>
        <w:ind w:left="2487" w:hanging="708"/>
      </w:pPr>
    </w:lvl>
    <w:lvl w:ilvl="3">
      <w:start w:val="1"/>
      <w:numFmt w:val="bullet"/>
      <w:lvlText w:val="•"/>
      <w:lvlJc w:val="left"/>
      <w:pPr>
        <w:ind w:left="3331" w:hanging="708"/>
      </w:pPr>
    </w:lvl>
    <w:lvl w:ilvl="4">
      <w:start w:val="1"/>
      <w:numFmt w:val="bullet"/>
      <w:lvlText w:val="•"/>
      <w:lvlJc w:val="left"/>
      <w:pPr>
        <w:ind w:left="4175" w:hanging="708"/>
      </w:pPr>
    </w:lvl>
    <w:lvl w:ilvl="5">
      <w:start w:val="1"/>
      <w:numFmt w:val="bullet"/>
      <w:lvlText w:val="•"/>
      <w:lvlJc w:val="left"/>
      <w:pPr>
        <w:ind w:left="5019" w:hanging="708"/>
      </w:pPr>
    </w:lvl>
    <w:lvl w:ilvl="6">
      <w:start w:val="1"/>
      <w:numFmt w:val="bullet"/>
      <w:lvlText w:val="•"/>
      <w:lvlJc w:val="left"/>
      <w:pPr>
        <w:ind w:left="5863" w:hanging="708"/>
      </w:pPr>
    </w:lvl>
    <w:lvl w:ilvl="7">
      <w:start w:val="1"/>
      <w:numFmt w:val="bullet"/>
      <w:lvlText w:val="•"/>
      <w:lvlJc w:val="left"/>
      <w:pPr>
        <w:ind w:left="6707" w:hanging="708"/>
      </w:pPr>
    </w:lvl>
    <w:lvl w:ilvl="8">
      <w:start w:val="1"/>
      <w:numFmt w:val="bullet"/>
      <w:lvlText w:val="•"/>
      <w:lvlJc w:val="left"/>
      <w:pPr>
        <w:ind w:left="7551" w:hanging="708"/>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C5"/>
    <w:rsid w:val="006507C5"/>
    <w:rsid w:val="00B7186E"/>
    <w:rsid w:val="00BC59EF"/>
    <w:rsid w:val="00E34E4A"/>
    <w:rsid w:val="0C8EA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9B35"/>
  <w15:docId w15:val="{5D88BCD0-848E-493F-9B51-CCE3E50E23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07C5"/>
    <w:pPr>
      <w:spacing w:after="0" w:line="240" w:lineRule="auto"/>
    </w:pPr>
    <w:rPr>
      <w:rFonts w:ascii="Calibri" w:hAnsi="Calibri" w:cs="Times New Roman"/>
    </w:rPr>
  </w:style>
  <w:style w:type="paragraph" w:styleId="Heading2">
    <w:name w:val="heading 2"/>
    <w:basedOn w:val="Normal"/>
    <w:link w:val="Heading2Char"/>
    <w:uiPriority w:val="1"/>
    <w:semiHidden/>
    <w:unhideWhenUsed/>
    <w:qFormat/>
    <w:rsid w:val="006507C5"/>
    <w:pPr>
      <w:spacing w:before="65"/>
      <w:ind w:left="100" w:right="782"/>
      <w:outlineLvl w:val="1"/>
    </w:pPr>
    <w:rPr>
      <w:rFonts w:ascii="Arial" w:hAnsi="Arial" w:cs="Arial"/>
      <w:b/>
      <w:bCs/>
      <w:sz w:val="28"/>
      <w:szCs w:val="28"/>
    </w:rPr>
  </w:style>
  <w:style w:type="paragraph" w:styleId="Heading3">
    <w:name w:val="heading 3"/>
    <w:basedOn w:val="Normal"/>
    <w:link w:val="Heading3Char"/>
    <w:uiPriority w:val="1"/>
    <w:semiHidden/>
    <w:unhideWhenUsed/>
    <w:qFormat/>
    <w:rsid w:val="006507C5"/>
    <w:pPr>
      <w:ind w:left="808" w:hanging="708"/>
      <w:outlineLvl w:val="2"/>
    </w:pPr>
    <w:rPr>
      <w:rFonts w:ascii="Arial" w:hAnsi="Arial"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1"/>
    <w:semiHidden/>
    <w:rsid w:val="006507C5"/>
    <w:rPr>
      <w:rFonts w:ascii="Arial" w:hAnsi="Arial" w:cs="Arial"/>
      <w:b/>
      <w:bCs/>
      <w:sz w:val="28"/>
      <w:szCs w:val="28"/>
    </w:rPr>
  </w:style>
  <w:style w:type="character" w:styleId="Heading3Char" w:customStyle="1">
    <w:name w:val="Heading 3 Char"/>
    <w:basedOn w:val="DefaultParagraphFont"/>
    <w:link w:val="Heading3"/>
    <w:uiPriority w:val="1"/>
    <w:semiHidden/>
    <w:rsid w:val="006507C5"/>
    <w:rPr>
      <w:rFonts w:ascii="Arial" w:hAnsi="Arial" w:cs="Arial"/>
      <w:b/>
      <w:bCs/>
      <w:sz w:val="24"/>
      <w:szCs w:val="24"/>
    </w:rPr>
  </w:style>
  <w:style w:type="paragraph" w:styleId="BodyText">
    <w:name w:val="Body Text"/>
    <w:basedOn w:val="Normal"/>
    <w:link w:val="BodyTextChar"/>
    <w:uiPriority w:val="1"/>
    <w:semiHidden/>
    <w:unhideWhenUsed/>
    <w:qFormat/>
    <w:rsid w:val="006507C5"/>
    <w:rPr>
      <w:rFonts w:ascii="Arial" w:hAnsi="Arial" w:cs="Arial"/>
      <w:sz w:val="24"/>
      <w:szCs w:val="24"/>
    </w:rPr>
  </w:style>
  <w:style w:type="character" w:styleId="BodyTextChar" w:customStyle="1">
    <w:name w:val="Body Text Char"/>
    <w:basedOn w:val="DefaultParagraphFont"/>
    <w:link w:val="BodyText"/>
    <w:uiPriority w:val="1"/>
    <w:semiHidden/>
    <w:rsid w:val="006507C5"/>
    <w:rPr>
      <w:rFonts w:ascii="Arial" w:hAnsi="Arial" w:cs="Arial"/>
      <w:sz w:val="24"/>
      <w:szCs w:val="24"/>
    </w:rPr>
  </w:style>
  <w:style w:type="paragraph" w:styleId="ListParagraph">
    <w:name w:val="List Paragraph"/>
    <w:basedOn w:val="Normal"/>
    <w:uiPriority w:val="34"/>
    <w:qFormat/>
    <w:rsid w:val="006507C5"/>
    <w:pPr>
      <w:ind w:left="808" w:hanging="708"/>
    </w:pPr>
    <w:rPr>
      <w:rFonts w:ascii="Arial" w:hAnsi="Arial" w:cs="Arial"/>
    </w:rPr>
  </w:style>
  <w:style w:type="paragraph" w:styleId="BalloonText">
    <w:name w:val="Balloon Text"/>
    <w:basedOn w:val="Normal"/>
    <w:link w:val="BalloonTextChar"/>
    <w:uiPriority w:val="99"/>
    <w:semiHidden/>
    <w:unhideWhenUsed/>
    <w:rsid w:val="006507C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07C5"/>
    <w:rPr>
      <w:rFonts w:ascii="Segoe UI" w:hAnsi="Segoe UI" w:cs="Segoe UI"/>
      <w:sz w:val="18"/>
      <w:szCs w:val="18"/>
    </w:rPr>
  </w:style>
  <w:style w:type="table" w:styleId="TableGrid">
    <w:name w:val="Table Grid"/>
    <w:basedOn w:val="TableNormal"/>
    <w:uiPriority w:val="39"/>
    <w:rsid w:val="006507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507C5"/>
    <w:rPr>
      <w:color w:val="0563C1" w:themeColor="hyperlink"/>
      <w:u w:val="single"/>
    </w:rPr>
  </w:style>
  <w:style w:type="character" w:styleId="FollowedHyperlink">
    <w:name w:val="FollowedHyperlink"/>
    <w:basedOn w:val="DefaultParagraphFont"/>
    <w:uiPriority w:val="99"/>
    <w:semiHidden/>
    <w:unhideWhenUsed/>
    <w:rsid w:val="006507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7C5"/>
    <w:pPr>
      <w:spacing w:after="0" w:line="240" w:lineRule="auto"/>
    </w:pPr>
    <w:rPr>
      <w:rFonts w:ascii="Calibri" w:hAnsi="Calibri" w:cs="Times New Roman"/>
    </w:rPr>
  </w:style>
  <w:style w:type="paragraph" w:styleId="Heading2">
    <w:name w:val="heading 2"/>
    <w:basedOn w:val="Normal"/>
    <w:link w:val="Heading2Char"/>
    <w:uiPriority w:val="1"/>
    <w:semiHidden/>
    <w:unhideWhenUsed/>
    <w:qFormat/>
    <w:rsid w:val="006507C5"/>
    <w:pPr>
      <w:spacing w:before="65"/>
      <w:ind w:left="100" w:right="782"/>
      <w:outlineLvl w:val="1"/>
    </w:pPr>
    <w:rPr>
      <w:rFonts w:ascii="Arial" w:hAnsi="Arial" w:cs="Arial"/>
      <w:b/>
      <w:bCs/>
      <w:sz w:val="28"/>
      <w:szCs w:val="28"/>
    </w:rPr>
  </w:style>
  <w:style w:type="paragraph" w:styleId="Heading3">
    <w:name w:val="heading 3"/>
    <w:basedOn w:val="Normal"/>
    <w:link w:val="Heading3Char"/>
    <w:uiPriority w:val="1"/>
    <w:semiHidden/>
    <w:unhideWhenUsed/>
    <w:qFormat/>
    <w:rsid w:val="006507C5"/>
    <w:pPr>
      <w:ind w:left="808" w:hanging="708"/>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6507C5"/>
    <w:rPr>
      <w:rFonts w:ascii="Arial" w:hAnsi="Arial" w:cs="Arial"/>
      <w:b/>
      <w:bCs/>
      <w:sz w:val="28"/>
      <w:szCs w:val="28"/>
    </w:rPr>
  </w:style>
  <w:style w:type="character" w:customStyle="1" w:styleId="Heading3Char">
    <w:name w:val="Heading 3 Char"/>
    <w:basedOn w:val="DefaultParagraphFont"/>
    <w:link w:val="Heading3"/>
    <w:uiPriority w:val="1"/>
    <w:semiHidden/>
    <w:rsid w:val="006507C5"/>
    <w:rPr>
      <w:rFonts w:ascii="Arial" w:hAnsi="Arial" w:cs="Arial"/>
      <w:b/>
      <w:bCs/>
      <w:sz w:val="24"/>
      <w:szCs w:val="24"/>
    </w:rPr>
  </w:style>
  <w:style w:type="paragraph" w:styleId="BodyText">
    <w:name w:val="Body Text"/>
    <w:basedOn w:val="Normal"/>
    <w:link w:val="BodyTextChar"/>
    <w:uiPriority w:val="1"/>
    <w:semiHidden/>
    <w:unhideWhenUsed/>
    <w:qFormat/>
    <w:rsid w:val="006507C5"/>
    <w:rPr>
      <w:rFonts w:ascii="Arial" w:hAnsi="Arial" w:cs="Arial"/>
      <w:sz w:val="24"/>
      <w:szCs w:val="24"/>
    </w:rPr>
  </w:style>
  <w:style w:type="character" w:customStyle="1" w:styleId="BodyTextChar">
    <w:name w:val="Body Text Char"/>
    <w:basedOn w:val="DefaultParagraphFont"/>
    <w:link w:val="BodyText"/>
    <w:uiPriority w:val="1"/>
    <w:semiHidden/>
    <w:rsid w:val="006507C5"/>
    <w:rPr>
      <w:rFonts w:ascii="Arial" w:hAnsi="Arial" w:cs="Arial"/>
      <w:sz w:val="24"/>
      <w:szCs w:val="24"/>
    </w:rPr>
  </w:style>
  <w:style w:type="paragraph" w:styleId="ListParagraph">
    <w:name w:val="List Paragraph"/>
    <w:basedOn w:val="Normal"/>
    <w:uiPriority w:val="34"/>
    <w:qFormat/>
    <w:rsid w:val="006507C5"/>
    <w:pPr>
      <w:ind w:left="808" w:hanging="708"/>
    </w:pPr>
    <w:rPr>
      <w:rFonts w:ascii="Arial" w:hAnsi="Arial" w:cs="Arial"/>
    </w:rPr>
  </w:style>
  <w:style w:type="paragraph" w:styleId="BalloonText">
    <w:name w:val="Balloon Text"/>
    <w:basedOn w:val="Normal"/>
    <w:link w:val="BalloonTextChar"/>
    <w:uiPriority w:val="99"/>
    <w:semiHidden/>
    <w:unhideWhenUsed/>
    <w:rsid w:val="0065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7C5"/>
    <w:rPr>
      <w:rFonts w:ascii="Segoe UI" w:hAnsi="Segoe UI" w:cs="Segoe UI"/>
      <w:sz w:val="18"/>
      <w:szCs w:val="18"/>
    </w:rPr>
  </w:style>
  <w:style w:type="table" w:styleId="TableGrid">
    <w:name w:val="Table Grid"/>
    <w:basedOn w:val="TableNormal"/>
    <w:uiPriority w:val="39"/>
    <w:rsid w:val="0065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7C5"/>
    <w:rPr>
      <w:color w:val="0563C1" w:themeColor="hyperlink"/>
      <w:u w:val="single"/>
    </w:rPr>
  </w:style>
  <w:style w:type="character" w:styleId="FollowedHyperlink">
    <w:name w:val="FollowedHyperlink"/>
    <w:basedOn w:val="DefaultParagraphFont"/>
    <w:uiPriority w:val="99"/>
    <w:semiHidden/>
    <w:unhideWhenUsed/>
    <w:rsid w:val="006507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3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7E17630A9E74184FA5719CAC90925" ma:contentTypeVersion="11" ma:contentTypeDescription="Create a new document." ma:contentTypeScope="" ma:versionID="6a516f4c710014f9cd08bde010e3dd61">
  <xsd:schema xmlns:xsd="http://www.w3.org/2001/XMLSchema" xmlns:xs="http://www.w3.org/2001/XMLSchema" xmlns:p="http://schemas.microsoft.com/office/2006/metadata/properties" xmlns:ns2="c6373a92-2eee-4d26-b2fd-a0c857bf6924" xmlns:ns3="37d701f7-8ad3-40eb-b40a-f074c5c8fe42" targetNamespace="http://schemas.microsoft.com/office/2006/metadata/properties" ma:root="true" ma:fieldsID="4e6c5d2bf6f8380d44b6215d333b20e1" ns2:_="" ns3:_="">
    <xsd:import namespace="c6373a92-2eee-4d26-b2fd-a0c857bf6924"/>
    <xsd:import namespace="37d701f7-8ad3-40eb-b40a-f074c5c8f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3a92-2eee-4d26-b2fd-a0c857bf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701f7-8ad3-40eb-b40a-f074c5c8fe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ac655c-76a0-4b6c-aa82-cf14cdf8df8f}" ma:internalName="TaxCatchAll" ma:showField="CatchAllData" ma:web="37d701f7-8ad3-40eb-b40a-f074c5c8f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373a92-2eee-4d26-b2fd-a0c857bf6924">
      <Terms xmlns="http://schemas.microsoft.com/office/infopath/2007/PartnerControls"/>
    </lcf76f155ced4ddcb4097134ff3c332f>
    <TaxCatchAll xmlns="37d701f7-8ad3-40eb-b40a-f074c5c8fe42" xsi:nil="true"/>
  </documentManagement>
</p:properties>
</file>

<file path=customXml/itemProps1.xml><?xml version="1.0" encoding="utf-8"?>
<ds:datastoreItem xmlns:ds="http://schemas.openxmlformats.org/officeDocument/2006/customXml" ds:itemID="{5FE28776-9B17-4C1D-8B81-AA3B5B3AEEDB}"/>
</file>

<file path=customXml/itemProps2.xml><?xml version="1.0" encoding="utf-8"?>
<ds:datastoreItem xmlns:ds="http://schemas.openxmlformats.org/officeDocument/2006/customXml" ds:itemID="{E6D748AE-BDF6-4C3E-8EBE-14AD37D8EBCE}"/>
</file>

<file path=customXml/itemProps3.xml><?xml version="1.0" encoding="utf-8"?>
<ds:datastoreItem xmlns:ds="http://schemas.openxmlformats.org/officeDocument/2006/customXml" ds:itemID="{2B527553-0BA9-4E70-ABDE-8A57286D2F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Buckinghamshire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Charlie</dc:creator>
  <cp:lastModifiedBy>Grace Clover</cp:lastModifiedBy>
  <cp:revision>3</cp:revision>
  <dcterms:created xsi:type="dcterms:W3CDTF">2019-07-30T15:45:00Z</dcterms:created>
  <dcterms:modified xsi:type="dcterms:W3CDTF">2026-01-29T11:09:40Z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0x0101007287E17630A9E74184FA5719CAC90925</vt:lpwstr>
  </property>
  <property fmtid="{D5CDD505-2E9C-101B-9397-08002B2CF9AE}" pid="3" name="Order">
    <vt:r8>56000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1" name="docLang">
    <vt:lpwstr>en</vt:lpwstr>
  </property>
</Properties>
</file>