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2512" w14:textId="77777777" w:rsidR="006F3116" w:rsidRPr="00562E3E" w:rsidRDefault="006F3116" w:rsidP="00562E3E">
      <w:pPr>
        <w:pStyle w:val="Heading1"/>
      </w:pPr>
      <w:r w:rsidRPr="00562E3E">
        <w:t>Change 10: Housing and related services</w:t>
      </w:r>
      <w:r w:rsidRPr="00562E3E">
        <w:br/>
      </w:r>
      <w:r w:rsidRPr="00562E3E">
        <w:br/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2107"/>
        <w:gridCol w:w="1938"/>
        <w:gridCol w:w="1868"/>
        <w:gridCol w:w="2172"/>
        <w:gridCol w:w="3225"/>
      </w:tblGrid>
      <w:tr w:rsidR="00562E3E" w:rsidRPr="00562E3E" w14:paraId="3F2AB59C" w14:textId="77777777" w:rsidTr="00562E3E">
        <w:trPr>
          <w:trHeight w:val="372"/>
        </w:trPr>
        <w:tc>
          <w:tcPr>
            <w:tcW w:w="571" w:type="pct"/>
            <w:shd w:val="clear" w:color="auto" w:fill="0B768C"/>
          </w:tcPr>
          <w:p w14:paraId="108E0C5E" w14:textId="6D5F2CAC" w:rsidR="006F3116" w:rsidRPr="00562E3E" w:rsidRDefault="00562E3E" w:rsidP="00562E3E">
            <w:pPr>
              <w:pStyle w:val="Heading2"/>
              <w:rPr>
                <w:rFonts w:cs="Arial"/>
                <w:color w:val="FFFFFF" w:themeColor="background1"/>
              </w:rPr>
            </w:pPr>
            <w:r w:rsidRPr="00562E3E">
              <w:rPr>
                <w:color w:val="FFFFFF" w:themeColor="background1"/>
              </w:rPr>
              <w:t>Stages</w:t>
            </w:r>
          </w:p>
        </w:tc>
        <w:tc>
          <w:tcPr>
            <w:tcW w:w="793" w:type="pct"/>
            <w:shd w:val="clear" w:color="auto" w:fill="0B768C"/>
          </w:tcPr>
          <w:p w14:paraId="347D2A0C" w14:textId="77777777" w:rsidR="006F3116" w:rsidRPr="00562E3E" w:rsidRDefault="006F3116" w:rsidP="00562E3E">
            <w:pPr>
              <w:pStyle w:val="Heading2"/>
              <w:rPr>
                <w:rFonts w:cs="Arial"/>
                <w:color w:val="FFFFFF" w:themeColor="background1"/>
              </w:rPr>
            </w:pPr>
            <w:r w:rsidRPr="00562E3E">
              <w:rPr>
                <w:rFonts w:cs="Arial"/>
                <w:color w:val="FFFFFF" w:themeColor="background1"/>
              </w:rPr>
              <w:t>Not yet established</w:t>
            </w:r>
          </w:p>
        </w:tc>
        <w:tc>
          <w:tcPr>
            <w:tcW w:w="660" w:type="pct"/>
            <w:shd w:val="clear" w:color="auto" w:fill="0B768C"/>
          </w:tcPr>
          <w:p w14:paraId="40C2D52B" w14:textId="77777777" w:rsidR="006F3116" w:rsidRPr="00562E3E" w:rsidRDefault="006F3116" w:rsidP="00562E3E">
            <w:pPr>
              <w:pStyle w:val="Heading2"/>
              <w:rPr>
                <w:rFonts w:cs="Arial"/>
                <w:color w:val="FFFFFF" w:themeColor="background1"/>
              </w:rPr>
            </w:pPr>
            <w:r w:rsidRPr="00562E3E">
              <w:rPr>
                <w:rFonts w:cs="Arial"/>
                <w:color w:val="FFFFFF" w:themeColor="background1"/>
              </w:rPr>
              <w:t>Plans in place</w:t>
            </w:r>
          </w:p>
        </w:tc>
        <w:tc>
          <w:tcPr>
            <w:tcW w:w="837" w:type="pct"/>
            <w:shd w:val="clear" w:color="auto" w:fill="0B768C"/>
          </w:tcPr>
          <w:p w14:paraId="0D789F0D" w14:textId="77777777" w:rsidR="006F3116" w:rsidRPr="00562E3E" w:rsidRDefault="006F3116" w:rsidP="00562E3E">
            <w:pPr>
              <w:pStyle w:val="Heading2"/>
              <w:rPr>
                <w:rFonts w:cs="Arial"/>
                <w:color w:val="FFFFFF" w:themeColor="background1"/>
              </w:rPr>
            </w:pPr>
            <w:r w:rsidRPr="00562E3E">
              <w:rPr>
                <w:rFonts w:cs="Arial"/>
                <w:color w:val="FFFFFF" w:themeColor="background1"/>
              </w:rPr>
              <w:t>Established</w:t>
            </w:r>
          </w:p>
        </w:tc>
        <w:tc>
          <w:tcPr>
            <w:tcW w:w="881" w:type="pct"/>
            <w:shd w:val="clear" w:color="auto" w:fill="0B768C"/>
          </w:tcPr>
          <w:p w14:paraId="677A73B0" w14:textId="77777777" w:rsidR="006F3116" w:rsidRPr="00562E3E" w:rsidRDefault="006F3116" w:rsidP="00562E3E">
            <w:pPr>
              <w:pStyle w:val="Heading2"/>
              <w:rPr>
                <w:rFonts w:cs="Arial"/>
                <w:color w:val="FFFFFF" w:themeColor="background1"/>
              </w:rPr>
            </w:pPr>
            <w:r w:rsidRPr="00562E3E">
              <w:rPr>
                <w:rFonts w:cs="Arial"/>
                <w:color w:val="FFFFFF" w:themeColor="background1"/>
              </w:rPr>
              <w:t>Mature</w:t>
            </w:r>
          </w:p>
        </w:tc>
        <w:tc>
          <w:tcPr>
            <w:tcW w:w="1258" w:type="pct"/>
            <w:shd w:val="clear" w:color="auto" w:fill="0B768C"/>
          </w:tcPr>
          <w:p w14:paraId="5FB50918" w14:textId="77777777" w:rsidR="006F3116" w:rsidRPr="00562E3E" w:rsidRDefault="006F3116" w:rsidP="00562E3E">
            <w:pPr>
              <w:pStyle w:val="Heading2"/>
              <w:rPr>
                <w:rFonts w:cs="Arial"/>
                <w:color w:val="FFFFFF" w:themeColor="background1"/>
              </w:rPr>
            </w:pPr>
            <w:r w:rsidRPr="00562E3E">
              <w:rPr>
                <w:rFonts w:cs="Arial"/>
                <w:color w:val="FFFFFF" w:themeColor="background1"/>
              </w:rPr>
              <w:t>Exemplary</w:t>
            </w:r>
          </w:p>
        </w:tc>
      </w:tr>
      <w:tr w:rsidR="006F3116" w:rsidRPr="00562E3E" w14:paraId="45FECD36" w14:textId="77777777" w:rsidTr="00562E3E">
        <w:trPr>
          <w:trHeight w:val="1157"/>
        </w:trPr>
        <w:tc>
          <w:tcPr>
            <w:tcW w:w="571" w:type="pct"/>
            <w:shd w:val="clear" w:color="auto" w:fill="64C3D2"/>
          </w:tcPr>
          <w:p w14:paraId="6485FDFB" w14:textId="77777777" w:rsidR="006F3116" w:rsidRPr="00562E3E" w:rsidRDefault="006F3116" w:rsidP="006E6A2D">
            <w:pPr>
              <w:pStyle w:val="TableParagraph"/>
              <w:spacing w:before="61" w:line="266" w:lineRule="auto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t>Systematic response, and demand/capacity</w:t>
            </w:r>
          </w:p>
        </w:tc>
        <w:tc>
          <w:tcPr>
            <w:tcW w:w="793" w:type="pct"/>
            <w:shd w:val="clear" w:color="auto" w:fill="64C3D2"/>
          </w:tcPr>
          <w:p w14:paraId="036D7DFF" w14:textId="77777777" w:rsidR="006F3116" w:rsidRPr="00562E3E" w:rsidRDefault="006F3116" w:rsidP="006E6A2D">
            <w:pPr>
              <w:pStyle w:val="TableParagraph"/>
              <w:spacing w:before="61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Housing and homelessness issues are not considered as part of a discharge support strategy.</w:t>
            </w:r>
          </w:p>
        </w:tc>
        <w:tc>
          <w:tcPr>
            <w:tcW w:w="660" w:type="pct"/>
            <w:shd w:val="clear" w:color="auto" w:fill="64C3D2"/>
          </w:tcPr>
          <w:p w14:paraId="1A876420" w14:textId="77777777" w:rsidR="006F3116" w:rsidRPr="00562E3E" w:rsidRDefault="006F3116" w:rsidP="006E6A2D">
            <w:pPr>
              <w:pStyle w:val="TableParagraph"/>
              <w:spacing w:before="61" w:line="266" w:lineRule="auto"/>
              <w:ind w:right="20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Responses to housing issues and homelessness </w:t>
            </w:r>
            <w:r w:rsidRPr="00562E3E">
              <w:rPr>
                <w:color w:val="000000" w:themeColor="text1"/>
                <w:sz w:val="24"/>
                <w:szCs w:val="24"/>
              </w:rPr>
              <w:t xml:space="preserve">are usually discussed </w:t>
            </w:r>
            <w:r w:rsidRPr="00562E3E">
              <w:rPr>
                <w:sz w:val="24"/>
                <w:szCs w:val="24"/>
              </w:rPr>
              <w:t>during ward rounds.</w:t>
            </w:r>
          </w:p>
        </w:tc>
        <w:tc>
          <w:tcPr>
            <w:tcW w:w="837" w:type="pct"/>
            <w:shd w:val="clear" w:color="auto" w:fill="64C3D2"/>
          </w:tcPr>
          <w:p w14:paraId="5718D3D9" w14:textId="77777777" w:rsidR="006F3116" w:rsidRPr="00562E3E" w:rsidRDefault="006F3116" w:rsidP="006E6A2D">
            <w:pPr>
              <w:pStyle w:val="TableParagraph"/>
              <w:spacing w:before="62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Staff have clear guidance which they routinely use to inform referrals and advise people and their families. </w:t>
            </w:r>
          </w:p>
        </w:tc>
        <w:tc>
          <w:tcPr>
            <w:tcW w:w="881" w:type="pct"/>
            <w:shd w:val="clear" w:color="auto" w:fill="64C3D2"/>
          </w:tcPr>
          <w:p w14:paraId="6E841CD2" w14:textId="77777777" w:rsidR="006F3116" w:rsidRPr="00562E3E" w:rsidRDefault="006F3116" w:rsidP="006E6A2D">
            <w:pPr>
              <w:pStyle w:val="TableParagraph"/>
              <w:spacing w:before="62" w:line="266" w:lineRule="auto"/>
              <w:ind w:left="112" w:right="27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The impact of housing and homelessness issues on discharge and people’s outcomes is understood and used to improve them.</w:t>
            </w:r>
          </w:p>
        </w:tc>
        <w:tc>
          <w:tcPr>
            <w:tcW w:w="1258" w:type="pct"/>
            <w:shd w:val="clear" w:color="auto" w:fill="64C3D2"/>
          </w:tcPr>
          <w:p w14:paraId="5D52A131" w14:textId="77777777" w:rsidR="006F3116" w:rsidRPr="00562E3E" w:rsidRDefault="006F3116" w:rsidP="006E6A2D">
            <w:pPr>
              <w:pStyle w:val="TableParagraph"/>
              <w:spacing w:before="62" w:line="266" w:lineRule="auto"/>
              <w:ind w:left="112" w:right="18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System planners use demand, </w:t>
            </w:r>
            <w:proofErr w:type="gramStart"/>
            <w:r w:rsidRPr="00562E3E">
              <w:rPr>
                <w:sz w:val="24"/>
                <w:szCs w:val="24"/>
              </w:rPr>
              <w:t>capacity</w:t>
            </w:r>
            <w:proofErr w:type="gramEnd"/>
            <w:r w:rsidRPr="00562E3E">
              <w:rPr>
                <w:sz w:val="24"/>
                <w:szCs w:val="24"/>
              </w:rPr>
              <w:t xml:space="preserve"> and impact data to improve support, to avoid delays because of housing needs or homelessness.</w:t>
            </w:r>
          </w:p>
        </w:tc>
      </w:tr>
      <w:tr w:rsidR="006F3116" w:rsidRPr="00562E3E" w14:paraId="66B4B58F" w14:textId="77777777" w:rsidTr="00562E3E">
        <w:trPr>
          <w:trHeight w:val="1157"/>
        </w:trPr>
        <w:tc>
          <w:tcPr>
            <w:tcW w:w="571" w:type="pct"/>
            <w:shd w:val="clear" w:color="auto" w:fill="64C3D2"/>
          </w:tcPr>
          <w:p w14:paraId="5B13667C" w14:textId="77777777" w:rsidR="006F3116" w:rsidRPr="00562E3E" w:rsidRDefault="006F3116" w:rsidP="006E6A2D">
            <w:pPr>
              <w:pStyle w:val="TableParagraph"/>
              <w:spacing w:before="62" w:line="266" w:lineRule="auto"/>
              <w:ind w:right="302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t>Early needs assessment and response</w:t>
            </w:r>
          </w:p>
        </w:tc>
        <w:tc>
          <w:tcPr>
            <w:tcW w:w="793" w:type="pct"/>
            <w:shd w:val="clear" w:color="auto" w:fill="64C3D2"/>
          </w:tcPr>
          <w:p w14:paraId="124F8308" w14:textId="77777777" w:rsidR="006F3116" w:rsidRPr="00562E3E" w:rsidRDefault="006F3116" w:rsidP="006E6A2D">
            <w:pPr>
              <w:pStyle w:val="TableParagraph"/>
              <w:spacing w:before="62" w:line="266" w:lineRule="auto"/>
              <w:ind w:right="302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Housing status and support needs are not part of the admission checklist.</w:t>
            </w:r>
          </w:p>
        </w:tc>
        <w:tc>
          <w:tcPr>
            <w:tcW w:w="660" w:type="pct"/>
            <w:shd w:val="clear" w:color="auto" w:fill="64C3D2"/>
          </w:tcPr>
          <w:p w14:paraId="0F629789" w14:textId="77777777" w:rsidR="006F3116" w:rsidRPr="00562E3E" w:rsidRDefault="006F3116" w:rsidP="006E6A2D">
            <w:pPr>
              <w:pStyle w:val="TableParagraph"/>
              <w:spacing w:line="266" w:lineRule="auto"/>
              <w:ind w:right="160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Amendments to the checklist are proposed/being considered.</w:t>
            </w:r>
          </w:p>
        </w:tc>
        <w:tc>
          <w:tcPr>
            <w:tcW w:w="837" w:type="pct"/>
            <w:shd w:val="clear" w:color="auto" w:fill="64C3D2"/>
          </w:tcPr>
          <w:p w14:paraId="545C1D23" w14:textId="77777777" w:rsidR="006F3116" w:rsidRPr="00562E3E" w:rsidRDefault="006F3116" w:rsidP="006E6A2D">
            <w:pPr>
              <w:pStyle w:val="TableParagraph"/>
              <w:spacing w:line="266" w:lineRule="auto"/>
              <w:ind w:right="20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A person’s housing status and support needs are routinely noted on admission and where needed acted on during their </w:t>
            </w:r>
            <w:r w:rsidRPr="00562E3E">
              <w:rPr>
                <w:sz w:val="24"/>
                <w:szCs w:val="24"/>
              </w:rPr>
              <w:lastRenderedPageBreak/>
              <w:t xml:space="preserve">hospital stay. </w:t>
            </w:r>
          </w:p>
        </w:tc>
        <w:tc>
          <w:tcPr>
            <w:tcW w:w="881" w:type="pct"/>
            <w:shd w:val="clear" w:color="auto" w:fill="64C3D2"/>
          </w:tcPr>
          <w:p w14:paraId="6CD6B4A8" w14:textId="77777777" w:rsidR="006F3116" w:rsidRPr="00562E3E" w:rsidRDefault="006F3116" w:rsidP="006E6A2D">
            <w:pPr>
              <w:pStyle w:val="TableParagraph"/>
              <w:spacing w:line="266" w:lineRule="auto"/>
              <w:ind w:left="112" w:right="20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lastRenderedPageBreak/>
              <w:t xml:space="preserve">A person’s housing status and support needs are part of a wider housing needs assessment on admission, with support put in place, including </w:t>
            </w:r>
            <w:r w:rsidRPr="00562E3E">
              <w:rPr>
                <w:sz w:val="24"/>
                <w:szCs w:val="24"/>
              </w:rPr>
              <w:lastRenderedPageBreak/>
              <w:t xml:space="preserve">temporary </w:t>
            </w:r>
            <w:proofErr w:type="gramStart"/>
            <w:r w:rsidRPr="00562E3E">
              <w:rPr>
                <w:sz w:val="24"/>
                <w:szCs w:val="24"/>
              </w:rPr>
              <w:t>accommodation</w:t>
            </w:r>
            <w:proofErr w:type="gramEnd"/>
            <w:r w:rsidRPr="00562E3E">
              <w:rPr>
                <w:sz w:val="24"/>
                <w:szCs w:val="24"/>
              </w:rPr>
              <w:t xml:space="preserve"> if necessary, by expected discharge date.</w:t>
            </w:r>
          </w:p>
        </w:tc>
        <w:tc>
          <w:tcPr>
            <w:tcW w:w="1258" w:type="pct"/>
            <w:shd w:val="clear" w:color="auto" w:fill="64C3D2"/>
          </w:tcPr>
          <w:p w14:paraId="03DD9549" w14:textId="3A3F5A17" w:rsidR="006F3116" w:rsidRPr="00562E3E" w:rsidRDefault="006F3116" w:rsidP="006E6A2D">
            <w:pPr>
              <w:pStyle w:val="TableParagraph"/>
              <w:spacing w:line="266" w:lineRule="auto"/>
              <w:ind w:left="112" w:right="201"/>
              <w:rPr>
                <w:color w:val="FF0000"/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lastRenderedPageBreak/>
              <w:t xml:space="preserve">There are no delays caused by not knowing a person’s housing status or acting on their support needs. </w:t>
            </w:r>
            <w:r w:rsidRPr="00562E3E">
              <w:rPr>
                <w:color w:val="000000" w:themeColor="text1"/>
                <w:sz w:val="24"/>
                <w:szCs w:val="24"/>
              </w:rPr>
              <w:t>Particular attention is given to their health needs in relation to vulnerability</w:t>
            </w:r>
            <w:r w:rsidR="008B5817" w:rsidRPr="00562E3E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F3116" w:rsidRPr="00562E3E" w14:paraId="7F71E129" w14:textId="77777777" w:rsidTr="004265D3">
        <w:trPr>
          <w:trHeight w:val="1157"/>
        </w:trPr>
        <w:tc>
          <w:tcPr>
            <w:tcW w:w="571" w:type="pct"/>
            <w:shd w:val="clear" w:color="auto" w:fill="64C3D2"/>
          </w:tcPr>
          <w:p w14:paraId="3DA616F3" w14:textId="77777777" w:rsidR="006F3116" w:rsidRPr="00562E3E" w:rsidRDefault="006F3116" w:rsidP="004265D3">
            <w:pPr>
              <w:pStyle w:val="TableParagraph"/>
              <w:shd w:val="clear" w:color="auto" w:fill="64C3D2"/>
              <w:spacing w:line="266" w:lineRule="auto"/>
              <w:ind w:right="703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t>Integration/joint working</w:t>
            </w:r>
          </w:p>
        </w:tc>
        <w:tc>
          <w:tcPr>
            <w:tcW w:w="793" w:type="pct"/>
            <w:shd w:val="clear" w:color="auto" w:fill="64C3D2"/>
          </w:tcPr>
          <w:p w14:paraId="27CB469D" w14:textId="77777777" w:rsidR="006F3116" w:rsidRPr="00562E3E" w:rsidRDefault="006F3116" w:rsidP="004265D3">
            <w:pPr>
              <w:pStyle w:val="TableParagraph"/>
              <w:shd w:val="clear" w:color="auto" w:fill="64C3D2"/>
              <w:spacing w:line="266" w:lineRule="auto"/>
              <w:ind w:right="703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Service response is slow, </w:t>
            </w:r>
            <w:proofErr w:type="gramStart"/>
            <w:r w:rsidRPr="00562E3E">
              <w:rPr>
                <w:sz w:val="24"/>
                <w:szCs w:val="24"/>
              </w:rPr>
              <w:t>disjointed</w:t>
            </w:r>
            <w:proofErr w:type="gramEnd"/>
            <w:r w:rsidRPr="00562E3E">
              <w:rPr>
                <w:sz w:val="24"/>
                <w:szCs w:val="24"/>
              </w:rPr>
              <w:t xml:space="preserve"> or unavailable, causing delays.</w:t>
            </w:r>
          </w:p>
        </w:tc>
        <w:tc>
          <w:tcPr>
            <w:tcW w:w="660" w:type="pct"/>
            <w:shd w:val="clear" w:color="auto" w:fill="64C3D2"/>
          </w:tcPr>
          <w:p w14:paraId="3C60C2D0" w14:textId="77777777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Links between housing and discharge teams are being planned.</w:t>
            </w:r>
          </w:p>
        </w:tc>
        <w:tc>
          <w:tcPr>
            <w:tcW w:w="837" w:type="pct"/>
            <w:shd w:val="clear" w:color="auto" w:fill="64C3D2"/>
          </w:tcPr>
          <w:p w14:paraId="671E6DDE" w14:textId="77777777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ind w:right="217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Discharge services have a named housing link, and there is regular contact between services/staff.</w:t>
            </w:r>
          </w:p>
        </w:tc>
        <w:tc>
          <w:tcPr>
            <w:tcW w:w="881" w:type="pct"/>
            <w:shd w:val="clear" w:color="auto" w:fill="64C3D2"/>
          </w:tcPr>
          <w:p w14:paraId="1569C25B" w14:textId="77777777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Housing staff are part of discharge support services, and good working relationships across the system are reducing delays or problems. </w:t>
            </w:r>
          </w:p>
        </w:tc>
        <w:tc>
          <w:tcPr>
            <w:tcW w:w="1258" w:type="pct"/>
            <w:shd w:val="clear" w:color="auto" w:fill="64C3D2"/>
          </w:tcPr>
          <w:p w14:paraId="1551D555" w14:textId="77777777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ind w:left="112" w:right="333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Joined-up services deliver timely, person-</w:t>
            </w:r>
            <w:proofErr w:type="spellStart"/>
            <w:r w:rsidRPr="00562E3E">
              <w:rPr>
                <w:sz w:val="24"/>
                <w:szCs w:val="24"/>
              </w:rPr>
              <w:t>centred</w:t>
            </w:r>
            <w:proofErr w:type="spellEnd"/>
            <w:r w:rsidRPr="00562E3E">
              <w:rPr>
                <w:sz w:val="24"/>
                <w:szCs w:val="24"/>
              </w:rPr>
              <w:t xml:space="preserve"> support which </w:t>
            </w:r>
            <w:proofErr w:type="spellStart"/>
            <w:r w:rsidRPr="00562E3E">
              <w:rPr>
                <w:sz w:val="24"/>
                <w:szCs w:val="24"/>
              </w:rPr>
              <w:t>maximises</w:t>
            </w:r>
            <w:proofErr w:type="spellEnd"/>
            <w:r w:rsidRPr="00562E3E">
              <w:rPr>
                <w:sz w:val="24"/>
                <w:szCs w:val="24"/>
              </w:rPr>
              <w:t xml:space="preserve"> recovery and independence. </w:t>
            </w:r>
          </w:p>
        </w:tc>
      </w:tr>
      <w:tr w:rsidR="006F3116" w:rsidRPr="00562E3E" w14:paraId="54B3388D" w14:textId="77777777" w:rsidTr="004265D3">
        <w:trPr>
          <w:trHeight w:val="1157"/>
        </w:trPr>
        <w:tc>
          <w:tcPr>
            <w:tcW w:w="571" w:type="pct"/>
            <w:shd w:val="clear" w:color="auto" w:fill="64C3D2"/>
          </w:tcPr>
          <w:p w14:paraId="4ED7E671" w14:textId="77777777" w:rsidR="006F3116" w:rsidRPr="00562E3E" w:rsidRDefault="006F3116" w:rsidP="004265D3">
            <w:pPr>
              <w:pStyle w:val="TableParagraph"/>
              <w:shd w:val="clear" w:color="auto" w:fill="64C3D2"/>
              <w:spacing w:line="266" w:lineRule="auto"/>
              <w:ind w:right="703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t xml:space="preserve">Home adaptations, equipment, </w:t>
            </w:r>
            <w:proofErr w:type="gramStart"/>
            <w:r w:rsidRPr="00562E3E">
              <w:rPr>
                <w:b/>
                <w:color w:val="231F20"/>
                <w:sz w:val="24"/>
                <w:szCs w:val="24"/>
              </w:rPr>
              <w:t>telecare</w:t>
            </w:r>
            <w:proofErr w:type="gramEnd"/>
            <w:r w:rsidRPr="00562E3E">
              <w:rPr>
                <w:b/>
                <w:color w:val="231F20"/>
                <w:sz w:val="24"/>
                <w:szCs w:val="24"/>
              </w:rPr>
              <w:t xml:space="preserve"> and health </w:t>
            </w:r>
          </w:p>
        </w:tc>
        <w:tc>
          <w:tcPr>
            <w:tcW w:w="793" w:type="pct"/>
            <w:shd w:val="clear" w:color="auto" w:fill="64C3D2"/>
          </w:tcPr>
          <w:p w14:paraId="4BB06354" w14:textId="77777777" w:rsidR="006F3116" w:rsidRPr="00562E3E" w:rsidRDefault="006F3116" w:rsidP="004265D3">
            <w:pPr>
              <w:pStyle w:val="TableParagraph"/>
              <w:shd w:val="clear" w:color="auto" w:fill="64C3D2"/>
              <w:spacing w:line="266" w:lineRule="auto"/>
              <w:ind w:right="703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Staff are not aware of available services.</w:t>
            </w:r>
          </w:p>
        </w:tc>
        <w:tc>
          <w:tcPr>
            <w:tcW w:w="660" w:type="pct"/>
            <w:shd w:val="clear" w:color="auto" w:fill="64C3D2"/>
          </w:tcPr>
          <w:p w14:paraId="48DF6508" w14:textId="77777777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A stock take of available support is being undertaken.</w:t>
            </w:r>
          </w:p>
        </w:tc>
        <w:tc>
          <w:tcPr>
            <w:tcW w:w="837" w:type="pct"/>
            <w:shd w:val="clear" w:color="auto" w:fill="64C3D2"/>
          </w:tcPr>
          <w:p w14:paraId="3D33C3BD" w14:textId="77777777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ind w:right="217"/>
              <w:rPr>
                <w:sz w:val="24"/>
                <w:szCs w:val="24"/>
              </w:rPr>
            </w:pPr>
            <w:r w:rsidRPr="00562E3E">
              <w:rPr>
                <w:color w:val="000000" w:themeColor="text1"/>
                <w:sz w:val="24"/>
                <w:szCs w:val="24"/>
              </w:rPr>
              <w:t>Discharge services know what is available and routinely access in good time.</w:t>
            </w:r>
          </w:p>
        </w:tc>
        <w:tc>
          <w:tcPr>
            <w:tcW w:w="881" w:type="pct"/>
            <w:shd w:val="clear" w:color="auto" w:fill="64C3D2"/>
          </w:tcPr>
          <w:p w14:paraId="05E90FB7" w14:textId="77777777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Support is quick and easy to access, and is delivered promptly, avoiding discharge delays.</w:t>
            </w:r>
          </w:p>
        </w:tc>
        <w:tc>
          <w:tcPr>
            <w:tcW w:w="1258" w:type="pct"/>
            <w:shd w:val="clear" w:color="auto" w:fill="64C3D2"/>
          </w:tcPr>
          <w:p w14:paraId="590CA217" w14:textId="4C69314E" w:rsidR="006F3116" w:rsidRPr="00562E3E" w:rsidRDefault="006F3116" w:rsidP="004265D3">
            <w:pPr>
              <w:pStyle w:val="TableParagraph"/>
              <w:shd w:val="clear" w:color="auto" w:fill="64C3D2"/>
              <w:spacing w:before="64" w:line="266" w:lineRule="auto"/>
              <w:ind w:left="112" w:right="333"/>
              <w:rPr>
                <w:color w:val="FF0000"/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Support is integrated with related services, delivered 24/7, and </w:t>
            </w:r>
            <w:r w:rsidRPr="00562E3E">
              <w:rPr>
                <w:color w:val="000000" w:themeColor="text1"/>
                <w:sz w:val="24"/>
                <w:szCs w:val="24"/>
              </w:rPr>
              <w:t xml:space="preserve">takes account of any needs such as special equipment, rehabilitation </w:t>
            </w:r>
            <w:r w:rsidR="00562E3E">
              <w:rPr>
                <w:color w:val="000000" w:themeColor="text1"/>
                <w:sz w:val="24"/>
                <w:szCs w:val="24"/>
              </w:rPr>
              <w:t>and so on</w:t>
            </w:r>
            <w:r w:rsidRPr="00562E3E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9665899" w14:textId="7DCADD0D" w:rsidR="006F3116" w:rsidRPr="00562E3E" w:rsidRDefault="006F3116" w:rsidP="004265D3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6915"/>
        <w:tblW w:w="127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907"/>
        <w:gridCol w:w="1571"/>
        <w:gridCol w:w="2112"/>
        <w:gridCol w:w="2583"/>
        <w:gridCol w:w="2533"/>
      </w:tblGrid>
      <w:tr w:rsidR="006F3116" w:rsidRPr="00562E3E" w14:paraId="47CAFE66" w14:textId="77777777" w:rsidTr="006F3116">
        <w:trPr>
          <w:trHeight w:val="286"/>
        </w:trPr>
        <w:tc>
          <w:tcPr>
            <w:tcW w:w="2038" w:type="dxa"/>
            <w:shd w:val="clear" w:color="auto" w:fill="820053"/>
          </w:tcPr>
          <w:p w14:paraId="7299D93E" w14:textId="77777777" w:rsidR="006F3116" w:rsidRPr="00562E3E" w:rsidRDefault="006F3116" w:rsidP="006F3116">
            <w:pPr>
              <w:pStyle w:val="TableParagraph"/>
              <w:spacing w:before="58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820053"/>
          </w:tcPr>
          <w:p w14:paraId="13300D72" w14:textId="77777777" w:rsidR="006F3116" w:rsidRPr="00562E3E" w:rsidRDefault="006F3116" w:rsidP="006F3116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  <w:r w:rsidRPr="00562E3E">
              <w:rPr>
                <w:b/>
                <w:color w:val="FFFFFF"/>
                <w:sz w:val="24"/>
                <w:szCs w:val="24"/>
              </w:rPr>
              <w:t>Not yet established</w:t>
            </w:r>
          </w:p>
        </w:tc>
        <w:tc>
          <w:tcPr>
            <w:tcW w:w="1571" w:type="dxa"/>
            <w:shd w:val="clear" w:color="auto" w:fill="820053"/>
          </w:tcPr>
          <w:p w14:paraId="358093E0" w14:textId="77777777" w:rsidR="006F3116" w:rsidRPr="00562E3E" w:rsidRDefault="006F3116" w:rsidP="006F3116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  <w:r w:rsidRPr="00562E3E">
              <w:rPr>
                <w:b/>
                <w:color w:val="FFFFFF"/>
                <w:sz w:val="24"/>
                <w:szCs w:val="24"/>
              </w:rPr>
              <w:t>Plans in place</w:t>
            </w:r>
          </w:p>
        </w:tc>
        <w:tc>
          <w:tcPr>
            <w:tcW w:w="2112" w:type="dxa"/>
            <w:shd w:val="clear" w:color="auto" w:fill="820053"/>
          </w:tcPr>
          <w:p w14:paraId="20B5BA77" w14:textId="0976126C" w:rsidR="006F3116" w:rsidRPr="00562E3E" w:rsidRDefault="006F3116" w:rsidP="006F3116">
            <w:pPr>
              <w:pStyle w:val="TableParagraph"/>
              <w:spacing w:before="58"/>
              <w:rPr>
                <w:b/>
                <w:sz w:val="24"/>
                <w:szCs w:val="24"/>
              </w:rPr>
            </w:pPr>
            <w:r w:rsidRPr="00562E3E">
              <w:rPr>
                <w:b/>
                <w:color w:val="FFFFFF"/>
                <w:sz w:val="24"/>
                <w:szCs w:val="24"/>
              </w:rPr>
              <w:t>Established</w:t>
            </w:r>
          </w:p>
        </w:tc>
        <w:tc>
          <w:tcPr>
            <w:tcW w:w="2583" w:type="dxa"/>
            <w:shd w:val="clear" w:color="auto" w:fill="820053"/>
          </w:tcPr>
          <w:p w14:paraId="76BF22A5" w14:textId="77777777" w:rsidR="006F3116" w:rsidRPr="00562E3E" w:rsidRDefault="006F3116" w:rsidP="006F3116">
            <w:pPr>
              <w:pStyle w:val="TableParagraph"/>
              <w:spacing w:before="58"/>
              <w:ind w:left="112"/>
              <w:rPr>
                <w:b/>
                <w:sz w:val="24"/>
                <w:szCs w:val="24"/>
              </w:rPr>
            </w:pPr>
            <w:r w:rsidRPr="00562E3E">
              <w:rPr>
                <w:b/>
                <w:color w:val="FFFFFF"/>
                <w:sz w:val="24"/>
                <w:szCs w:val="24"/>
              </w:rPr>
              <w:t>Mature</w:t>
            </w:r>
          </w:p>
        </w:tc>
        <w:tc>
          <w:tcPr>
            <w:tcW w:w="2533" w:type="dxa"/>
            <w:shd w:val="clear" w:color="auto" w:fill="820053"/>
          </w:tcPr>
          <w:p w14:paraId="1DA115B8" w14:textId="77777777" w:rsidR="006F3116" w:rsidRPr="00562E3E" w:rsidRDefault="006F3116" w:rsidP="006F3116">
            <w:pPr>
              <w:pStyle w:val="TableParagraph"/>
              <w:spacing w:before="58"/>
              <w:ind w:left="112"/>
              <w:rPr>
                <w:b/>
                <w:sz w:val="24"/>
                <w:szCs w:val="24"/>
              </w:rPr>
            </w:pPr>
            <w:r w:rsidRPr="00562E3E">
              <w:rPr>
                <w:b/>
                <w:color w:val="FFFFFF"/>
                <w:sz w:val="24"/>
                <w:szCs w:val="24"/>
              </w:rPr>
              <w:t>Exemplary</w:t>
            </w:r>
          </w:p>
        </w:tc>
      </w:tr>
      <w:tr w:rsidR="006F3116" w:rsidRPr="00562E3E" w14:paraId="74D38185" w14:textId="77777777" w:rsidTr="006F3116">
        <w:trPr>
          <w:trHeight w:val="889"/>
        </w:trPr>
        <w:tc>
          <w:tcPr>
            <w:tcW w:w="2038" w:type="dxa"/>
            <w:shd w:val="clear" w:color="auto" w:fill="DDC0D1"/>
          </w:tcPr>
          <w:p w14:paraId="518E5EA1" w14:textId="77777777" w:rsidR="006F3116" w:rsidRPr="00562E3E" w:rsidRDefault="006F3116" w:rsidP="006F3116">
            <w:pPr>
              <w:pStyle w:val="TableParagraph"/>
              <w:spacing w:before="61" w:line="266" w:lineRule="auto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t>Systematic response, and demand/capacity</w:t>
            </w:r>
          </w:p>
        </w:tc>
        <w:tc>
          <w:tcPr>
            <w:tcW w:w="1907" w:type="dxa"/>
            <w:shd w:val="clear" w:color="auto" w:fill="DDC0D1"/>
          </w:tcPr>
          <w:p w14:paraId="5DD11C94" w14:textId="77777777" w:rsidR="006F3116" w:rsidRPr="00562E3E" w:rsidRDefault="006F3116" w:rsidP="006F3116">
            <w:pPr>
              <w:pStyle w:val="TableParagraph"/>
              <w:spacing w:before="61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Housing and homelessness issues are not considered as part of a discharge support strategy.</w:t>
            </w:r>
          </w:p>
        </w:tc>
        <w:tc>
          <w:tcPr>
            <w:tcW w:w="1571" w:type="dxa"/>
            <w:shd w:val="clear" w:color="auto" w:fill="DDC0D1"/>
          </w:tcPr>
          <w:p w14:paraId="3A424EA8" w14:textId="77777777" w:rsidR="006F3116" w:rsidRPr="00562E3E" w:rsidRDefault="006F3116" w:rsidP="006F3116">
            <w:pPr>
              <w:pStyle w:val="TableParagraph"/>
              <w:spacing w:before="61" w:line="266" w:lineRule="auto"/>
              <w:ind w:right="20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Responses to housing issues and homelessness </w:t>
            </w:r>
            <w:r w:rsidRPr="00562E3E">
              <w:rPr>
                <w:color w:val="000000" w:themeColor="text1"/>
                <w:sz w:val="24"/>
                <w:szCs w:val="24"/>
              </w:rPr>
              <w:t xml:space="preserve">are usually discussed </w:t>
            </w:r>
            <w:r w:rsidRPr="00562E3E">
              <w:rPr>
                <w:sz w:val="24"/>
                <w:szCs w:val="24"/>
              </w:rPr>
              <w:t>during ward rounds.</w:t>
            </w:r>
          </w:p>
        </w:tc>
        <w:tc>
          <w:tcPr>
            <w:tcW w:w="2112" w:type="dxa"/>
            <w:shd w:val="clear" w:color="auto" w:fill="DDC0D1"/>
          </w:tcPr>
          <w:p w14:paraId="1CD0444C" w14:textId="77777777" w:rsidR="006F3116" w:rsidRPr="00562E3E" w:rsidRDefault="006F3116" w:rsidP="006F3116">
            <w:pPr>
              <w:pStyle w:val="TableParagraph"/>
              <w:spacing w:before="62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Staff have clear guidance which they routinely use to inform referrals and advise people and their families. </w:t>
            </w:r>
          </w:p>
        </w:tc>
        <w:tc>
          <w:tcPr>
            <w:tcW w:w="2583" w:type="dxa"/>
            <w:shd w:val="clear" w:color="auto" w:fill="DDC0D1"/>
          </w:tcPr>
          <w:p w14:paraId="7CD8D319" w14:textId="77777777" w:rsidR="006F3116" w:rsidRPr="00562E3E" w:rsidRDefault="006F3116" w:rsidP="006F3116">
            <w:pPr>
              <w:pStyle w:val="TableParagraph"/>
              <w:spacing w:before="62" w:line="266" w:lineRule="auto"/>
              <w:ind w:left="112" w:right="27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The impact of housing and homelessness issues on discharge and people’s outcomes is understood and used to improve them.</w:t>
            </w:r>
          </w:p>
        </w:tc>
        <w:tc>
          <w:tcPr>
            <w:tcW w:w="2533" w:type="dxa"/>
            <w:shd w:val="clear" w:color="auto" w:fill="DDC0D1"/>
          </w:tcPr>
          <w:p w14:paraId="25276ED4" w14:textId="77777777" w:rsidR="006F3116" w:rsidRPr="00562E3E" w:rsidRDefault="006F3116" w:rsidP="006F3116">
            <w:pPr>
              <w:pStyle w:val="TableParagraph"/>
              <w:spacing w:before="62" w:line="266" w:lineRule="auto"/>
              <w:ind w:left="112" w:right="18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System planners use demand, </w:t>
            </w:r>
            <w:proofErr w:type="gramStart"/>
            <w:r w:rsidRPr="00562E3E">
              <w:rPr>
                <w:sz w:val="24"/>
                <w:szCs w:val="24"/>
              </w:rPr>
              <w:t>capacity</w:t>
            </w:r>
            <w:proofErr w:type="gramEnd"/>
            <w:r w:rsidRPr="00562E3E">
              <w:rPr>
                <w:sz w:val="24"/>
                <w:szCs w:val="24"/>
              </w:rPr>
              <w:t xml:space="preserve"> and impact data to improve support, to avoid delays because of housing needs or homelessness.</w:t>
            </w:r>
          </w:p>
        </w:tc>
      </w:tr>
      <w:tr w:rsidR="006F3116" w:rsidRPr="00562E3E" w14:paraId="1EDBD9C9" w14:textId="77777777" w:rsidTr="006F3116">
        <w:trPr>
          <w:trHeight w:val="889"/>
        </w:trPr>
        <w:tc>
          <w:tcPr>
            <w:tcW w:w="2038" w:type="dxa"/>
            <w:shd w:val="clear" w:color="auto" w:fill="DDC0D1"/>
          </w:tcPr>
          <w:p w14:paraId="711CC898" w14:textId="77777777" w:rsidR="006F3116" w:rsidRPr="00562E3E" w:rsidRDefault="006F3116" w:rsidP="006F3116">
            <w:pPr>
              <w:pStyle w:val="TableParagraph"/>
              <w:spacing w:before="62" w:line="266" w:lineRule="auto"/>
              <w:ind w:right="302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t>Early needs assessment and response</w:t>
            </w:r>
          </w:p>
        </w:tc>
        <w:tc>
          <w:tcPr>
            <w:tcW w:w="1907" w:type="dxa"/>
            <w:shd w:val="clear" w:color="auto" w:fill="DDC0D1"/>
          </w:tcPr>
          <w:p w14:paraId="78486407" w14:textId="77777777" w:rsidR="006F3116" w:rsidRPr="00562E3E" w:rsidRDefault="006F3116" w:rsidP="006F3116">
            <w:pPr>
              <w:pStyle w:val="TableParagraph"/>
              <w:spacing w:before="62" w:line="266" w:lineRule="auto"/>
              <w:ind w:right="302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Housing status and support needs are not part of the admission checklist.</w:t>
            </w:r>
          </w:p>
        </w:tc>
        <w:tc>
          <w:tcPr>
            <w:tcW w:w="1571" w:type="dxa"/>
            <w:shd w:val="clear" w:color="auto" w:fill="DDC0D1"/>
          </w:tcPr>
          <w:p w14:paraId="0C3267A4" w14:textId="77777777" w:rsidR="006F3116" w:rsidRPr="00562E3E" w:rsidRDefault="006F3116" w:rsidP="006F3116">
            <w:pPr>
              <w:pStyle w:val="TableParagraph"/>
              <w:spacing w:line="266" w:lineRule="auto"/>
              <w:ind w:right="160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Amendments to the checklist are proposed/being considered.</w:t>
            </w:r>
          </w:p>
        </w:tc>
        <w:tc>
          <w:tcPr>
            <w:tcW w:w="2112" w:type="dxa"/>
            <w:shd w:val="clear" w:color="auto" w:fill="DDC0D1"/>
          </w:tcPr>
          <w:p w14:paraId="04BEC53D" w14:textId="77777777" w:rsidR="006F3116" w:rsidRPr="00562E3E" w:rsidRDefault="006F3116" w:rsidP="006F3116">
            <w:pPr>
              <w:pStyle w:val="TableParagraph"/>
              <w:spacing w:line="266" w:lineRule="auto"/>
              <w:ind w:right="20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A person’s housing status and support needs are routinely noted on admission and where needed acted on during their hospital stay. </w:t>
            </w:r>
          </w:p>
        </w:tc>
        <w:tc>
          <w:tcPr>
            <w:tcW w:w="2583" w:type="dxa"/>
            <w:shd w:val="clear" w:color="auto" w:fill="DDC0D1"/>
          </w:tcPr>
          <w:p w14:paraId="25A173A7" w14:textId="77777777" w:rsidR="006F3116" w:rsidRPr="00562E3E" w:rsidRDefault="006F3116" w:rsidP="006F3116">
            <w:pPr>
              <w:pStyle w:val="TableParagraph"/>
              <w:spacing w:line="266" w:lineRule="auto"/>
              <w:ind w:left="112" w:right="201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A person’s housing status and support needs are part of a wider housing needs assessment on admission, with support put in place, including temporary </w:t>
            </w:r>
            <w:proofErr w:type="gramStart"/>
            <w:r w:rsidRPr="00562E3E">
              <w:rPr>
                <w:sz w:val="24"/>
                <w:szCs w:val="24"/>
              </w:rPr>
              <w:t>accommodation</w:t>
            </w:r>
            <w:proofErr w:type="gramEnd"/>
            <w:r w:rsidRPr="00562E3E">
              <w:rPr>
                <w:sz w:val="24"/>
                <w:szCs w:val="24"/>
              </w:rPr>
              <w:t xml:space="preserve"> if necessary, by expected discharge date.</w:t>
            </w:r>
          </w:p>
        </w:tc>
        <w:tc>
          <w:tcPr>
            <w:tcW w:w="2533" w:type="dxa"/>
            <w:shd w:val="clear" w:color="auto" w:fill="DDC0D1"/>
          </w:tcPr>
          <w:p w14:paraId="3DDE93E0" w14:textId="77777777" w:rsidR="006F3116" w:rsidRPr="00562E3E" w:rsidRDefault="006F3116" w:rsidP="006F3116">
            <w:pPr>
              <w:pStyle w:val="TableParagraph"/>
              <w:spacing w:line="266" w:lineRule="auto"/>
              <w:ind w:left="112" w:right="201"/>
              <w:rPr>
                <w:color w:val="FF0000"/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There are no delays caused by not knowing a person’s housing status or acting on their support needs. </w:t>
            </w:r>
            <w:r w:rsidRPr="00562E3E">
              <w:rPr>
                <w:color w:val="000000" w:themeColor="text1"/>
                <w:sz w:val="24"/>
                <w:szCs w:val="24"/>
              </w:rPr>
              <w:t>Particular attention is given to their health needs in relation to vulnerability</w:t>
            </w:r>
          </w:p>
        </w:tc>
      </w:tr>
      <w:tr w:rsidR="006F3116" w:rsidRPr="00562E3E" w14:paraId="4CCB2CC2" w14:textId="77777777" w:rsidTr="006F3116">
        <w:trPr>
          <w:trHeight w:val="889"/>
        </w:trPr>
        <w:tc>
          <w:tcPr>
            <w:tcW w:w="2038" w:type="dxa"/>
            <w:shd w:val="clear" w:color="auto" w:fill="DDC0D1"/>
          </w:tcPr>
          <w:p w14:paraId="733EAC96" w14:textId="77777777" w:rsidR="006F3116" w:rsidRPr="00562E3E" w:rsidRDefault="006F3116" w:rsidP="006F3116">
            <w:pPr>
              <w:pStyle w:val="TableParagraph"/>
              <w:spacing w:line="266" w:lineRule="auto"/>
              <w:ind w:right="703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t>Integration/joint working</w:t>
            </w:r>
          </w:p>
        </w:tc>
        <w:tc>
          <w:tcPr>
            <w:tcW w:w="1907" w:type="dxa"/>
            <w:shd w:val="clear" w:color="auto" w:fill="DDC0D1"/>
          </w:tcPr>
          <w:p w14:paraId="466FFC04" w14:textId="77777777" w:rsidR="006F3116" w:rsidRPr="00562E3E" w:rsidRDefault="006F3116" w:rsidP="006F3116">
            <w:pPr>
              <w:pStyle w:val="TableParagraph"/>
              <w:spacing w:line="266" w:lineRule="auto"/>
              <w:ind w:right="703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Service response is slow, </w:t>
            </w:r>
            <w:proofErr w:type="gramStart"/>
            <w:r w:rsidRPr="00562E3E">
              <w:rPr>
                <w:sz w:val="24"/>
                <w:szCs w:val="24"/>
              </w:rPr>
              <w:t>disjointed</w:t>
            </w:r>
            <w:proofErr w:type="gramEnd"/>
            <w:r w:rsidRPr="00562E3E">
              <w:rPr>
                <w:sz w:val="24"/>
                <w:szCs w:val="24"/>
              </w:rPr>
              <w:t xml:space="preserve"> or unavailable, causing delays.</w:t>
            </w:r>
          </w:p>
        </w:tc>
        <w:tc>
          <w:tcPr>
            <w:tcW w:w="1571" w:type="dxa"/>
            <w:shd w:val="clear" w:color="auto" w:fill="DDC0D1"/>
          </w:tcPr>
          <w:p w14:paraId="5123F34E" w14:textId="77777777" w:rsidR="006F3116" w:rsidRPr="00562E3E" w:rsidRDefault="006F3116" w:rsidP="006F3116">
            <w:pPr>
              <w:pStyle w:val="TableParagraph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Links between housing and discharge teams are being planned.</w:t>
            </w:r>
          </w:p>
        </w:tc>
        <w:tc>
          <w:tcPr>
            <w:tcW w:w="2112" w:type="dxa"/>
            <w:shd w:val="clear" w:color="auto" w:fill="DDC0D1"/>
          </w:tcPr>
          <w:p w14:paraId="6B39C69C" w14:textId="77777777" w:rsidR="006F3116" w:rsidRPr="00562E3E" w:rsidRDefault="006F3116" w:rsidP="006F3116">
            <w:pPr>
              <w:pStyle w:val="TableParagraph"/>
              <w:spacing w:before="64" w:line="266" w:lineRule="auto"/>
              <w:ind w:right="217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Discharge services have a named housing link, and there is regular contact between services/staff.</w:t>
            </w:r>
          </w:p>
        </w:tc>
        <w:tc>
          <w:tcPr>
            <w:tcW w:w="2583" w:type="dxa"/>
            <w:shd w:val="clear" w:color="auto" w:fill="DDC0D1"/>
          </w:tcPr>
          <w:p w14:paraId="22852F42" w14:textId="77777777" w:rsidR="006F3116" w:rsidRPr="00562E3E" w:rsidRDefault="006F3116" w:rsidP="006F3116">
            <w:pPr>
              <w:pStyle w:val="TableParagraph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Housing staff are part of discharge support services, and good working relationships across the system are reducing delays or problems. </w:t>
            </w:r>
          </w:p>
        </w:tc>
        <w:tc>
          <w:tcPr>
            <w:tcW w:w="2533" w:type="dxa"/>
            <w:shd w:val="clear" w:color="auto" w:fill="DDC0D1"/>
          </w:tcPr>
          <w:p w14:paraId="6A72AFB2" w14:textId="77777777" w:rsidR="006F3116" w:rsidRPr="00562E3E" w:rsidRDefault="006F3116" w:rsidP="006F3116">
            <w:pPr>
              <w:pStyle w:val="TableParagraph"/>
              <w:spacing w:before="64" w:line="266" w:lineRule="auto"/>
              <w:ind w:left="112" w:right="333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Joined-up services deliver timely, person-</w:t>
            </w:r>
            <w:proofErr w:type="spellStart"/>
            <w:r w:rsidRPr="00562E3E">
              <w:rPr>
                <w:sz w:val="24"/>
                <w:szCs w:val="24"/>
              </w:rPr>
              <w:t>centred</w:t>
            </w:r>
            <w:proofErr w:type="spellEnd"/>
            <w:r w:rsidRPr="00562E3E">
              <w:rPr>
                <w:sz w:val="24"/>
                <w:szCs w:val="24"/>
              </w:rPr>
              <w:t xml:space="preserve"> support which </w:t>
            </w:r>
            <w:proofErr w:type="spellStart"/>
            <w:r w:rsidRPr="00562E3E">
              <w:rPr>
                <w:sz w:val="24"/>
                <w:szCs w:val="24"/>
              </w:rPr>
              <w:t>maximises</w:t>
            </w:r>
            <w:proofErr w:type="spellEnd"/>
            <w:r w:rsidRPr="00562E3E">
              <w:rPr>
                <w:sz w:val="24"/>
                <w:szCs w:val="24"/>
              </w:rPr>
              <w:t xml:space="preserve"> recovery and independence. </w:t>
            </w:r>
          </w:p>
        </w:tc>
      </w:tr>
      <w:tr w:rsidR="006F3116" w:rsidRPr="00562E3E" w14:paraId="17B4AD3A" w14:textId="77777777" w:rsidTr="006F3116">
        <w:trPr>
          <w:trHeight w:val="889"/>
        </w:trPr>
        <w:tc>
          <w:tcPr>
            <w:tcW w:w="2038" w:type="dxa"/>
            <w:shd w:val="clear" w:color="auto" w:fill="DDC0D1"/>
          </w:tcPr>
          <w:p w14:paraId="2980FA4D" w14:textId="77777777" w:rsidR="006F3116" w:rsidRPr="00562E3E" w:rsidRDefault="006F3116" w:rsidP="006F3116">
            <w:pPr>
              <w:pStyle w:val="TableParagraph"/>
              <w:spacing w:line="266" w:lineRule="auto"/>
              <w:ind w:right="703"/>
              <w:rPr>
                <w:b/>
                <w:color w:val="231F20"/>
                <w:sz w:val="24"/>
                <w:szCs w:val="24"/>
              </w:rPr>
            </w:pPr>
            <w:r w:rsidRPr="00562E3E">
              <w:rPr>
                <w:b/>
                <w:color w:val="231F20"/>
                <w:sz w:val="24"/>
                <w:szCs w:val="24"/>
              </w:rPr>
              <w:lastRenderedPageBreak/>
              <w:t xml:space="preserve">Home adaptations, equipment, </w:t>
            </w:r>
            <w:proofErr w:type="gramStart"/>
            <w:r w:rsidRPr="00562E3E">
              <w:rPr>
                <w:b/>
                <w:color w:val="231F20"/>
                <w:sz w:val="24"/>
                <w:szCs w:val="24"/>
              </w:rPr>
              <w:t>telecare</w:t>
            </w:r>
            <w:proofErr w:type="gramEnd"/>
            <w:r w:rsidRPr="00562E3E">
              <w:rPr>
                <w:b/>
                <w:color w:val="231F20"/>
                <w:sz w:val="24"/>
                <w:szCs w:val="24"/>
              </w:rPr>
              <w:t xml:space="preserve"> and health </w:t>
            </w:r>
          </w:p>
        </w:tc>
        <w:tc>
          <w:tcPr>
            <w:tcW w:w="1907" w:type="dxa"/>
            <w:shd w:val="clear" w:color="auto" w:fill="DDC0D1"/>
          </w:tcPr>
          <w:p w14:paraId="540F1E0F" w14:textId="77777777" w:rsidR="006F3116" w:rsidRPr="00562E3E" w:rsidRDefault="006F3116" w:rsidP="006F3116">
            <w:pPr>
              <w:pStyle w:val="TableParagraph"/>
              <w:spacing w:line="266" w:lineRule="auto"/>
              <w:ind w:right="703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Staff are not aware of available services.</w:t>
            </w:r>
          </w:p>
        </w:tc>
        <w:tc>
          <w:tcPr>
            <w:tcW w:w="1571" w:type="dxa"/>
            <w:shd w:val="clear" w:color="auto" w:fill="DDC0D1"/>
          </w:tcPr>
          <w:p w14:paraId="6301073B" w14:textId="77777777" w:rsidR="006F3116" w:rsidRPr="00562E3E" w:rsidRDefault="006F3116" w:rsidP="006F3116">
            <w:pPr>
              <w:pStyle w:val="TableParagraph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A stock take of available support is being undertaken.</w:t>
            </w:r>
          </w:p>
        </w:tc>
        <w:tc>
          <w:tcPr>
            <w:tcW w:w="2112" w:type="dxa"/>
            <w:shd w:val="clear" w:color="auto" w:fill="DDC0D1"/>
          </w:tcPr>
          <w:p w14:paraId="397F3DD9" w14:textId="77777777" w:rsidR="006F3116" w:rsidRPr="00562E3E" w:rsidRDefault="006F3116" w:rsidP="006F3116">
            <w:pPr>
              <w:pStyle w:val="TableParagraph"/>
              <w:spacing w:before="64" w:line="266" w:lineRule="auto"/>
              <w:ind w:right="217"/>
              <w:rPr>
                <w:sz w:val="24"/>
                <w:szCs w:val="24"/>
              </w:rPr>
            </w:pPr>
            <w:r w:rsidRPr="00562E3E">
              <w:rPr>
                <w:color w:val="000000" w:themeColor="text1"/>
                <w:sz w:val="24"/>
                <w:szCs w:val="24"/>
              </w:rPr>
              <w:t>Discharge services know what is available and routinely access in good time.</w:t>
            </w:r>
          </w:p>
        </w:tc>
        <w:tc>
          <w:tcPr>
            <w:tcW w:w="2583" w:type="dxa"/>
            <w:shd w:val="clear" w:color="auto" w:fill="DDC0D1"/>
          </w:tcPr>
          <w:p w14:paraId="61747862" w14:textId="77777777" w:rsidR="006F3116" w:rsidRPr="00562E3E" w:rsidRDefault="006F3116" w:rsidP="006F3116">
            <w:pPr>
              <w:pStyle w:val="TableParagraph"/>
              <w:spacing w:before="64" w:line="266" w:lineRule="auto"/>
              <w:rPr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>Support is quick and easy to access, and is delivered promptly, avoiding discharge delays.</w:t>
            </w:r>
          </w:p>
        </w:tc>
        <w:tc>
          <w:tcPr>
            <w:tcW w:w="2533" w:type="dxa"/>
            <w:shd w:val="clear" w:color="auto" w:fill="DDC0D1"/>
          </w:tcPr>
          <w:p w14:paraId="4C3B3D8A" w14:textId="77777777" w:rsidR="006F3116" w:rsidRPr="00562E3E" w:rsidRDefault="006F3116" w:rsidP="006F3116">
            <w:pPr>
              <w:pStyle w:val="TableParagraph"/>
              <w:spacing w:before="64" w:line="266" w:lineRule="auto"/>
              <w:ind w:left="112" w:right="333"/>
              <w:rPr>
                <w:color w:val="FF0000"/>
                <w:sz w:val="24"/>
                <w:szCs w:val="24"/>
              </w:rPr>
            </w:pPr>
            <w:r w:rsidRPr="00562E3E">
              <w:rPr>
                <w:sz w:val="24"/>
                <w:szCs w:val="24"/>
              </w:rPr>
              <w:t xml:space="preserve">Support is integrated with related services, delivered 24/7, and </w:t>
            </w:r>
            <w:r w:rsidRPr="00562E3E">
              <w:rPr>
                <w:color w:val="000000" w:themeColor="text1"/>
                <w:sz w:val="24"/>
                <w:szCs w:val="24"/>
              </w:rPr>
              <w:t>takes account of any needs such as special equipment, rehabilitation etc.</w:t>
            </w:r>
          </w:p>
        </w:tc>
      </w:tr>
    </w:tbl>
    <w:p w14:paraId="4767640F" w14:textId="77777777" w:rsidR="00B15CF5" w:rsidRPr="00562E3E" w:rsidRDefault="00B15CF5" w:rsidP="00AC3650">
      <w:pPr>
        <w:rPr>
          <w:sz w:val="24"/>
          <w:szCs w:val="24"/>
        </w:rPr>
      </w:pPr>
    </w:p>
    <w:sectPr w:rsidR="00B15CF5" w:rsidRPr="00562E3E" w:rsidSect="006F3116">
      <w:footerReference w:type="even" r:id="rId11"/>
      <w:pgSz w:w="16840" w:h="11900" w:orient="landscape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39DD" w14:textId="77777777" w:rsidR="001F5EA5" w:rsidRDefault="001F5EA5" w:rsidP="0052129E">
      <w:r>
        <w:separator/>
      </w:r>
    </w:p>
  </w:endnote>
  <w:endnote w:type="continuationSeparator" w:id="0">
    <w:p w14:paraId="2E511F2A" w14:textId="77777777" w:rsidR="001F5EA5" w:rsidRDefault="001F5EA5" w:rsidP="0052129E">
      <w:r>
        <w:continuationSeparator/>
      </w:r>
    </w:p>
  </w:endnote>
  <w:endnote w:type="continuationNotice" w:id="1">
    <w:p w14:paraId="2AB59D27" w14:textId="77777777" w:rsidR="001F5EA5" w:rsidRDefault="001F5EA5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872F" w14:textId="77777777" w:rsidR="008B5701" w:rsidRDefault="008B5701" w:rsidP="0052129E"/>
  <w:p w14:paraId="5D9715FA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BD3D" w14:textId="77777777" w:rsidR="001F5EA5" w:rsidRDefault="001F5EA5" w:rsidP="0052129E">
      <w:r>
        <w:separator/>
      </w:r>
    </w:p>
  </w:footnote>
  <w:footnote w:type="continuationSeparator" w:id="0">
    <w:p w14:paraId="1B2AF3C4" w14:textId="77777777" w:rsidR="001F5EA5" w:rsidRDefault="001F5EA5" w:rsidP="0052129E">
      <w:r>
        <w:continuationSeparator/>
      </w:r>
    </w:p>
  </w:footnote>
  <w:footnote w:type="continuationNotice" w:id="1">
    <w:p w14:paraId="138B083A" w14:textId="77777777" w:rsidR="001F5EA5" w:rsidRDefault="001F5EA5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16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1F5EA5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65D3"/>
    <w:rsid w:val="0042795C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62E3E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6F3116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7F4"/>
    <w:rsid w:val="0086789A"/>
    <w:rsid w:val="008905DD"/>
    <w:rsid w:val="00892ECB"/>
    <w:rsid w:val="008A5A73"/>
    <w:rsid w:val="008B2E69"/>
    <w:rsid w:val="008B5701"/>
    <w:rsid w:val="008B5817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87FEE"/>
    <w:rsid w:val="00F9442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CD0264"/>
  <w14:defaultImageDpi w14:val="330"/>
  <w15:chartTrackingRefBased/>
  <w15:docId w15:val="{9AE46CFA-3075-4E92-8FD5-BFDC5067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6F31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autoSpaceDE/>
      <w:autoSpaceDN/>
      <w:spacing w:before="120" w:after="120" w:line="320" w:lineRule="atLeast"/>
      <w:outlineLvl w:val="0"/>
    </w:pPr>
    <w:rPr>
      <w:rFonts w:eastAsia="Times New Roman"/>
      <w:b/>
      <w:color w:val="000000" w:themeColor="text1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autoSpaceDE/>
      <w:autoSpaceDN/>
      <w:spacing w:before="360" w:after="40" w:line="320" w:lineRule="atLeast"/>
      <w:outlineLvl w:val="1"/>
    </w:pPr>
    <w:rPr>
      <w:rFonts w:eastAsia="Times New Roman" w:cs="Times New Roman"/>
      <w:b/>
      <w:color w:val="9B2C98"/>
      <w:sz w:val="28"/>
      <w:szCs w:val="24"/>
      <w:lang w:val="en-GB" w:bidi="ar-SA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autoSpaceDE/>
      <w:autoSpaceDN/>
      <w:spacing w:before="360" w:after="120" w:line="280" w:lineRule="atLeast"/>
      <w:outlineLvl w:val="2"/>
    </w:pPr>
    <w:rPr>
      <w:rFonts w:eastAsia="Times New Roman"/>
      <w:b/>
      <w:color w:val="000000" w:themeColor="text1"/>
      <w:sz w:val="24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autoSpaceDE/>
      <w:autoSpaceDN/>
      <w:spacing w:before="360" w:after="120" w:line="280" w:lineRule="atLeast"/>
      <w:outlineLvl w:val="3"/>
    </w:pPr>
    <w:rPr>
      <w:rFonts w:eastAsia="Times New Roman"/>
      <w:b/>
      <w:bCs/>
      <w:color w:val="951B81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utoSpaceDE/>
      <w:autoSpaceDN/>
      <w:adjustRightInd w:val="0"/>
      <w:snapToGrid w:val="0"/>
      <w:spacing w:after="360" w:line="240" w:lineRule="atLeast"/>
    </w:pPr>
    <w:rPr>
      <w:rFonts w:eastAsia="Times New Roman" w:cs="Times New Roman"/>
      <w:color w:val="9B2C98"/>
      <w:sz w:val="28"/>
      <w:szCs w:val="24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autoSpaceDE/>
      <w:autoSpaceDN/>
      <w:spacing w:after="120" w:line="240" w:lineRule="atLeast"/>
      <w:ind w:left="1560"/>
    </w:pPr>
    <w:rPr>
      <w:rFonts w:eastAsia="Times New Roman" w:cs="Times New Roman"/>
      <w:b/>
      <w:sz w:val="24"/>
      <w:lang w:val="en-GB" w:bidi="ar-SA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pPr>
      <w:autoSpaceDE/>
      <w:autoSpaceDN/>
      <w:spacing w:after="120" w:line="240" w:lineRule="atLeast"/>
    </w:pPr>
    <w:rPr>
      <w:rFonts w:ascii="Lucida Grande" w:eastAsia="Times New Roman" w:hAnsi="Lucida Grande" w:cs="Lucida Grande"/>
      <w:sz w:val="18"/>
      <w:szCs w:val="18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autoSpaceDE/>
      <w:autoSpaceDN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  <w:autoSpaceDE/>
      <w:autoSpaceDN/>
      <w:spacing w:after="12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customStyle="1" w:styleId="Covereventname">
    <w:name w:val="Cover event name"/>
    <w:basedOn w:val="Normal"/>
    <w:next w:val="Normal"/>
    <w:uiPriority w:val="4"/>
    <w:rsid w:val="00CA3222"/>
    <w:pPr>
      <w:autoSpaceDE/>
      <w:autoSpaceDN/>
      <w:spacing w:before="120" w:after="120" w:line="240" w:lineRule="atLeast"/>
    </w:pPr>
    <w:rPr>
      <w:rFonts w:eastAsia="Times New Roman"/>
      <w:color w:val="951A80"/>
      <w:sz w:val="84"/>
      <w:szCs w:val="52"/>
      <w:lang w:val="en-GB" w:bidi="ar-SA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autoSpaceDE/>
      <w:autoSpaceDN/>
      <w:spacing w:after="120" w:line="240" w:lineRule="atLeast"/>
      <w:ind w:left="1418"/>
    </w:pPr>
    <w:rPr>
      <w:rFonts w:eastAsia="Times New Roman" w:cs="Times New Roman"/>
      <w:b/>
      <w:color w:val="000000" w:themeColor="text1"/>
      <w:sz w:val="24"/>
      <w:lang w:val="en-GB" w:bidi="ar-SA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pPr>
      <w:autoSpaceDE/>
      <w:autoSpaceDN/>
      <w:spacing w:after="120" w:line="240" w:lineRule="atLeast"/>
    </w:pPr>
    <w:rPr>
      <w:rFonts w:eastAsia="Times New Roman" w:cs="Times New Roman"/>
      <w:iCs/>
      <w:color w:val="9B2C98"/>
      <w:sz w:val="24"/>
      <w:szCs w:val="18"/>
      <w:lang w:val="en-GB" w:bidi="ar-SA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autoSpaceDE/>
      <w:autoSpaceDN/>
      <w:spacing w:after="120" w:line="240" w:lineRule="atLeast"/>
      <w:contextualSpacing/>
    </w:pPr>
    <w:rPr>
      <w:rFonts w:eastAsia="Times New Roman" w:cs="Times New Roman"/>
      <w:sz w:val="24"/>
      <w:szCs w:val="24"/>
      <w:lang w:val="en-GB" w:bidi="ar-SA"/>
    </w:rPr>
  </w:style>
  <w:style w:type="paragraph" w:styleId="List">
    <w:name w:val="List"/>
    <w:basedOn w:val="Normal"/>
    <w:uiPriority w:val="99"/>
    <w:semiHidden/>
    <w:unhideWhenUsed/>
    <w:rsid w:val="008F5F53"/>
    <w:pPr>
      <w:autoSpaceDE/>
      <w:autoSpaceDN/>
      <w:spacing w:after="120" w:line="240" w:lineRule="atLeast"/>
      <w:ind w:left="283" w:hanging="283"/>
      <w:contextualSpacing/>
    </w:pPr>
    <w:rPr>
      <w:rFonts w:eastAsia="Times New Roman" w:cs="Times New Roman"/>
      <w:sz w:val="24"/>
      <w:szCs w:val="24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pPr>
      <w:autoSpaceDE/>
      <w:autoSpaceDN/>
      <w:spacing w:after="120" w:line="240" w:lineRule="atLeast"/>
    </w:pPr>
    <w:rPr>
      <w:rFonts w:eastAsia="Times New Roman" w:cs="Times New Roman"/>
      <w:sz w:val="20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autoSpaceDE/>
      <w:autoSpaceDN/>
      <w:spacing w:after="120" w:line="240" w:lineRule="atLeast"/>
      <w:ind w:left="720"/>
      <w:contextualSpacing/>
    </w:pPr>
    <w:rPr>
      <w:rFonts w:eastAsia="Times New Roman" w:cs="Times New Roman"/>
      <w:sz w:val="24"/>
      <w:szCs w:val="24"/>
      <w:lang w:val="en-GB" w:bidi="ar-SA"/>
    </w:r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</w:pPr>
    <w:rPr>
      <w:rFonts w:eastAsia="Times New Roman" w:cs="Times New Roman"/>
      <w:sz w:val="24"/>
      <w:szCs w:val="24"/>
      <w:lang w:val="en-GB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  <w:ind w:left="240"/>
    </w:pPr>
    <w:rPr>
      <w:rFonts w:eastAsia="Times New Roman" w:cs="Times New Roman"/>
      <w:sz w:val="24"/>
      <w:szCs w:val="24"/>
      <w:lang w:val="en-GB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autoSpaceDE/>
      <w:autoSpaceDN/>
      <w:spacing w:after="100" w:line="240" w:lineRule="atLeast"/>
      <w:ind w:left="480"/>
    </w:pPr>
    <w:rPr>
      <w:rFonts w:eastAsia="Times New Roman" w:cs="Times New Roman"/>
      <w:sz w:val="24"/>
      <w:szCs w:val="24"/>
      <w:lang w:val="en-GB" w:bidi="ar-SA"/>
    </w:r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F3116"/>
    <w:pPr>
      <w:spacing w:before="63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D98CB97C1CB4D884213557209657C" ma:contentTypeVersion="17" ma:contentTypeDescription="Create a new document." ma:contentTypeScope="" ma:versionID="c16ecfe5488a7f39cbc8be554e73d8e4">
  <xsd:schema xmlns:xsd="http://www.w3.org/2001/XMLSchema" xmlns:xs="http://www.w3.org/2001/XMLSchema" xmlns:p="http://schemas.microsoft.com/office/2006/metadata/properties" xmlns:ns2="414783d2-565d-490b-98c7-46834bb9730e" xmlns:ns3="be2d8b33-93e9-4cb7-9123-89740574f838" targetNamespace="http://schemas.microsoft.com/office/2006/metadata/properties" ma:root="true" ma:fieldsID="3b28cffa266f55f04f1134f34fd199f2" ns2:_="" ns3:_="">
    <xsd:import namespace="414783d2-565d-490b-98c7-46834bb9730e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783d2-565d-490b-98c7-46834bb9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a3c01-0596-43f0-a710-09e72a17d88f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8b33-93e9-4cb7-9123-89740574f838" xsi:nil="true"/>
    <lcf76f155ced4ddcb4097134ff3c332f xmlns="414783d2-565d-490b-98c7-46834bb973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DC21F-C8FC-4575-AB79-608CAFA6B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783d2-565d-490b-98c7-46834bb9730e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414783d2-565d-490b-98c7-46834bb9730e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Gail Anderson</cp:lastModifiedBy>
  <cp:revision>4</cp:revision>
  <cp:lastPrinted>2022-07-21T08:46:00Z</cp:lastPrinted>
  <dcterms:created xsi:type="dcterms:W3CDTF">2023-12-29T12:04:00Z</dcterms:created>
  <dcterms:modified xsi:type="dcterms:W3CDTF">2024-01-17T15:04:00Z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0x01010052BD98CB97C1CB4D884213557209657C</vt:lpwstr>
  </property>
</Properties>
</file>