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3B46" w14:textId="65063270" w:rsidR="00743CC4" w:rsidRDefault="00743CC4" w:rsidP="00743CC4">
      <w:pPr>
        <w:pStyle w:val="Heading1"/>
      </w:pPr>
      <w:r w:rsidRPr="00743CC4">
        <w:t xml:space="preserve">Change 7: Trusted </w:t>
      </w:r>
      <w:proofErr w:type="gramStart"/>
      <w:r w:rsidRPr="00743CC4">
        <w:t>assessments</w:t>
      </w:r>
      <w:proofErr w:type="gramEnd"/>
    </w:p>
    <w:tbl>
      <w:tblPr>
        <w:tblpPr w:leftFromText="181" w:rightFromText="181" w:vertAnchor="page" w:horzAnchor="margin" w:tblpXSpec="center" w:tblpY="2291"/>
        <w:tblW w:w="147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552"/>
        <w:gridCol w:w="2298"/>
        <w:gridCol w:w="2384"/>
        <w:gridCol w:w="2977"/>
        <w:gridCol w:w="2835"/>
      </w:tblGrid>
      <w:tr w:rsidR="00743CC4" w:rsidRPr="00743CC4" w14:paraId="40D5E8C3" w14:textId="77777777" w:rsidTr="00743CC4">
        <w:trPr>
          <w:trHeight w:val="385"/>
        </w:trPr>
        <w:tc>
          <w:tcPr>
            <w:tcW w:w="1696" w:type="dxa"/>
            <w:shd w:val="clear" w:color="auto" w:fill="0B768C"/>
          </w:tcPr>
          <w:p w14:paraId="1D05C2DA" w14:textId="2E5956E6" w:rsidR="00743CC4" w:rsidRPr="00743CC4" w:rsidRDefault="00743CC4" w:rsidP="00743CC4">
            <w:pPr>
              <w:pStyle w:val="Heading2"/>
              <w:rPr>
                <w:rFonts w:cs="Arial"/>
                <w:color w:val="FFFFFF" w:themeColor="background1"/>
              </w:rPr>
            </w:pPr>
            <w:r w:rsidRPr="00743CC4">
              <w:rPr>
                <w:color w:val="FFFFFF" w:themeColor="background1"/>
              </w:rPr>
              <w:t>Stages</w:t>
            </w:r>
          </w:p>
        </w:tc>
        <w:tc>
          <w:tcPr>
            <w:tcW w:w="2552" w:type="dxa"/>
            <w:shd w:val="clear" w:color="auto" w:fill="0B768C"/>
          </w:tcPr>
          <w:p w14:paraId="0110E9C2" w14:textId="77777777" w:rsidR="00743CC4" w:rsidRPr="00743CC4" w:rsidRDefault="00743CC4" w:rsidP="00743CC4">
            <w:pPr>
              <w:pStyle w:val="Heading2"/>
              <w:rPr>
                <w:rFonts w:cs="Arial"/>
                <w:color w:val="FFFFFF" w:themeColor="background1"/>
              </w:rPr>
            </w:pPr>
            <w:r w:rsidRPr="00743CC4">
              <w:rPr>
                <w:rFonts w:cs="Arial"/>
                <w:color w:val="FFFFFF" w:themeColor="background1"/>
              </w:rPr>
              <w:t>Not yet established</w:t>
            </w:r>
          </w:p>
        </w:tc>
        <w:tc>
          <w:tcPr>
            <w:tcW w:w="2298" w:type="dxa"/>
            <w:shd w:val="clear" w:color="auto" w:fill="0B768C"/>
          </w:tcPr>
          <w:p w14:paraId="00E472AD" w14:textId="77777777" w:rsidR="00743CC4" w:rsidRPr="00743CC4" w:rsidRDefault="00743CC4" w:rsidP="00743CC4">
            <w:pPr>
              <w:pStyle w:val="Heading2"/>
              <w:rPr>
                <w:rFonts w:cs="Arial"/>
                <w:color w:val="FFFFFF" w:themeColor="background1"/>
              </w:rPr>
            </w:pPr>
            <w:r w:rsidRPr="00743CC4">
              <w:rPr>
                <w:rFonts w:cs="Arial"/>
                <w:color w:val="FFFFFF" w:themeColor="background1"/>
              </w:rPr>
              <w:t>Plans in place</w:t>
            </w:r>
          </w:p>
        </w:tc>
        <w:tc>
          <w:tcPr>
            <w:tcW w:w="2384" w:type="dxa"/>
            <w:shd w:val="clear" w:color="auto" w:fill="0B768C"/>
          </w:tcPr>
          <w:p w14:paraId="570FF6FE" w14:textId="77777777" w:rsidR="00743CC4" w:rsidRPr="00743CC4" w:rsidRDefault="00743CC4" w:rsidP="00743CC4">
            <w:pPr>
              <w:pStyle w:val="Heading2"/>
              <w:rPr>
                <w:rFonts w:cs="Arial"/>
                <w:color w:val="FFFFFF" w:themeColor="background1"/>
              </w:rPr>
            </w:pPr>
            <w:r w:rsidRPr="00743CC4">
              <w:rPr>
                <w:rFonts w:cs="Arial"/>
                <w:color w:val="FFFFFF" w:themeColor="background1"/>
              </w:rPr>
              <w:t>Established</w:t>
            </w:r>
          </w:p>
        </w:tc>
        <w:tc>
          <w:tcPr>
            <w:tcW w:w="2977" w:type="dxa"/>
            <w:shd w:val="clear" w:color="auto" w:fill="0B768C"/>
          </w:tcPr>
          <w:p w14:paraId="1A8350B1" w14:textId="77777777" w:rsidR="00743CC4" w:rsidRPr="00743CC4" w:rsidRDefault="00743CC4" w:rsidP="00743CC4">
            <w:pPr>
              <w:pStyle w:val="Heading2"/>
              <w:rPr>
                <w:rFonts w:cs="Arial"/>
                <w:color w:val="FFFFFF" w:themeColor="background1"/>
              </w:rPr>
            </w:pPr>
            <w:r w:rsidRPr="00743CC4">
              <w:rPr>
                <w:rFonts w:cs="Arial"/>
                <w:color w:val="FFFFFF" w:themeColor="background1"/>
              </w:rPr>
              <w:t>Mature</w:t>
            </w:r>
          </w:p>
        </w:tc>
        <w:tc>
          <w:tcPr>
            <w:tcW w:w="2835" w:type="dxa"/>
            <w:shd w:val="clear" w:color="auto" w:fill="0B768C"/>
          </w:tcPr>
          <w:p w14:paraId="3ABB5C6F" w14:textId="77777777" w:rsidR="00743CC4" w:rsidRPr="00743CC4" w:rsidRDefault="00743CC4" w:rsidP="00743CC4">
            <w:pPr>
              <w:pStyle w:val="Heading2"/>
              <w:rPr>
                <w:rFonts w:cs="Arial"/>
                <w:color w:val="FFFFFF" w:themeColor="background1"/>
              </w:rPr>
            </w:pPr>
            <w:r w:rsidRPr="00743CC4">
              <w:rPr>
                <w:rFonts w:cs="Arial"/>
                <w:color w:val="FFFFFF" w:themeColor="background1"/>
              </w:rPr>
              <w:t>Exemplary</w:t>
            </w:r>
          </w:p>
        </w:tc>
      </w:tr>
      <w:tr w:rsidR="00743CC4" w:rsidRPr="00743CC4" w14:paraId="3FF66539" w14:textId="77777777" w:rsidTr="00743CC4">
        <w:trPr>
          <w:trHeight w:val="1199"/>
        </w:trPr>
        <w:tc>
          <w:tcPr>
            <w:tcW w:w="1696" w:type="dxa"/>
            <w:shd w:val="clear" w:color="auto" w:fill="64C3D2"/>
          </w:tcPr>
          <w:p w14:paraId="694F63E5" w14:textId="77777777" w:rsidR="00743CC4" w:rsidRPr="00743CC4" w:rsidRDefault="00743CC4" w:rsidP="00743CC4">
            <w:pPr>
              <w:pStyle w:val="TableParagraph"/>
              <w:spacing w:before="61" w:line="266" w:lineRule="auto"/>
              <w:rPr>
                <w:b/>
                <w:color w:val="231F20"/>
                <w:sz w:val="24"/>
                <w:szCs w:val="24"/>
              </w:rPr>
            </w:pPr>
            <w:r w:rsidRPr="00743CC4">
              <w:rPr>
                <w:b/>
                <w:color w:val="231F20"/>
                <w:sz w:val="24"/>
                <w:szCs w:val="24"/>
              </w:rPr>
              <w:t>Independent care sector assessments</w:t>
            </w:r>
          </w:p>
        </w:tc>
        <w:tc>
          <w:tcPr>
            <w:tcW w:w="2552" w:type="dxa"/>
            <w:shd w:val="clear" w:color="auto" w:fill="64C3D2"/>
          </w:tcPr>
          <w:p w14:paraId="25B826FA" w14:textId="77777777" w:rsidR="00743CC4" w:rsidRPr="00743CC4" w:rsidRDefault="00743CC4" w:rsidP="00743CC4">
            <w:pPr>
              <w:spacing w:line="259" w:lineRule="auto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Care providers insist on assessing for the service or home regardless of their capacity to do so in a timely manner.</w:t>
            </w:r>
          </w:p>
          <w:p w14:paraId="24BC160B" w14:textId="77777777" w:rsidR="00743CC4" w:rsidRPr="00743CC4" w:rsidRDefault="00743CC4" w:rsidP="00743CC4">
            <w:pPr>
              <w:pStyle w:val="TableParagraph"/>
              <w:spacing w:before="61" w:line="26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64C3D2"/>
          </w:tcPr>
          <w:p w14:paraId="5EA679F0" w14:textId="77777777" w:rsidR="00743CC4" w:rsidRPr="00743CC4" w:rsidRDefault="00743CC4" w:rsidP="00743CC4">
            <w:pPr>
              <w:pStyle w:val="TableParagraph"/>
              <w:spacing w:before="61" w:line="266" w:lineRule="auto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Care providers engaged in discussions about whether existing assessments completed in the hospital can be made to meet their needs / agreement to appoint a trusted assessor.</w:t>
            </w:r>
          </w:p>
        </w:tc>
        <w:tc>
          <w:tcPr>
            <w:tcW w:w="2384" w:type="dxa"/>
            <w:shd w:val="clear" w:color="auto" w:fill="64C3D2"/>
          </w:tcPr>
          <w:p w14:paraId="33A0D324" w14:textId="77777777" w:rsidR="00743CC4" w:rsidRPr="00743CC4" w:rsidRDefault="00743CC4" w:rsidP="00743CC4">
            <w:pPr>
              <w:pStyle w:val="TableParagraph"/>
              <w:spacing w:before="61" w:line="266" w:lineRule="auto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An existing assessment has been adapted to serve the needs of a pre-admission assessment or a worker has begun to carry out assessments on behalf of at least one provider.</w:t>
            </w:r>
          </w:p>
        </w:tc>
        <w:tc>
          <w:tcPr>
            <w:tcW w:w="2977" w:type="dxa"/>
            <w:shd w:val="clear" w:color="auto" w:fill="64C3D2"/>
          </w:tcPr>
          <w:p w14:paraId="3BD0D595" w14:textId="77777777" w:rsidR="00743CC4" w:rsidRPr="00743CC4" w:rsidRDefault="00743CC4" w:rsidP="00743CC4">
            <w:pPr>
              <w:pStyle w:val="TableParagraph"/>
              <w:spacing w:before="62" w:line="266" w:lineRule="auto"/>
              <w:ind w:left="112" w:right="409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An existing assessment has been adapted to serve the needs of a pre-admission assessment and is being used with several providers or a worker(s) is carrying out assessments on behalf of several providers.</w:t>
            </w:r>
          </w:p>
        </w:tc>
        <w:tc>
          <w:tcPr>
            <w:tcW w:w="2835" w:type="dxa"/>
            <w:shd w:val="clear" w:color="auto" w:fill="64C3D2"/>
          </w:tcPr>
          <w:p w14:paraId="559E963C" w14:textId="77777777" w:rsidR="00743CC4" w:rsidRPr="00743CC4" w:rsidRDefault="00743CC4" w:rsidP="00743CC4">
            <w:pPr>
              <w:pStyle w:val="TableParagraph"/>
              <w:spacing w:before="62" w:line="266" w:lineRule="auto"/>
              <w:ind w:left="112" w:right="463"/>
              <w:rPr>
                <w:color w:val="000000" w:themeColor="text1"/>
                <w:sz w:val="24"/>
                <w:szCs w:val="24"/>
                <w:lang w:val="en-GB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 xml:space="preserve">Systems have understood the challenges in accepting patients post-COVID and support care providers with clinical support and specialist equipment to care for people safely. </w:t>
            </w:r>
          </w:p>
        </w:tc>
      </w:tr>
      <w:tr w:rsidR="00743CC4" w:rsidRPr="00743CC4" w14:paraId="75156AAC" w14:textId="77777777" w:rsidTr="00743CC4">
        <w:trPr>
          <w:trHeight w:val="1475"/>
        </w:trPr>
        <w:tc>
          <w:tcPr>
            <w:tcW w:w="1696" w:type="dxa"/>
            <w:shd w:val="clear" w:color="auto" w:fill="64C3D2"/>
          </w:tcPr>
          <w:p w14:paraId="6A9604FC" w14:textId="77777777" w:rsidR="00743CC4" w:rsidRPr="00743CC4" w:rsidRDefault="00743CC4" w:rsidP="00743CC4">
            <w:pPr>
              <w:pStyle w:val="TableParagraph"/>
              <w:spacing w:before="62" w:line="266" w:lineRule="auto"/>
              <w:rPr>
                <w:b/>
                <w:color w:val="231F20"/>
                <w:sz w:val="24"/>
                <w:szCs w:val="24"/>
              </w:rPr>
            </w:pPr>
            <w:r w:rsidRPr="00743CC4">
              <w:rPr>
                <w:b/>
                <w:color w:val="231F20"/>
                <w:sz w:val="24"/>
                <w:szCs w:val="24"/>
              </w:rPr>
              <w:t>Within hospital (acute or community)</w:t>
            </w:r>
          </w:p>
        </w:tc>
        <w:tc>
          <w:tcPr>
            <w:tcW w:w="2552" w:type="dxa"/>
            <w:shd w:val="clear" w:color="auto" w:fill="64C3D2"/>
          </w:tcPr>
          <w:p w14:paraId="184A2A1D" w14:textId="77777777" w:rsidR="00743CC4" w:rsidRPr="00743CC4" w:rsidRDefault="00743CC4" w:rsidP="00743CC4">
            <w:pPr>
              <w:pStyle w:val="TableParagraph"/>
              <w:spacing w:before="62" w:line="266" w:lineRule="auto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Each profession insists on doing its own assessment and this causes delays in the person’s pathway.</w:t>
            </w:r>
          </w:p>
        </w:tc>
        <w:tc>
          <w:tcPr>
            <w:tcW w:w="2298" w:type="dxa"/>
            <w:shd w:val="clear" w:color="auto" w:fill="64C3D2"/>
          </w:tcPr>
          <w:p w14:paraId="703E69F5" w14:textId="77777777" w:rsidR="00743CC4" w:rsidRPr="00743CC4" w:rsidRDefault="00743CC4" w:rsidP="00743CC4">
            <w:pPr>
              <w:pStyle w:val="TableParagraph"/>
              <w:spacing w:before="62" w:line="266" w:lineRule="auto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Professionals are engaged in discussions as to when a shared or joint assessment might be possible.</w:t>
            </w:r>
          </w:p>
        </w:tc>
        <w:tc>
          <w:tcPr>
            <w:tcW w:w="2384" w:type="dxa"/>
            <w:shd w:val="clear" w:color="auto" w:fill="64C3D2"/>
          </w:tcPr>
          <w:p w14:paraId="2573CA86" w14:textId="77777777" w:rsidR="00743CC4" w:rsidRPr="00743CC4" w:rsidRDefault="00743CC4" w:rsidP="00743CC4">
            <w:pPr>
              <w:pStyle w:val="TableParagraph"/>
              <w:spacing w:before="0" w:line="251" w:lineRule="exact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Existing assessments are used for more than one purpose for at least one pathway.</w:t>
            </w:r>
          </w:p>
        </w:tc>
        <w:tc>
          <w:tcPr>
            <w:tcW w:w="2977" w:type="dxa"/>
            <w:shd w:val="clear" w:color="auto" w:fill="64C3D2"/>
          </w:tcPr>
          <w:p w14:paraId="662D4D85" w14:textId="77777777" w:rsidR="00743CC4" w:rsidRPr="00743CC4" w:rsidRDefault="00743CC4" w:rsidP="00743CC4">
            <w:pPr>
              <w:pStyle w:val="TableParagraph"/>
              <w:spacing w:before="62" w:line="266" w:lineRule="auto"/>
              <w:ind w:left="112" w:right="614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Existing assessments are used for more than one purpose for several pathways.</w:t>
            </w:r>
          </w:p>
        </w:tc>
        <w:tc>
          <w:tcPr>
            <w:tcW w:w="2835" w:type="dxa"/>
            <w:shd w:val="clear" w:color="auto" w:fill="64C3D2"/>
          </w:tcPr>
          <w:p w14:paraId="7303D529" w14:textId="77777777" w:rsidR="00743CC4" w:rsidRPr="00743CC4" w:rsidRDefault="00743CC4" w:rsidP="00743CC4">
            <w:pPr>
              <w:pStyle w:val="TableParagraph"/>
              <w:spacing w:before="62" w:line="266" w:lineRule="auto"/>
              <w:ind w:left="112" w:right="130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Assessments are carried out in people’s own homes or in step-down facilities – initial screening ensures this is safe to do so drawing on expert advice as needed.</w:t>
            </w:r>
          </w:p>
        </w:tc>
      </w:tr>
      <w:tr w:rsidR="00743CC4" w:rsidRPr="00743CC4" w14:paraId="2D4AE901" w14:textId="77777777" w:rsidTr="00743CC4">
        <w:trPr>
          <w:trHeight w:val="1199"/>
        </w:trPr>
        <w:tc>
          <w:tcPr>
            <w:tcW w:w="1696" w:type="dxa"/>
            <w:shd w:val="clear" w:color="auto" w:fill="64C3D2"/>
          </w:tcPr>
          <w:p w14:paraId="51AA2E29" w14:textId="77777777" w:rsidR="00743CC4" w:rsidRPr="00743CC4" w:rsidRDefault="00743CC4" w:rsidP="00743CC4">
            <w:pPr>
              <w:pStyle w:val="TableParagraph"/>
              <w:spacing w:line="266" w:lineRule="auto"/>
              <w:ind w:right="198"/>
              <w:rPr>
                <w:b/>
                <w:color w:val="231F20"/>
                <w:sz w:val="24"/>
                <w:szCs w:val="24"/>
              </w:rPr>
            </w:pPr>
            <w:r w:rsidRPr="00743CC4">
              <w:rPr>
                <w:b/>
                <w:color w:val="231F20"/>
                <w:sz w:val="24"/>
                <w:szCs w:val="24"/>
              </w:rPr>
              <w:lastRenderedPageBreak/>
              <w:t>Adult social care (hospital and community)</w:t>
            </w:r>
          </w:p>
        </w:tc>
        <w:tc>
          <w:tcPr>
            <w:tcW w:w="2552" w:type="dxa"/>
            <w:shd w:val="clear" w:color="auto" w:fill="64C3D2"/>
          </w:tcPr>
          <w:p w14:paraId="08B9C778" w14:textId="77777777" w:rsidR="00743CC4" w:rsidRPr="00743CC4" w:rsidRDefault="00743CC4" w:rsidP="00743CC4">
            <w:pPr>
              <w:spacing w:line="259" w:lineRule="auto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 xml:space="preserve">People </w:t>
            </w:r>
            <w:proofErr w:type="gramStart"/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have to</w:t>
            </w:r>
            <w:proofErr w:type="gramEnd"/>
            <w:r w:rsidRPr="00743CC4">
              <w:rPr>
                <w:color w:val="000000" w:themeColor="text1"/>
                <w:sz w:val="24"/>
                <w:szCs w:val="24"/>
                <w:lang w:val="en-GB"/>
              </w:rPr>
              <w:t xml:space="preserve"> wait a long time to have an eligibility determination.</w:t>
            </w:r>
          </w:p>
          <w:p w14:paraId="5A2601A3" w14:textId="77777777" w:rsidR="00743CC4" w:rsidRPr="00743CC4" w:rsidRDefault="00743CC4" w:rsidP="00743CC4">
            <w:pPr>
              <w:pStyle w:val="TableParagraph"/>
              <w:spacing w:line="266" w:lineRule="auto"/>
              <w:ind w:right="19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64C3D2"/>
          </w:tcPr>
          <w:p w14:paraId="7F19A925" w14:textId="77777777" w:rsidR="00743CC4" w:rsidRPr="00743CC4" w:rsidRDefault="00743CC4" w:rsidP="00743CC4">
            <w:pPr>
              <w:pStyle w:val="TableParagraph"/>
              <w:spacing w:line="266" w:lineRule="auto"/>
              <w:ind w:right="118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Exploration is under way to determine why this is and to address it.</w:t>
            </w:r>
          </w:p>
        </w:tc>
        <w:tc>
          <w:tcPr>
            <w:tcW w:w="2384" w:type="dxa"/>
            <w:shd w:val="clear" w:color="auto" w:fill="64C3D2"/>
          </w:tcPr>
          <w:p w14:paraId="167AF5F7" w14:textId="77777777" w:rsidR="00743CC4" w:rsidRPr="00743CC4" w:rsidRDefault="00743CC4" w:rsidP="00743CC4">
            <w:pPr>
              <w:pStyle w:val="TableParagraph"/>
              <w:spacing w:line="266" w:lineRule="auto"/>
              <w:ind w:right="201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A third party has been trained and authorised to carry out eligibility determinations.</w:t>
            </w:r>
          </w:p>
        </w:tc>
        <w:tc>
          <w:tcPr>
            <w:tcW w:w="2977" w:type="dxa"/>
            <w:shd w:val="clear" w:color="auto" w:fill="64C3D2"/>
          </w:tcPr>
          <w:p w14:paraId="063AD296" w14:textId="77777777" w:rsidR="00743CC4" w:rsidRPr="00743CC4" w:rsidRDefault="00743CC4" w:rsidP="00743CC4">
            <w:pPr>
              <w:pStyle w:val="TableParagraph"/>
              <w:spacing w:line="266" w:lineRule="auto"/>
              <w:ind w:right="132"/>
              <w:rPr>
                <w:color w:val="000000" w:themeColor="text1"/>
                <w:sz w:val="24"/>
                <w:szCs w:val="24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Eligibility determinations are routinely carried out by a third party when the local authority is unable to do so on time.</w:t>
            </w:r>
          </w:p>
        </w:tc>
        <w:tc>
          <w:tcPr>
            <w:tcW w:w="2835" w:type="dxa"/>
            <w:shd w:val="clear" w:color="auto" w:fill="64C3D2"/>
          </w:tcPr>
          <w:p w14:paraId="19AD6D68" w14:textId="77777777" w:rsidR="00743CC4" w:rsidRPr="00743CC4" w:rsidRDefault="00743CC4" w:rsidP="00743CC4">
            <w:pPr>
              <w:pStyle w:val="TableParagraph"/>
              <w:spacing w:line="266" w:lineRule="auto"/>
              <w:ind w:left="112" w:right="201"/>
              <w:rPr>
                <w:color w:val="000000" w:themeColor="text1"/>
                <w:sz w:val="24"/>
                <w:szCs w:val="24"/>
                <w:lang w:val="en-GB"/>
              </w:rPr>
            </w:pPr>
            <w:r w:rsidRPr="00743CC4">
              <w:rPr>
                <w:color w:val="000000" w:themeColor="text1"/>
                <w:sz w:val="24"/>
                <w:szCs w:val="24"/>
                <w:lang w:val="en-GB"/>
              </w:rPr>
              <w:t>People do not experience delays due to lack of timely assessment. Eligibility assessments are not carried out in hospital.</w:t>
            </w:r>
          </w:p>
        </w:tc>
      </w:tr>
    </w:tbl>
    <w:p w14:paraId="4A45DE15" w14:textId="7AD41BD2" w:rsidR="00214DB2" w:rsidRPr="00743CC4" w:rsidRDefault="00743CC4" w:rsidP="00214DB2">
      <w:pPr>
        <w:pStyle w:val="BodyText"/>
        <w:spacing w:before="2" w:after="1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14:paraId="7565B7F9" w14:textId="77777777" w:rsidR="00214DB2" w:rsidRPr="00743CC4" w:rsidRDefault="00214DB2" w:rsidP="00214DB2">
      <w:pPr>
        <w:pStyle w:val="Heading2"/>
        <w:jc w:val="center"/>
        <w:rPr>
          <w:rFonts w:cs="Arial"/>
          <w:color w:val="231F20"/>
          <w:sz w:val="24"/>
        </w:rPr>
      </w:pPr>
    </w:p>
    <w:p w14:paraId="5A4FBE52" w14:textId="77777777" w:rsidR="00214DB2" w:rsidRPr="00743CC4" w:rsidRDefault="00214DB2" w:rsidP="00214DB2">
      <w:pPr>
        <w:pStyle w:val="Heading2"/>
        <w:jc w:val="center"/>
        <w:rPr>
          <w:rFonts w:cs="Arial"/>
          <w:color w:val="231F20"/>
          <w:sz w:val="24"/>
        </w:rPr>
      </w:pPr>
    </w:p>
    <w:p w14:paraId="40453B29" w14:textId="77777777" w:rsidR="00214DB2" w:rsidRPr="00743CC4" w:rsidRDefault="00214DB2" w:rsidP="00214DB2">
      <w:pPr>
        <w:pStyle w:val="Heading2"/>
        <w:spacing w:before="0"/>
        <w:jc w:val="center"/>
        <w:rPr>
          <w:rFonts w:cs="Arial"/>
          <w:color w:val="231F20"/>
          <w:sz w:val="24"/>
        </w:rPr>
      </w:pPr>
    </w:p>
    <w:p w14:paraId="311FD68E" w14:textId="77777777" w:rsidR="00B15CF5" w:rsidRPr="00743CC4" w:rsidRDefault="00B15CF5" w:rsidP="00AC3650">
      <w:pPr>
        <w:rPr>
          <w:sz w:val="24"/>
          <w:szCs w:val="24"/>
        </w:rPr>
      </w:pPr>
    </w:p>
    <w:sectPr w:rsidR="00B15CF5" w:rsidRPr="00743CC4" w:rsidSect="00214DB2">
      <w:footerReference w:type="even" r:id="rId11"/>
      <w:pgSz w:w="16840" w:h="11900" w:orient="landscape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B865" w14:textId="77777777" w:rsidR="00C77B5A" w:rsidRDefault="00C77B5A" w:rsidP="0052129E">
      <w:r>
        <w:separator/>
      </w:r>
    </w:p>
  </w:endnote>
  <w:endnote w:type="continuationSeparator" w:id="0">
    <w:p w14:paraId="485EB8D6" w14:textId="77777777" w:rsidR="00C77B5A" w:rsidRDefault="00C77B5A" w:rsidP="0052129E">
      <w:r>
        <w:continuationSeparator/>
      </w:r>
    </w:p>
  </w:endnote>
  <w:endnote w:type="continuationNotice" w:id="1">
    <w:p w14:paraId="2E2B15B0" w14:textId="77777777" w:rsidR="00C77B5A" w:rsidRDefault="00C77B5A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4694" w14:textId="77777777" w:rsidR="008B5701" w:rsidRDefault="008B5701" w:rsidP="0052129E"/>
  <w:p w14:paraId="7C9D7347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24EB" w14:textId="77777777" w:rsidR="00C77B5A" w:rsidRDefault="00C77B5A" w:rsidP="0052129E">
      <w:r>
        <w:separator/>
      </w:r>
    </w:p>
  </w:footnote>
  <w:footnote w:type="continuationSeparator" w:id="0">
    <w:p w14:paraId="1DD345AD" w14:textId="77777777" w:rsidR="00C77B5A" w:rsidRDefault="00C77B5A" w:rsidP="0052129E">
      <w:r>
        <w:continuationSeparator/>
      </w:r>
    </w:p>
  </w:footnote>
  <w:footnote w:type="continuationNotice" w:id="1">
    <w:p w14:paraId="1399AFFE" w14:textId="77777777" w:rsidR="00C77B5A" w:rsidRDefault="00C77B5A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B2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4DB2"/>
    <w:rsid w:val="00215D15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43CC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77B5A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DF04B1"/>
  <w14:defaultImageDpi w14:val="330"/>
  <w15:chartTrackingRefBased/>
  <w15:docId w15:val="{7F704437-F3E3-4180-8662-7869D380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214DB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autoSpaceDE/>
      <w:autoSpaceDN/>
      <w:spacing w:before="120" w:after="120" w:line="320" w:lineRule="atLeast"/>
      <w:outlineLvl w:val="0"/>
    </w:pPr>
    <w:rPr>
      <w:rFonts w:eastAsia="Times New Roman"/>
      <w:b/>
      <w:color w:val="000000" w:themeColor="text1"/>
      <w:sz w:val="32"/>
      <w:szCs w:val="32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autoSpaceDE/>
      <w:autoSpaceDN/>
      <w:spacing w:before="360" w:after="40" w:line="320" w:lineRule="atLeast"/>
      <w:outlineLvl w:val="1"/>
    </w:pPr>
    <w:rPr>
      <w:rFonts w:eastAsia="Times New Roman" w:cs="Times New Roman"/>
      <w:b/>
      <w:color w:val="9B2C98"/>
      <w:sz w:val="28"/>
      <w:szCs w:val="24"/>
      <w:lang w:val="en-GB" w:bidi="ar-SA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autoSpaceDE/>
      <w:autoSpaceDN/>
      <w:spacing w:before="360" w:after="120" w:line="280" w:lineRule="atLeast"/>
      <w:outlineLvl w:val="2"/>
    </w:pPr>
    <w:rPr>
      <w:rFonts w:eastAsia="Times New Roman"/>
      <w:b/>
      <w:color w:val="000000" w:themeColor="text1"/>
      <w:sz w:val="24"/>
      <w:szCs w:val="24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autoSpaceDE/>
      <w:autoSpaceDN/>
      <w:spacing w:before="360" w:after="120" w:line="280" w:lineRule="atLeast"/>
      <w:outlineLvl w:val="3"/>
    </w:pPr>
    <w:rPr>
      <w:rFonts w:eastAsia="Times New Roman"/>
      <w:b/>
      <w:bCs/>
      <w:color w:val="951B81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  <w:autoSpaceDE/>
      <w:autoSpaceDN/>
      <w:spacing w:after="120" w:line="240" w:lineRule="atLeast"/>
    </w:pPr>
    <w:rPr>
      <w:rFonts w:eastAsia="Times New Roman" w:cs="Times New Roman"/>
      <w:sz w:val="24"/>
      <w:szCs w:val="24"/>
      <w:lang w:val="en-GB" w:bidi="ar-SA"/>
    </w:r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utoSpaceDE/>
      <w:autoSpaceDN/>
      <w:adjustRightInd w:val="0"/>
      <w:snapToGrid w:val="0"/>
      <w:spacing w:after="360" w:line="240" w:lineRule="atLeast"/>
    </w:pPr>
    <w:rPr>
      <w:rFonts w:eastAsia="Times New Roman" w:cs="Times New Roman"/>
      <w:color w:val="9B2C98"/>
      <w:sz w:val="28"/>
      <w:szCs w:val="24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  <w:autoSpaceDE/>
      <w:autoSpaceDN/>
      <w:spacing w:after="120" w:line="240" w:lineRule="atLeast"/>
    </w:pPr>
    <w:rPr>
      <w:rFonts w:eastAsia="Times New Roman" w:cs="Times New Roman"/>
      <w:sz w:val="24"/>
      <w:szCs w:val="24"/>
      <w:lang w:val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autoSpaceDE/>
      <w:autoSpaceDN/>
      <w:spacing w:after="120" w:line="240" w:lineRule="atLeast"/>
      <w:ind w:left="1560"/>
    </w:pPr>
    <w:rPr>
      <w:rFonts w:eastAsia="Times New Roman" w:cs="Times New Roman"/>
      <w:b/>
      <w:sz w:val="24"/>
      <w:lang w:val="en-GB" w:bidi="ar-SA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pPr>
      <w:autoSpaceDE/>
      <w:autoSpaceDN/>
      <w:spacing w:after="120" w:line="240" w:lineRule="atLeast"/>
    </w:pPr>
    <w:rPr>
      <w:rFonts w:ascii="Lucida Grande" w:eastAsia="Times New Roman" w:hAnsi="Lucida Grande" w:cs="Lucida Grande"/>
      <w:sz w:val="18"/>
      <w:szCs w:val="18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autoSpaceDE/>
      <w:autoSpaceDN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  <w:autoSpaceDE/>
      <w:autoSpaceDN/>
      <w:spacing w:after="120" w:line="240" w:lineRule="atLeast"/>
    </w:pPr>
    <w:rPr>
      <w:rFonts w:eastAsia="Times New Roman" w:cs="Times New Roman"/>
      <w:sz w:val="24"/>
      <w:szCs w:val="24"/>
      <w:lang w:val="en-GB" w:bidi="ar-SA"/>
    </w:rPr>
  </w:style>
  <w:style w:type="paragraph" w:customStyle="1" w:styleId="Covereventname">
    <w:name w:val="Cover event name"/>
    <w:basedOn w:val="Normal"/>
    <w:next w:val="Normal"/>
    <w:uiPriority w:val="4"/>
    <w:rsid w:val="00CA3222"/>
    <w:pPr>
      <w:autoSpaceDE/>
      <w:autoSpaceDN/>
      <w:spacing w:before="120" w:after="120" w:line="240" w:lineRule="atLeast"/>
    </w:pPr>
    <w:rPr>
      <w:rFonts w:eastAsia="Times New Roman"/>
      <w:color w:val="951A80"/>
      <w:sz w:val="84"/>
      <w:szCs w:val="52"/>
      <w:lang w:val="en-GB" w:bidi="ar-SA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autoSpaceDE/>
      <w:autoSpaceDN/>
      <w:spacing w:after="120" w:line="240" w:lineRule="atLeast"/>
      <w:ind w:left="1418"/>
    </w:pPr>
    <w:rPr>
      <w:rFonts w:eastAsia="Times New Roman" w:cs="Times New Roman"/>
      <w:b/>
      <w:color w:val="000000" w:themeColor="text1"/>
      <w:sz w:val="24"/>
      <w:lang w:val="en-GB" w:bidi="ar-SA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pPr>
      <w:autoSpaceDE/>
      <w:autoSpaceDN/>
      <w:spacing w:after="120" w:line="240" w:lineRule="atLeast"/>
    </w:pPr>
    <w:rPr>
      <w:rFonts w:eastAsia="Times New Roman" w:cs="Times New Roman"/>
      <w:iCs/>
      <w:color w:val="9B2C98"/>
      <w:sz w:val="24"/>
      <w:szCs w:val="18"/>
      <w:lang w:val="en-GB" w:bidi="ar-SA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autoSpaceDE/>
      <w:autoSpaceDN/>
      <w:spacing w:after="120" w:line="240" w:lineRule="atLeast"/>
      <w:contextualSpacing/>
    </w:pPr>
    <w:rPr>
      <w:rFonts w:eastAsia="Times New Roman" w:cs="Times New Roman"/>
      <w:sz w:val="24"/>
      <w:szCs w:val="24"/>
      <w:lang w:val="en-GB" w:bidi="ar-SA"/>
    </w:rPr>
  </w:style>
  <w:style w:type="paragraph" w:styleId="List">
    <w:name w:val="List"/>
    <w:basedOn w:val="Normal"/>
    <w:uiPriority w:val="99"/>
    <w:semiHidden/>
    <w:unhideWhenUsed/>
    <w:rsid w:val="008F5F53"/>
    <w:pPr>
      <w:autoSpaceDE/>
      <w:autoSpaceDN/>
      <w:spacing w:after="120" w:line="240" w:lineRule="atLeast"/>
      <w:ind w:left="283" w:hanging="283"/>
      <w:contextualSpacing/>
    </w:pPr>
    <w:rPr>
      <w:rFonts w:eastAsia="Times New Roman" w:cs="Times New Roman"/>
      <w:sz w:val="24"/>
      <w:szCs w:val="24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pPr>
      <w:autoSpaceDE/>
      <w:autoSpaceDN/>
      <w:spacing w:after="120" w:line="240" w:lineRule="atLeast"/>
    </w:pPr>
    <w:rPr>
      <w:rFonts w:eastAsia="Times New Roman" w:cs="Times New Roman"/>
      <w:sz w:val="20"/>
      <w:szCs w:val="20"/>
      <w:lang w:val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autoSpaceDE/>
      <w:autoSpaceDN/>
      <w:spacing w:after="120" w:line="240" w:lineRule="atLeast"/>
      <w:ind w:left="720"/>
      <w:contextualSpacing/>
    </w:pPr>
    <w:rPr>
      <w:rFonts w:eastAsia="Times New Roman" w:cs="Times New Roman"/>
      <w:sz w:val="24"/>
      <w:szCs w:val="24"/>
      <w:lang w:val="en-GB" w:bidi="ar-SA"/>
    </w:r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autoSpaceDE/>
      <w:autoSpaceDN/>
      <w:spacing w:after="100" w:line="240" w:lineRule="atLeast"/>
    </w:pPr>
    <w:rPr>
      <w:rFonts w:eastAsia="Times New Roman" w:cs="Times New Roman"/>
      <w:sz w:val="24"/>
      <w:szCs w:val="24"/>
      <w:lang w:val="en-GB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autoSpaceDE/>
      <w:autoSpaceDN/>
      <w:spacing w:after="100" w:line="240" w:lineRule="atLeast"/>
      <w:ind w:left="240"/>
    </w:pPr>
    <w:rPr>
      <w:rFonts w:eastAsia="Times New Roman" w:cs="Times New Roman"/>
      <w:sz w:val="24"/>
      <w:szCs w:val="24"/>
      <w:lang w:val="en-GB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autoSpaceDE/>
      <w:autoSpaceDN/>
      <w:spacing w:after="100" w:line="240" w:lineRule="atLeast"/>
      <w:ind w:left="480"/>
    </w:pPr>
    <w:rPr>
      <w:rFonts w:eastAsia="Times New Roman" w:cs="Times New Roman"/>
      <w:sz w:val="24"/>
      <w:szCs w:val="24"/>
      <w:lang w:val="en-GB" w:bidi="ar-SA"/>
    </w:r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14DB2"/>
  </w:style>
  <w:style w:type="character" w:customStyle="1" w:styleId="BodyTextChar">
    <w:name w:val="Body Text Char"/>
    <w:basedOn w:val="DefaultParagraphFont"/>
    <w:link w:val="BodyText"/>
    <w:uiPriority w:val="1"/>
    <w:rsid w:val="00214DB2"/>
    <w:rPr>
      <w:rFonts w:ascii="Arial" w:eastAsia="Arial" w:hAnsi="Arial" w:cs="Arial"/>
      <w:sz w:val="22"/>
      <w:szCs w:val="22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214DB2"/>
    <w:pPr>
      <w:spacing w:before="63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d8b33-93e9-4cb7-9123-89740574f838" xsi:nil="true"/>
    <lcf76f155ced4ddcb4097134ff3c332f xmlns="414783d2-565d-490b-98c7-46834bb973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D98CB97C1CB4D884213557209657C" ma:contentTypeVersion="17" ma:contentTypeDescription="Create a new document." ma:contentTypeScope="" ma:versionID="c16ecfe5488a7f39cbc8be554e73d8e4">
  <xsd:schema xmlns:xsd="http://www.w3.org/2001/XMLSchema" xmlns:xs="http://www.w3.org/2001/XMLSchema" xmlns:p="http://schemas.microsoft.com/office/2006/metadata/properties" xmlns:ns2="414783d2-565d-490b-98c7-46834bb9730e" xmlns:ns3="be2d8b33-93e9-4cb7-9123-89740574f838" targetNamespace="http://schemas.microsoft.com/office/2006/metadata/properties" ma:root="true" ma:fieldsID="3b28cffa266f55f04f1134f34fd199f2" ns2:_="" ns3:_="">
    <xsd:import namespace="414783d2-565d-490b-98c7-46834bb9730e"/>
    <xsd:import namespace="be2d8b33-93e9-4cb7-9123-89740574f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783d2-565d-490b-98c7-46834bb97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8b33-93e9-4cb7-9123-89740574f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5a3c01-0596-43f0-a710-09e72a17d88f}" ma:internalName="TaxCatchAll" ma:showField="CatchAllData" ma:web="be2d8b33-93e9-4cb7-9123-89740574f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be2d8b33-93e9-4cb7-9123-89740574f838"/>
    <ds:schemaRef ds:uri="414783d2-565d-490b-98c7-46834bb9730e"/>
  </ds:schemaRefs>
</ds:datastoreItem>
</file>

<file path=customXml/itemProps3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3071D-8CBF-4FDB-AA88-19A241EBA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783d2-565d-490b-98c7-46834bb9730e"/>
    <ds:schemaRef ds:uri="be2d8b33-93e9-4cb7-9123-89740574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Anderson</dc:creator>
  <cp:keywords/>
  <dc:description/>
  <cp:lastModifiedBy>Gail Anderson</cp:lastModifiedBy>
  <cp:revision>2</cp:revision>
  <cp:lastPrinted>2022-07-21T08:46:00Z</cp:lastPrinted>
  <dcterms:created xsi:type="dcterms:W3CDTF">2023-12-29T12:01:00Z</dcterms:created>
  <dcterms:modified xsi:type="dcterms:W3CDTF">2024-01-17T14:51:00Z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0x01010052BD98CB97C1CB4D884213557209657C</vt:lpwstr>
  </property>
</Properties>
</file>