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2E0F" w14:textId="59126B4A" w:rsidR="005A49F6" w:rsidRPr="001710B2" w:rsidRDefault="005A49F6" w:rsidP="001710B2">
      <w:pPr>
        <w:pStyle w:val="Heading1"/>
        <w:rPr>
          <w:lang w:eastAsia="en-GB"/>
        </w:rPr>
      </w:pPr>
      <w:r w:rsidRPr="001710B2">
        <w:rPr>
          <w:lang w:eastAsia="en-GB"/>
        </w:rPr>
        <w:t xml:space="preserve">Change 9: Improved discharge to care </w:t>
      </w:r>
      <w:proofErr w:type="gramStart"/>
      <w:r w:rsidRPr="001710B2">
        <w:rPr>
          <w:lang w:eastAsia="en-GB"/>
        </w:rPr>
        <w:t>homes</w:t>
      </w:r>
      <w:proofErr w:type="gramEnd"/>
    </w:p>
    <w:p w14:paraId="0B62EB9B" w14:textId="77777777" w:rsidR="005A49F6" w:rsidRPr="001710B2" w:rsidRDefault="005A49F6" w:rsidP="005A49F6">
      <w:pPr>
        <w:widowControl/>
        <w:spacing w:after="0" w:line="240" w:lineRule="auto"/>
        <w:ind w:right="-240"/>
        <w:textAlignment w:val="baseline"/>
        <w:rPr>
          <w:rFonts w:cs="Arial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338"/>
        <w:gridCol w:w="2114"/>
        <w:gridCol w:w="2192"/>
        <w:gridCol w:w="2477"/>
        <w:gridCol w:w="2532"/>
      </w:tblGrid>
      <w:tr w:rsidR="001710B2" w:rsidRPr="001710B2" w14:paraId="2E79625C" w14:textId="77777777" w:rsidTr="001710B2">
        <w:trPr>
          <w:trHeight w:val="360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56BAE3F" w14:textId="69F2504D" w:rsidR="005A49F6" w:rsidRPr="001710B2" w:rsidRDefault="001710B2" w:rsidP="001710B2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1710B2">
              <w:rPr>
                <w:color w:val="FFFFFF" w:themeColor="background1"/>
                <w:lang w:eastAsia="en-GB"/>
              </w:rPr>
              <w:t>Stages</w:t>
            </w:r>
            <w:r w:rsidR="005A49F6" w:rsidRPr="001710B2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F087496" w14:textId="77777777" w:rsidR="005A49F6" w:rsidRPr="001710B2" w:rsidRDefault="005A49F6" w:rsidP="001710B2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1710B2">
              <w:rPr>
                <w:bCs/>
                <w:color w:val="FFFFFF" w:themeColor="background1"/>
                <w:szCs w:val="28"/>
                <w:lang w:val="en-US" w:eastAsia="en-GB"/>
              </w:rPr>
              <w:t>Not yet established</w:t>
            </w:r>
            <w:r w:rsidRPr="001710B2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126D8632" w14:textId="77777777" w:rsidR="005A49F6" w:rsidRPr="001710B2" w:rsidRDefault="005A49F6" w:rsidP="001710B2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1710B2">
              <w:rPr>
                <w:bCs/>
                <w:color w:val="FFFFFF" w:themeColor="background1"/>
                <w:szCs w:val="28"/>
                <w:lang w:val="en-US" w:eastAsia="en-GB"/>
              </w:rPr>
              <w:t>Plans in place</w:t>
            </w:r>
            <w:r w:rsidRPr="001710B2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0EC1EEA1" w14:textId="77777777" w:rsidR="005A49F6" w:rsidRPr="001710B2" w:rsidRDefault="005A49F6" w:rsidP="001710B2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1710B2">
              <w:rPr>
                <w:bCs/>
                <w:color w:val="FFFFFF" w:themeColor="background1"/>
                <w:szCs w:val="28"/>
                <w:lang w:val="en-US" w:eastAsia="en-GB"/>
              </w:rPr>
              <w:t>Established</w:t>
            </w:r>
            <w:r w:rsidRPr="001710B2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3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0EC4E63" w14:textId="77777777" w:rsidR="005A49F6" w:rsidRPr="001710B2" w:rsidRDefault="005A49F6" w:rsidP="001710B2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1710B2">
              <w:rPr>
                <w:bCs/>
                <w:color w:val="FFFFFF" w:themeColor="background1"/>
                <w:szCs w:val="28"/>
                <w:lang w:val="en-US" w:eastAsia="en-GB"/>
              </w:rPr>
              <w:t>Mature</w:t>
            </w:r>
            <w:r w:rsidRPr="001710B2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487F2C6" w14:textId="77777777" w:rsidR="005A49F6" w:rsidRPr="001710B2" w:rsidRDefault="005A49F6" w:rsidP="001710B2">
            <w:pPr>
              <w:pStyle w:val="Heading2"/>
              <w:rPr>
                <w:color w:val="FFFFFF" w:themeColor="background1"/>
                <w:szCs w:val="28"/>
                <w:lang w:eastAsia="en-GB"/>
              </w:rPr>
            </w:pPr>
            <w:r w:rsidRPr="001710B2">
              <w:rPr>
                <w:bCs/>
                <w:color w:val="FFFFFF" w:themeColor="background1"/>
                <w:szCs w:val="28"/>
                <w:lang w:val="en-US" w:eastAsia="en-GB"/>
              </w:rPr>
              <w:t>Exemplary</w:t>
            </w:r>
            <w:r w:rsidRPr="001710B2">
              <w:rPr>
                <w:color w:val="FFFFFF" w:themeColor="background1"/>
                <w:szCs w:val="28"/>
                <w:lang w:eastAsia="en-GB"/>
              </w:rPr>
              <w:t> </w:t>
            </w:r>
          </w:p>
        </w:tc>
      </w:tr>
      <w:tr w:rsidR="005A49F6" w:rsidRPr="001710B2" w14:paraId="0B7268A9" w14:textId="77777777" w:rsidTr="001710B2">
        <w:trPr>
          <w:trHeight w:val="115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1BF2164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b/>
                <w:bCs/>
                <w:color w:val="231F20"/>
                <w:lang w:val="en-US" w:eastAsia="en-GB"/>
              </w:rPr>
              <w:t>Discharge support</w:t>
            </w:r>
            <w:r w:rsidRPr="001710B2">
              <w:rPr>
                <w:rFonts w:cs="Arial"/>
                <w:color w:val="231F20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C70B520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Best practice in discharge planning is not established and there is little trust between care homes and hospitals.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AE13E28" w14:textId="77777777" w:rsidR="005A49F6" w:rsidRPr="001710B2" w:rsidRDefault="005A49F6" w:rsidP="005A49F6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Systems are reaching out to care homes to find out where the systems need to change.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E1A517C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Systems have a regular dialogue with care homes (ideally through the care forum) and discharge is a regular agenda item. </w:t>
            </w:r>
          </w:p>
        </w:tc>
        <w:tc>
          <w:tcPr>
            <w:tcW w:w="3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2B4CA6D" w14:textId="77777777" w:rsidR="005A49F6" w:rsidRPr="001710B2" w:rsidRDefault="005A49F6" w:rsidP="005A49F6">
            <w:pPr>
              <w:widowControl/>
              <w:spacing w:after="0" w:line="240" w:lineRule="auto"/>
              <w:ind w:left="105" w:right="27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Care homes and systems work in tandem to facilitate discharges seven days a week including evenings. </w:t>
            </w:r>
          </w:p>
        </w:tc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CC6A346" w14:textId="77777777" w:rsidR="005A49F6" w:rsidRPr="001710B2" w:rsidRDefault="005A49F6" w:rsidP="005A49F6">
            <w:pPr>
              <w:widowControl/>
              <w:spacing w:after="0" w:line="240" w:lineRule="auto"/>
              <w:ind w:left="105" w:right="18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 xml:space="preserve">Care homes report few poor discharges or failed discharges </w:t>
            </w:r>
            <w:proofErr w:type="gramStart"/>
            <w:r w:rsidRPr="001710B2">
              <w:rPr>
                <w:rFonts w:cs="Arial"/>
                <w:color w:val="000000"/>
                <w:lang w:eastAsia="en-GB"/>
              </w:rPr>
              <w:t>as a result of</w:t>
            </w:r>
            <w:proofErr w:type="gramEnd"/>
            <w:r w:rsidRPr="001710B2">
              <w:rPr>
                <w:rFonts w:cs="Arial"/>
                <w:color w:val="000000"/>
                <w:lang w:eastAsia="en-GB"/>
              </w:rPr>
              <w:t xml:space="preserve"> system failure. Systems have reduced delayed discharges.  </w:t>
            </w:r>
          </w:p>
        </w:tc>
      </w:tr>
      <w:tr w:rsidR="005A49F6" w:rsidRPr="001710B2" w14:paraId="53F2D74F" w14:textId="77777777" w:rsidTr="001710B2">
        <w:trPr>
          <w:trHeight w:val="115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vAlign w:val="center"/>
            <w:hideMark/>
          </w:tcPr>
          <w:p w14:paraId="3F25BFA9" w14:textId="77777777" w:rsidR="005A49F6" w:rsidRPr="001710B2" w:rsidRDefault="005A49F6" w:rsidP="009B0B85">
            <w:pPr>
              <w:widowControl/>
              <w:spacing w:after="0" w:line="240" w:lineRule="auto"/>
              <w:ind w:left="105" w:right="30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b/>
                <w:bCs/>
                <w:color w:val="231F20"/>
                <w:lang w:val="en-US" w:eastAsia="en-GB"/>
              </w:rPr>
              <w:t>Enhanced primary care</w:t>
            </w:r>
            <w:r w:rsidRPr="001710B2">
              <w:rPr>
                <w:rFonts w:cs="Arial"/>
                <w:color w:val="231F20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vAlign w:val="center"/>
            <w:hideMark/>
          </w:tcPr>
          <w:p w14:paraId="26368CF0" w14:textId="77777777" w:rsidR="005A49F6" w:rsidRPr="001710B2" w:rsidRDefault="005A49F6" w:rsidP="00BA6ECA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Care homes are not linked with local community and primary care. </w:t>
            </w:r>
          </w:p>
          <w:p w14:paraId="15C9A529" w14:textId="77777777" w:rsidR="005A49F6" w:rsidRPr="001710B2" w:rsidRDefault="005A49F6" w:rsidP="005A49F6">
            <w:pPr>
              <w:widowControl/>
              <w:spacing w:after="0" w:line="240" w:lineRule="auto"/>
              <w:ind w:left="105" w:right="300"/>
              <w:jc w:val="center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73D1E4CB" w14:textId="77777777" w:rsidR="005A49F6" w:rsidRPr="001710B2" w:rsidRDefault="005A49F6" w:rsidP="005A49F6">
            <w:pPr>
              <w:widowControl/>
              <w:spacing w:after="0" w:line="240" w:lineRule="auto"/>
              <w:ind w:left="105" w:right="15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Scoping is underway to understand care home need. Plans have been made to establish clear links with primary and community care. 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564323D9" w14:textId="77777777" w:rsidR="005A49F6" w:rsidRPr="001710B2" w:rsidRDefault="005A49F6" w:rsidP="005A49F6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Community and primary care support provided to care homes on request. All care homes have access to a consistent, named GP. </w:t>
            </w:r>
          </w:p>
        </w:tc>
        <w:tc>
          <w:tcPr>
            <w:tcW w:w="3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8C32F72" w14:textId="77777777" w:rsidR="005A49F6" w:rsidRPr="001710B2" w:rsidRDefault="005A49F6" w:rsidP="005A49F6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>People with increased acuity are well-managed in care homes due to a strong support network with primary and community care. </w:t>
            </w:r>
          </w:p>
        </w:tc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3000CAC" w14:textId="5115FFEA" w:rsidR="005A49F6" w:rsidRPr="001710B2" w:rsidRDefault="005A49F6" w:rsidP="005A49F6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 xml:space="preserve">Care homes are supported by their named clinical lead and have access to primary care support. They </w:t>
            </w:r>
            <w:proofErr w:type="gramStart"/>
            <w:r w:rsidRPr="001710B2">
              <w:rPr>
                <w:rFonts w:cs="Arial"/>
                <w:color w:val="000000"/>
                <w:lang w:eastAsia="en-GB"/>
              </w:rPr>
              <w:t>are able to</w:t>
            </w:r>
            <w:proofErr w:type="gramEnd"/>
            <w:r w:rsidRPr="001710B2">
              <w:rPr>
                <w:rFonts w:cs="Arial"/>
                <w:color w:val="000000"/>
                <w:lang w:eastAsia="en-GB"/>
              </w:rPr>
              <w:t xml:space="preserve"> access support and advice</w:t>
            </w:r>
            <w:r w:rsidRPr="001710B2">
              <w:rPr>
                <w:rFonts w:cs="Arial"/>
                <w:color w:val="C0504D"/>
                <w:lang w:eastAsia="en-GB"/>
              </w:rPr>
              <w:t xml:space="preserve"> </w:t>
            </w:r>
            <w:r w:rsidRPr="001710B2">
              <w:rPr>
                <w:rFonts w:cs="Arial"/>
                <w:color w:val="000000"/>
                <w:lang w:eastAsia="en-GB"/>
              </w:rPr>
              <w:t>and supported to make the right decision for their provision. </w:t>
            </w:r>
          </w:p>
        </w:tc>
      </w:tr>
      <w:tr w:rsidR="005A49F6" w:rsidRPr="001710B2" w14:paraId="54FCCD33" w14:textId="77777777" w:rsidTr="001710B2">
        <w:trPr>
          <w:trHeight w:val="1155"/>
        </w:trPr>
        <w:tc>
          <w:tcPr>
            <w:tcW w:w="22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63ACDB7" w14:textId="77777777" w:rsidR="005A49F6" w:rsidRPr="001710B2" w:rsidRDefault="005A49F6" w:rsidP="005A49F6">
            <w:pPr>
              <w:widowControl/>
              <w:spacing w:after="0" w:line="240" w:lineRule="auto"/>
              <w:ind w:left="105" w:right="69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b/>
                <w:bCs/>
                <w:color w:val="231F20"/>
                <w:lang w:val="en-US" w:eastAsia="en-GB"/>
              </w:rPr>
              <w:t>Access to out-of-hours/urgent care</w:t>
            </w:r>
            <w:r w:rsidRPr="001710B2">
              <w:rPr>
                <w:rFonts w:cs="Arial"/>
                <w:color w:val="231F20"/>
                <w:lang w:eastAsia="en-GB"/>
              </w:rPr>
              <w:t>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8F29B0E" w14:textId="77777777" w:rsidR="005A49F6" w:rsidRPr="001710B2" w:rsidRDefault="005A49F6" w:rsidP="005A49F6">
            <w:pPr>
              <w:widowControl/>
              <w:spacing w:after="0" w:line="240" w:lineRule="auto"/>
              <w:ind w:left="105" w:right="69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 xml:space="preserve">High numbers of referrals to A&amp;E from care homes, especially in </w:t>
            </w:r>
            <w:r w:rsidRPr="001710B2">
              <w:rPr>
                <w:rFonts w:cs="Arial"/>
                <w:color w:val="000000"/>
                <w:lang w:eastAsia="en-GB"/>
              </w:rPr>
              <w:lastRenderedPageBreak/>
              <w:t>the evenings and at weekends.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E333D0E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lastRenderedPageBreak/>
              <w:t xml:space="preserve">Specific high-referring care homes identified, and plans developed to </w:t>
            </w:r>
            <w:r w:rsidRPr="001710B2">
              <w:rPr>
                <w:rFonts w:cs="Arial"/>
                <w:color w:val="000000"/>
                <w:lang w:eastAsia="en-GB"/>
              </w:rPr>
              <w:lastRenderedPageBreak/>
              <w:t>provide better support.  </w:t>
            </w:r>
          </w:p>
        </w:tc>
        <w:tc>
          <w:tcPr>
            <w:tcW w:w="25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EBA1B2E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lastRenderedPageBreak/>
              <w:t>Dedicated intensive support provided to high-referring care homes. </w:t>
            </w:r>
          </w:p>
        </w:tc>
        <w:tc>
          <w:tcPr>
            <w:tcW w:w="3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4B16610" w14:textId="77777777" w:rsidR="005A49F6" w:rsidRPr="001710B2" w:rsidRDefault="005A49F6" w:rsidP="005A49F6">
            <w:pPr>
              <w:widowControl/>
              <w:spacing w:after="0" w:line="240" w:lineRule="auto"/>
              <w:ind w:left="105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t xml:space="preserve">Improvement seen in unnecessary admissions from care homes, particularly on </w:t>
            </w:r>
            <w:r w:rsidRPr="001710B2">
              <w:rPr>
                <w:rFonts w:cs="Arial"/>
                <w:color w:val="000000"/>
                <w:lang w:eastAsia="en-GB"/>
              </w:rPr>
              <w:lastRenderedPageBreak/>
              <w:t>evenings and at weekends.  </w:t>
            </w:r>
          </w:p>
        </w:tc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4A5500E" w14:textId="54078C92" w:rsidR="005A49F6" w:rsidRPr="001710B2" w:rsidRDefault="005A49F6" w:rsidP="005A49F6">
            <w:pPr>
              <w:widowControl/>
              <w:spacing w:after="0" w:line="240" w:lineRule="auto"/>
              <w:ind w:left="105" w:right="330"/>
              <w:textAlignment w:val="baseline"/>
              <w:rPr>
                <w:rFonts w:cs="Arial"/>
                <w:lang w:eastAsia="en-GB"/>
              </w:rPr>
            </w:pPr>
            <w:r w:rsidRPr="001710B2">
              <w:rPr>
                <w:rFonts w:cs="Arial"/>
                <w:color w:val="000000"/>
                <w:lang w:eastAsia="en-GB"/>
              </w:rPr>
              <w:lastRenderedPageBreak/>
              <w:t xml:space="preserve">Across the system, care homes are well supported by access to out-of-hours/urgent care. </w:t>
            </w:r>
          </w:p>
        </w:tc>
      </w:tr>
    </w:tbl>
    <w:p w14:paraId="01590C80" w14:textId="77777777" w:rsidR="005A49F6" w:rsidRPr="001710B2" w:rsidRDefault="005A49F6" w:rsidP="005A49F6">
      <w:pPr>
        <w:widowControl/>
        <w:spacing w:after="0" w:line="240" w:lineRule="auto"/>
        <w:ind w:right="-240"/>
        <w:textAlignment w:val="baseline"/>
        <w:rPr>
          <w:rFonts w:cs="Arial"/>
          <w:lang w:eastAsia="en-GB"/>
        </w:rPr>
      </w:pPr>
      <w:r w:rsidRPr="001710B2">
        <w:rPr>
          <w:rFonts w:cs="Arial"/>
          <w:lang w:eastAsia="en-GB"/>
        </w:rPr>
        <w:t> </w:t>
      </w:r>
    </w:p>
    <w:p w14:paraId="20C3A26E" w14:textId="77777777" w:rsidR="00B15CF5" w:rsidRPr="001710B2" w:rsidRDefault="00B15CF5" w:rsidP="00AC3650">
      <w:pPr>
        <w:rPr>
          <w:rFonts w:cs="Arial"/>
        </w:rPr>
      </w:pPr>
    </w:p>
    <w:sectPr w:rsidR="00B15CF5" w:rsidRPr="001710B2" w:rsidSect="005A49F6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9C1D" w14:textId="77777777" w:rsidR="00D34AD3" w:rsidRDefault="00D34AD3" w:rsidP="0052129E">
      <w:r>
        <w:separator/>
      </w:r>
    </w:p>
  </w:endnote>
  <w:endnote w:type="continuationSeparator" w:id="0">
    <w:p w14:paraId="2B2E6892" w14:textId="77777777" w:rsidR="00D34AD3" w:rsidRDefault="00D34AD3" w:rsidP="0052129E">
      <w:r>
        <w:continuationSeparator/>
      </w:r>
    </w:p>
  </w:endnote>
  <w:endnote w:type="continuationNotice" w:id="1">
    <w:p w14:paraId="60F5FF87" w14:textId="77777777" w:rsidR="00D34AD3" w:rsidRDefault="00D34AD3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65BE" w14:textId="77777777" w:rsidR="008B5701" w:rsidRDefault="008B5701" w:rsidP="0052129E"/>
  <w:p w14:paraId="2D541326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540A" w14:textId="77777777" w:rsidR="00D34AD3" w:rsidRDefault="00D34AD3" w:rsidP="0052129E">
      <w:r>
        <w:separator/>
      </w:r>
    </w:p>
  </w:footnote>
  <w:footnote w:type="continuationSeparator" w:id="0">
    <w:p w14:paraId="4D5D74AB" w14:textId="77777777" w:rsidR="00D34AD3" w:rsidRDefault="00D34AD3" w:rsidP="0052129E">
      <w:r>
        <w:continuationSeparator/>
      </w:r>
    </w:p>
  </w:footnote>
  <w:footnote w:type="continuationNotice" w:id="1">
    <w:p w14:paraId="75F7E59E" w14:textId="77777777" w:rsidR="00D34AD3" w:rsidRDefault="00D34AD3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F6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0B2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49F6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1B35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0B85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A6ECA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4AD3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50066"/>
  <w14:defaultImageDpi w14:val="330"/>
  <w15:chartTrackingRefBased/>
  <w15:docId w15:val="{B36891F1-73F0-4EDB-815D-362C91E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A49F6"/>
    <w:pPr>
      <w:widowControl/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eop">
    <w:name w:val="eop"/>
    <w:basedOn w:val="DefaultParagraphFont"/>
    <w:rsid w:val="005A49F6"/>
  </w:style>
  <w:style w:type="character" w:customStyle="1" w:styleId="normaltextrun">
    <w:name w:val="normaltextrun"/>
    <w:basedOn w:val="DefaultParagraphFont"/>
    <w:rsid w:val="005A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0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01358-06D7-4584-818C-7E1867B9C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4</cp:revision>
  <cp:lastPrinted>2022-07-21T08:46:00Z</cp:lastPrinted>
  <dcterms:created xsi:type="dcterms:W3CDTF">2023-12-22T14:30:00Z</dcterms:created>
  <dcterms:modified xsi:type="dcterms:W3CDTF">2024-01-17T14:57:00Z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