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133B0A5C" w14:textId="77777777" w:rsidTr="004445A5">
        <w:trPr>
          <w:trHeight w:val="400"/>
        </w:trPr>
        <w:tc>
          <w:tcPr>
            <w:tcW w:w="8003" w:type="dxa"/>
          </w:tcPr>
          <w:p w14:paraId="2FCF32C5" w14:textId="77777777" w:rsidR="00BE7285" w:rsidRDefault="00BE7285" w:rsidP="004445A5">
            <w:pPr>
              <w:pStyle w:val="Heading2Bold"/>
              <w:rPr>
                <w:rFonts w:ascii="Arial" w:hAnsi="Arial" w:cs="Arial"/>
              </w:rPr>
            </w:pPr>
            <w:r w:rsidRPr="00BE7285">
              <w:rPr>
                <w:rFonts w:ascii="Arial" w:hAnsi="Arial" w:cs="Arial"/>
              </w:rPr>
              <w:t xml:space="preserve">Business Rates Revaluation 2017 </w:t>
            </w:r>
          </w:p>
          <w:p w14:paraId="1178805F" w14:textId="77777777" w:rsidR="00BE7285" w:rsidRDefault="00BE7285" w:rsidP="004445A5">
            <w:pPr>
              <w:pStyle w:val="Heading2Bold"/>
              <w:rPr>
                <w:rFonts w:ascii="Arial" w:hAnsi="Arial" w:cs="Arial"/>
              </w:rPr>
            </w:pPr>
          </w:p>
          <w:p w14:paraId="4DCFBF4B" w14:textId="77777777" w:rsidR="00BE7285" w:rsidRPr="0076648F" w:rsidRDefault="00BE7285" w:rsidP="004445A5">
            <w:pPr>
              <w:pStyle w:val="Heading2Bold"/>
              <w:rPr>
                <w:rFonts w:ascii="Arial" w:hAnsi="Arial" w:cs="Arial"/>
                <w:szCs w:val="32"/>
              </w:rPr>
            </w:pPr>
            <w:r w:rsidRPr="0076648F">
              <w:rPr>
                <w:rFonts w:ascii="Arial" w:hAnsi="Arial" w:cs="Arial"/>
                <w:szCs w:val="32"/>
              </w:rPr>
              <w:t>Consultation on the transitional arrangements for the 2017 business rates revaluation</w:t>
            </w:r>
          </w:p>
          <w:p w14:paraId="1FF19DAF" w14:textId="35EA75F7" w:rsidR="007451C0" w:rsidRPr="00BE7285" w:rsidRDefault="007451C0" w:rsidP="004445A5">
            <w:pPr>
              <w:pStyle w:val="Heading2Bold"/>
              <w:rPr>
                <w:rFonts w:ascii="Arial" w:hAnsi="Arial" w:cs="Arial"/>
                <w:sz w:val="28"/>
                <w:szCs w:val="28"/>
              </w:rPr>
            </w:pPr>
          </w:p>
        </w:tc>
      </w:tr>
      <w:tr w:rsidR="007451C0" w:rsidRPr="00E01A58" w14:paraId="08046E74" w14:textId="77777777" w:rsidTr="004445A5">
        <w:trPr>
          <w:trHeight w:hRule="exact" w:val="400"/>
        </w:trPr>
        <w:tc>
          <w:tcPr>
            <w:tcW w:w="8003" w:type="dxa"/>
          </w:tcPr>
          <w:p w14:paraId="5B091F59" w14:textId="1A56A03F" w:rsidR="007451C0" w:rsidRPr="00E01A58" w:rsidRDefault="002030FA" w:rsidP="003C3834">
            <w:pPr>
              <w:pStyle w:val="Heading2"/>
              <w:rPr>
                <w:rFonts w:ascii="Arial" w:hAnsi="Arial" w:cs="Arial"/>
              </w:rPr>
            </w:pPr>
            <w:bookmarkStart w:id="0" w:name="bmDocumentDate"/>
            <w:bookmarkEnd w:id="0"/>
            <w:r>
              <w:rPr>
                <w:rFonts w:ascii="Arial" w:hAnsi="Arial" w:cs="Arial"/>
              </w:rPr>
              <w:t>26</w:t>
            </w:r>
            <w:r w:rsidR="00BC12B0">
              <w:rPr>
                <w:rFonts w:ascii="Arial" w:hAnsi="Arial" w:cs="Arial"/>
              </w:rPr>
              <w:t xml:space="preserve"> </w:t>
            </w:r>
            <w:r w:rsidR="003C3834">
              <w:rPr>
                <w:rFonts w:ascii="Arial" w:hAnsi="Arial" w:cs="Arial"/>
              </w:rPr>
              <w:t>October</w:t>
            </w:r>
            <w:r w:rsidR="0089710B">
              <w:rPr>
                <w:rFonts w:ascii="Arial" w:hAnsi="Arial" w:cs="Arial"/>
              </w:rPr>
              <w:t xml:space="preserve"> 201</w:t>
            </w:r>
            <w:r w:rsidR="003C3834">
              <w:rPr>
                <w:rFonts w:ascii="Arial" w:hAnsi="Arial" w:cs="Arial"/>
              </w:rPr>
              <w:t>6</w:t>
            </w:r>
          </w:p>
        </w:tc>
      </w:tr>
    </w:tbl>
    <w:p w14:paraId="2D0E18CE" w14:textId="77777777" w:rsidR="00306D21" w:rsidRPr="00E01A58" w:rsidRDefault="00306D21">
      <w:pPr>
        <w:rPr>
          <w:rFonts w:ascii="Arial" w:hAnsi="Arial" w:cs="Arial"/>
          <w:sz w:val="24"/>
        </w:rPr>
      </w:pPr>
    </w:p>
    <w:p w14:paraId="10DA6750" w14:textId="77777777" w:rsidR="00225477" w:rsidRPr="00E01A58" w:rsidRDefault="00225477">
      <w:pPr>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25BA1EB0" w14:textId="77777777" w:rsidR="00306D21" w:rsidRPr="00E01A58" w:rsidRDefault="00306D21" w:rsidP="00306D21">
      <w:pPr>
        <w:rPr>
          <w:rFonts w:ascii="Arial" w:hAnsi="Arial" w:cs="Arial"/>
          <w:sz w:val="24"/>
          <w:szCs w:val="24"/>
        </w:rPr>
      </w:pPr>
    </w:p>
    <w:p w14:paraId="7038095F" w14:textId="071B9EF6" w:rsidR="00701C9F" w:rsidRDefault="00701C9F" w:rsidP="00701C9F">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w:t>
      </w:r>
      <w:r w:rsidRPr="00895635">
        <w:rPr>
          <w:rFonts w:ascii="Arial" w:hAnsi="Arial" w:cs="Arial"/>
          <w:sz w:val="24"/>
          <w:szCs w:val="24"/>
        </w:rPr>
        <w:t xml:space="preserve">Local Government Association (LGA) </w:t>
      </w:r>
      <w:r>
        <w:rPr>
          <w:rFonts w:ascii="Arial" w:hAnsi="Arial" w:cs="Arial"/>
          <w:sz w:val="24"/>
          <w:szCs w:val="24"/>
        </w:rPr>
        <w:t xml:space="preserve">welcomes the chance to comment on </w:t>
      </w:r>
      <w:r w:rsidR="00340A39">
        <w:rPr>
          <w:rFonts w:ascii="Arial" w:hAnsi="Arial" w:cs="Arial"/>
          <w:sz w:val="24"/>
          <w:szCs w:val="24"/>
        </w:rPr>
        <w:t>this consultation</w:t>
      </w:r>
      <w:r w:rsidR="00BE7285">
        <w:rPr>
          <w:rFonts w:ascii="Arial" w:hAnsi="Arial" w:cs="Arial"/>
          <w:sz w:val="24"/>
          <w:szCs w:val="24"/>
        </w:rPr>
        <w:t>.</w:t>
      </w:r>
    </w:p>
    <w:p w14:paraId="30CC6DA2" w14:textId="77777777" w:rsidR="004445A5" w:rsidRPr="0089563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895635">
        <w:rPr>
          <w:rFonts w:ascii="Arial" w:hAnsi="Arial" w:cs="Arial"/>
          <w:sz w:val="24"/>
          <w:szCs w:val="24"/>
        </w:rPr>
        <w:t>The</w:t>
      </w:r>
      <w:r w:rsidR="00701C9F">
        <w:rPr>
          <w:rFonts w:ascii="Arial" w:hAnsi="Arial" w:cs="Arial"/>
          <w:sz w:val="24"/>
          <w:szCs w:val="24"/>
        </w:rPr>
        <w:t xml:space="preserve"> LGA</w:t>
      </w:r>
      <w:r w:rsidRPr="00895635">
        <w:rPr>
          <w:rFonts w:ascii="Arial" w:hAnsi="Arial" w:cs="Arial"/>
          <w:sz w:val="24"/>
          <w:szCs w:val="24"/>
        </w:rPr>
        <w:t xml:space="preserve">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2D96BDE3" w14:textId="17A788C9" w:rsidR="004445A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355ACF">
        <w:rPr>
          <w:rFonts w:ascii="Arial" w:hAnsi="Arial" w:cs="Arial"/>
          <w:sz w:val="24"/>
          <w:szCs w:val="24"/>
        </w:rPr>
        <w:t>This response has been agreed by</w:t>
      </w:r>
      <w:r w:rsidR="007C44EB">
        <w:rPr>
          <w:rFonts w:ascii="Arial" w:hAnsi="Arial" w:cs="Arial"/>
          <w:sz w:val="24"/>
          <w:szCs w:val="24"/>
        </w:rPr>
        <w:t xml:space="preserve"> lead members of</w:t>
      </w:r>
      <w:r w:rsidRPr="00355ACF">
        <w:rPr>
          <w:rFonts w:ascii="Arial" w:hAnsi="Arial" w:cs="Arial"/>
          <w:sz w:val="24"/>
          <w:szCs w:val="24"/>
        </w:rPr>
        <w:t xml:space="preserve"> </w:t>
      </w:r>
      <w:r w:rsidR="000D3B14">
        <w:rPr>
          <w:rFonts w:ascii="Arial" w:hAnsi="Arial" w:cs="Arial"/>
          <w:sz w:val="24"/>
          <w:szCs w:val="24"/>
        </w:rPr>
        <w:t>the LGA Resources Board</w:t>
      </w:r>
      <w:r w:rsidR="000F148C" w:rsidRPr="00355ACF">
        <w:rPr>
          <w:rFonts w:ascii="Arial" w:hAnsi="Arial" w:cs="Arial"/>
          <w:sz w:val="24"/>
          <w:szCs w:val="24"/>
        </w:rPr>
        <w:t>.</w:t>
      </w:r>
    </w:p>
    <w:p w14:paraId="0FD257BC" w14:textId="2B3F3B6E" w:rsidR="00CB4A03" w:rsidRPr="00CB4A03" w:rsidRDefault="00CB4A03" w:rsidP="00CB4A03">
      <w:pPr>
        <w:spacing w:after="120" w:line="276" w:lineRule="auto"/>
        <w:rPr>
          <w:rFonts w:ascii="Arial" w:hAnsi="Arial" w:cs="Arial"/>
          <w:b/>
          <w:sz w:val="24"/>
          <w:szCs w:val="24"/>
        </w:rPr>
      </w:pPr>
      <w:r w:rsidRPr="00CB4A03">
        <w:rPr>
          <w:rFonts w:ascii="Arial" w:hAnsi="Arial" w:cs="Arial"/>
          <w:b/>
          <w:sz w:val="24"/>
          <w:szCs w:val="24"/>
        </w:rPr>
        <w:t>Introduction</w:t>
      </w:r>
    </w:p>
    <w:p w14:paraId="7EBC56C6" w14:textId="77777777" w:rsidR="00BE7285" w:rsidRDefault="00BE7285" w:rsidP="00BE7285">
      <w:pPr>
        <w:pStyle w:val="ListParagraph"/>
        <w:spacing w:after="120" w:line="276" w:lineRule="auto"/>
        <w:ind w:left="360"/>
        <w:rPr>
          <w:rFonts w:ascii="Arial" w:hAnsi="Arial" w:cs="Arial"/>
          <w:sz w:val="24"/>
          <w:szCs w:val="24"/>
        </w:rPr>
      </w:pPr>
    </w:p>
    <w:p w14:paraId="27218FCB" w14:textId="1341A5A7" w:rsidR="00BE7285" w:rsidRDefault="00BE7285" w:rsidP="00BE7285">
      <w:pPr>
        <w:pStyle w:val="ListParagraph"/>
        <w:numPr>
          <w:ilvl w:val="0"/>
          <w:numId w:val="16"/>
        </w:numPr>
        <w:spacing w:after="120" w:line="276" w:lineRule="auto"/>
        <w:ind w:left="357" w:hanging="357"/>
        <w:contextualSpacing w:val="0"/>
        <w:rPr>
          <w:rFonts w:ascii="Arial" w:hAnsi="Arial" w:cs="Arial"/>
          <w:sz w:val="24"/>
          <w:szCs w:val="24"/>
        </w:rPr>
      </w:pPr>
      <w:r>
        <w:rPr>
          <w:rFonts w:ascii="Arial" w:hAnsi="Arial" w:cs="Arial"/>
          <w:sz w:val="24"/>
          <w:szCs w:val="24"/>
        </w:rPr>
        <w:t>The 2017 revaluation will come into force in April 2017.  This consultation concerns the proposed arrangements to phase in changes to business rates bills resulting from this revaluation.</w:t>
      </w:r>
    </w:p>
    <w:p w14:paraId="6CD3670B" w14:textId="11AADF82" w:rsidR="00231ED0" w:rsidRDefault="007C44EB" w:rsidP="00BE7285">
      <w:pPr>
        <w:pStyle w:val="ListParagraph"/>
        <w:numPr>
          <w:ilvl w:val="0"/>
          <w:numId w:val="16"/>
        </w:numPr>
        <w:spacing w:after="120" w:line="276" w:lineRule="auto"/>
        <w:ind w:left="357" w:hanging="357"/>
        <w:contextualSpacing w:val="0"/>
        <w:rPr>
          <w:rFonts w:ascii="Arial" w:hAnsi="Arial" w:cs="Arial"/>
          <w:sz w:val="24"/>
          <w:szCs w:val="24"/>
        </w:rPr>
      </w:pPr>
      <w:r>
        <w:rPr>
          <w:rFonts w:ascii="Arial" w:hAnsi="Arial" w:cs="Arial"/>
          <w:sz w:val="24"/>
          <w:szCs w:val="24"/>
        </w:rPr>
        <w:t>The LGA sees t</w:t>
      </w:r>
      <w:r w:rsidR="002E1BF2">
        <w:rPr>
          <w:rFonts w:ascii="Arial" w:hAnsi="Arial" w:cs="Arial"/>
          <w:sz w:val="24"/>
          <w:szCs w:val="24"/>
        </w:rPr>
        <w:t>he need for a transition scheme, which in any case is in accordance with the law.</w:t>
      </w:r>
      <w:r>
        <w:rPr>
          <w:rFonts w:ascii="Arial" w:hAnsi="Arial" w:cs="Arial"/>
          <w:sz w:val="24"/>
          <w:szCs w:val="24"/>
        </w:rPr>
        <w:t xml:space="preserve">  We do not have a specific preference</w:t>
      </w:r>
      <w:r w:rsidR="00231ED0">
        <w:rPr>
          <w:rFonts w:ascii="Arial" w:hAnsi="Arial" w:cs="Arial"/>
          <w:sz w:val="24"/>
          <w:szCs w:val="24"/>
        </w:rPr>
        <w:t xml:space="preserve"> for either of the options consulted on.</w:t>
      </w:r>
    </w:p>
    <w:p w14:paraId="11373A93" w14:textId="4E629B65" w:rsidR="007C44EB" w:rsidRPr="00231ED0" w:rsidRDefault="00231ED0" w:rsidP="00231ED0">
      <w:pPr>
        <w:pStyle w:val="ListParagraph"/>
        <w:numPr>
          <w:ilvl w:val="0"/>
          <w:numId w:val="16"/>
        </w:numPr>
        <w:spacing w:after="120" w:line="276" w:lineRule="auto"/>
        <w:ind w:left="357" w:hanging="357"/>
        <w:contextualSpacing w:val="0"/>
        <w:rPr>
          <w:rFonts w:ascii="Arial" w:hAnsi="Arial" w:cs="Arial"/>
          <w:sz w:val="24"/>
          <w:szCs w:val="24"/>
        </w:rPr>
      </w:pPr>
      <w:r w:rsidRPr="00231ED0">
        <w:rPr>
          <w:rFonts w:ascii="Arial" w:hAnsi="Arial" w:cs="Arial"/>
          <w:sz w:val="24"/>
          <w:szCs w:val="24"/>
        </w:rPr>
        <w:t>We note that the 2017 revaluation will have an effect on the current 50 per cent business rates retention scheme and that the Government’s policy intention is that there should be no gains or losses solely due to revaluation. We support this policy aim.  We note that the issue is covered specifically in the technical consultation on the 2017-18 local government finance settlement.</w:t>
      </w:r>
      <w:r w:rsidR="007C44EB" w:rsidRPr="00231ED0">
        <w:rPr>
          <w:rFonts w:ascii="Arial" w:hAnsi="Arial" w:cs="Arial"/>
          <w:sz w:val="24"/>
          <w:szCs w:val="24"/>
        </w:rPr>
        <w:t xml:space="preserve"> </w:t>
      </w:r>
    </w:p>
    <w:p w14:paraId="06A6626E" w14:textId="489F0CBC" w:rsidR="00E954FD" w:rsidRDefault="007C44EB" w:rsidP="007C44EB">
      <w:pPr>
        <w:pStyle w:val="ListParagraph"/>
        <w:numPr>
          <w:ilvl w:val="0"/>
          <w:numId w:val="16"/>
        </w:numPr>
        <w:spacing w:after="120" w:line="276" w:lineRule="auto"/>
        <w:ind w:left="357" w:hanging="357"/>
        <w:contextualSpacing w:val="0"/>
        <w:rPr>
          <w:rFonts w:ascii="Arial" w:hAnsi="Arial" w:cs="Arial"/>
          <w:sz w:val="24"/>
          <w:szCs w:val="24"/>
        </w:rPr>
      </w:pPr>
      <w:r>
        <w:rPr>
          <w:rFonts w:ascii="Arial" w:hAnsi="Arial" w:cs="Arial"/>
          <w:sz w:val="24"/>
          <w:szCs w:val="24"/>
        </w:rPr>
        <w:t>We would however point to the continuing effect of business rates appeals.  As we have said in replies to previous consultations, t</w:t>
      </w:r>
      <w:r w:rsidR="00E954FD" w:rsidRPr="00CB4A03">
        <w:rPr>
          <w:rFonts w:ascii="Arial" w:hAnsi="Arial" w:cs="Arial"/>
          <w:sz w:val="24"/>
          <w:szCs w:val="24"/>
        </w:rPr>
        <w:t xml:space="preserve">here are </w:t>
      </w:r>
      <w:r w:rsidR="00D270B4">
        <w:rPr>
          <w:rFonts w:ascii="Arial" w:hAnsi="Arial" w:cs="Arial"/>
          <w:sz w:val="24"/>
          <w:szCs w:val="24"/>
        </w:rPr>
        <w:t xml:space="preserve">almost </w:t>
      </w:r>
      <w:r w:rsidR="00E954FD" w:rsidRPr="00CB4A03">
        <w:rPr>
          <w:rFonts w:ascii="Arial" w:hAnsi="Arial" w:cs="Arial"/>
          <w:sz w:val="24"/>
          <w:szCs w:val="24"/>
        </w:rPr>
        <w:t xml:space="preserve">300,000 appeals outstanding, the majority submitted at the end of the </w:t>
      </w:r>
      <w:r w:rsidR="00231ED0">
        <w:rPr>
          <w:rFonts w:ascii="Arial" w:hAnsi="Arial" w:cs="Arial"/>
          <w:sz w:val="24"/>
          <w:szCs w:val="24"/>
        </w:rPr>
        <w:t xml:space="preserve">revaluation </w:t>
      </w:r>
      <w:r w:rsidR="00E954FD" w:rsidRPr="00CB4A03">
        <w:rPr>
          <w:rFonts w:ascii="Arial" w:hAnsi="Arial" w:cs="Arial"/>
          <w:sz w:val="24"/>
          <w:szCs w:val="24"/>
        </w:rPr>
        <w:t>cycle.  This is causing uncertainty for councils leading to the need for provisions</w:t>
      </w:r>
      <w:r w:rsidR="00E954FD">
        <w:rPr>
          <w:rFonts w:ascii="Arial" w:hAnsi="Arial" w:cs="Arial"/>
          <w:sz w:val="24"/>
          <w:szCs w:val="24"/>
        </w:rPr>
        <w:t xml:space="preserve">, which </w:t>
      </w:r>
      <w:r w:rsidR="00E17E05">
        <w:rPr>
          <w:rFonts w:ascii="Arial" w:hAnsi="Arial" w:cs="Arial"/>
          <w:sz w:val="24"/>
          <w:szCs w:val="24"/>
        </w:rPr>
        <w:t>DCLG estimates at £2.5 billion as at 31</w:t>
      </w:r>
      <w:r w:rsidR="00E17E05" w:rsidRPr="00E17E05">
        <w:rPr>
          <w:rFonts w:ascii="Arial" w:hAnsi="Arial" w:cs="Arial"/>
          <w:sz w:val="24"/>
          <w:szCs w:val="24"/>
          <w:vertAlign w:val="superscript"/>
        </w:rPr>
        <w:t>st</w:t>
      </w:r>
      <w:r w:rsidR="00E17E05">
        <w:rPr>
          <w:rFonts w:ascii="Arial" w:hAnsi="Arial" w:cs="Arial"/>
          <w:sz w:val="24"/>
          <w:szCs w:val="24"/>
        </w:rPr>
        <w:t xml:space="preserve"> March 2015</w:t>
      </w:r>
      <w:r w:rsidR="00E954FD" w:rsidRPr="00CB4A03">
        <w:rPr>
          <w:rFonts w:ascii="Arial" w:hAnsi="Arial" w:cs="Arial"/>
          <w:sz w:val="24"/>
          <w:szCs w:val="24"/>
        </w:rPr>
        <w:t xml:space="preserve">. </w:t>
      </w:r>
      <w:r w:rsidR="00E954FD">
        <w:rPr>
          <w:rFonts w:ascii="Arial" w:hAnsi="Arial" w:cs="Arial"/>
          <w:sz w:val="24"/>
          <w:szCs w:val="24"/>
        </w:rPr>
        <w:t xml:space="preserve"> These affect council’s financial position, lead to less grant</w:t>
      </w:r>
      <w:r w:rsidR="00906C05">
        <w:rPr>
          <w:rFonts w:ascii="Arial" w:hAnsi="Arial" w:cs="Arial"/>
          <w:sz w:val="24"/>
          <w:szCs w:val="24"/>
        </w:rPr>
        <w:t xml:space="preserve"> for some authorities through the need to fund the business rates safety net through a top slice</w:t>
      </w:r>
      <w:r w:rsidR="00E954FD">
        <w:rPr>
          <w:rFonts w:ascii="Arial" w:hAnsi="Arial" w:cs="Arial"/>
          <w:sz w:val="24"/>
          <w:szCs w:val="24"/>
        </w:rPr>
        <w:t xml:space="preserve"> and therefore </w:t>
      </w:r>
      <w:r w:rsidR="00906C05">
        <w:rPr>
          <w:rFonts w:ascii="Arial" w:hAnsi="Arial" w:cs="Arial"/>
          <w:sz w:val="24"/>
          <w:szCs w:val="24"/>
        </w:rPr>
        <w:t xml:space="preserve">to </w:t>
      </w:r>
      <w:r w:rsidR="00E954FD">
        <w:rPr>
          <w:rFonts w:ascii="Arial" w:hAnsi="Arial" w:cs="Arial"/>
          <w:sz w:val="24"/>
          <w:szCs w:val="24"/>
        </w:rPr>
        <w:t xml:space="preserve">more reductions in </w:t>
      </w:r>
      <w:r w:rsidR="00E954FD">
        <w:rPr>
          <w:rFonts w:ascii="Arial" w:hAnsi="Arial" w:cs="Arial"/>
          <w:sz w:val="24"/>
          <w:szCs w:val="24"/>
        </w:rPr>
        <w:lastRenderedPageBreak/>
        <w:t>expenditure than would otherwise be the case.</w:t>
      </w:r>
      <w:r w:rsidR="002030FA">
        <w:rPr>
          <w:rFonts w:ascii="Arial" w:hAnsi="Arial" w:cs="Arial"/>
          <w:sz w:val="24"/>
          <w:szCs w:val="24"/>
        </w:rPr>
        <w:t xml:space="preserve">  The effect of providing for appeals locks up money in reserves which should be spent on other revenue or capital priorities.</w:t>
      </w:r>
      <w:bookmarkStart w:id="1" w:name="_GoBack"/>
      <w:bookmarkEnd w:id="1"/>
      <w:r w:rsidR="00E954FD">
        <w:rPr>
          <w:rFonts w:ascii="Arial" w:hAnsi="Arial" w:cs="Arial"/>
          <w:sz w:val="24"/>
          <w:szCs w:val="24"/>
        </w:rPr>
        <w:t xml:space="preserve"> </w:t>
      </w:r>
      <w:r w:rsidR="00E954FD" w:rsidRPr="00CB4A03">
        <w:rPr>
          <w:rFonts w:ascii="Arial" w:hAnsi="Arial" w:cs="Arial"/>
          <w:sz w:val="24"/>
          <w:szCs w:val="24"/>
        </w:rPr>
        <w:t xml:space="preserve"> </w:t>
      </w:r>
      <w:r w:rsidR="008D1A71">
        <w:rPr>
          <w:rFonts w:ascii="Arial" w:hAnsi="Arial" w:cs="Arial"/>
          <w:sz w:val="24"/>
          <w:szCs w:val="24"/>
        </w:rPr>
        <w:t xml:space="preserve">The LGA </w:t>
      </w:r>
      <w:r>
        <w:rPr>
          <w:rFonts w:ascii="Arial" w:hAnsi="Arial" w:cs="Arial"/>
          <w:sz w:val="24"/>
          <w:szCs w:val="24"/>
        </w:rPr>
        <w:t xml:space="preserve">repeats its call for </w:t>
      </w:r>
      <w:r w:rsidR="008D1A71">
        <w:rPr>
          <w:rFonts w:ascii="Arial" w:hAnsi="Arial" w:cs="Arial"/>
          <w:sz w:val="24"/>
          <w:szCs w:val="24"/>
        </w:rPr>
        <w:t>the Government to provide sufficient resources for the Valuation Office Agency for these to be resolved within 12 months of 1</w:t>
      </w:r>
      <w:r w:rsidR="008D1A71" w:rsidRPr="00172811">
        <w:rPr>
          <w:rFonts w:ascii="Arial" w:hAnsi="Arial" w:cs="Arial"/>
          <w:sz w:val="24"/>
          <w:szCs w:val="24"/>
          <w:vertAlign w:val="superscript"/>
        </w:rPr>
        <w:t>st</w:t>
      </w:r>
      <w:r w:rsidR="008D1A71">
        <w:rPr>
          <w:rFonts w:ascii="Arial" w:hAnsi="Arial" w:cs="Arial"/>
          <w:sz w:val="24"/>
          <w:szCs w:val="24"/>
        </w:rPr>
        <w:t xml:space="preserve"> April 2017. </w:t>
      </w:r>
      <w:r>
        <w:rPr>
          <w:rFonts w:ascii="Arial" w:hAnsi="Arial" w:cs="Arial"/>
          <w:sz w:val="24"/>
          <w:szCs w:val="24"/>
        </w:rPr>
        <w:t xml:space="preserve"> With the implementation of full business rates retention by the end of this parliament at the latest, resolving this issue is crucial.</w:t>
      </w:r>
    </w:p>
    <w:p w14:paraId="4ED7B09A" w14:textId="77777777" w:rsidR="00DF4F1B" w:rsidRPr="00DF4F1B" w:rsidRDefault="00DF4F1B" w:rsidP="00DF4F1B">
      <w:pPr>
        <w:pStyle w:val="ListParagraph"/>
        <w:rPr>
          <w:rFonts w:ascii="Arial" w:hAnsi="Arial" w:cs="Arial"/>
          <w:sz w:val="24"/>
          <w:szCs w:val="24"/>
        </w:rPr>
      </w:pPr>
    </w:p>
    <w:p w14:paraId="38C01356" w14:textId="50135096" w:rsidR="00DF4F1B" w:rsidRDefault="00DF4F1B" w:rsidP="00DF4F1B">
      <w:pPr>
        <w:pStyle w:val="ListParagraph"/>
        <w:numPr>
          <w:ilvl w:val="0"/>
          <w:numId w:val="16"/>
        </w:numPr>
        <w:spacing w:after="120" w:line="276" w:lineRule="auto"/>
        <w:rPr>
          <w:rFonts w:ascii="Arial" w:hAnsi="Arial" w:cs="Arial"/>
          <w:sz w:val="24"/>
          <w:szCs w:val="24"/>
        </w:rPr>
      </w:pPr>
      <w:r>
        <w:rPr>
          <w:rFonts w:ascii="Arial" w:hAnsi="Arial" w:cs="Arial"/>
          <w:sz w:val="24"/>
          <w:szCs w:val="24"/>
        </w:rPr>
        <w:t>Detailed answers to the questions asked in the consultation are:</w:t>
      </w:r>
    </w:p>
    <w:p w14:paraId="132D35C8" w14:textId="77777777" w:rsidR="007C31D8" w:rsidRPr="007C31D8" w:rsidRDefault="007C31D8" w:rsidP="007C31D8">
      <w:pPr>
        <w:pStyle w:val="ListParagraph"/>
        <w:rPr>
          <w:rFonts w:ascii="Arial" w:hAnsi="Arial" w:cs="Arial"/>
          <w:sz w:val="24"/>
          <w:szCs w:val="24"/>
        </w:rPr>
      </w:pPr>
    </w:p>
    <w:p w14:paraId="5E79A479" w14:textId="77777777" w:rsidR="00BE7285" w:rsidRDefault="00BE7285" w:rsidP="00D47F00">
      <w:pPr>
        <w:pStyle w:val="ListParagraph"/>
        <w:widowControl/>
        <w:spacing w:after="120" w:line="276" w:lineRule="auto"/>
        <w:ind w:left="360"/>
        <w:contextualSpacing w:val="0"/>
        <w:rPr>
          <w:rFonts w:ascii="Arial" w:hAnsi="Arial" w:cs="Arial"/>
          <w:b/>
          <w:sz w:val="24"/>
          <w:szCs w:val="24"/>
        </w:rPr>
      </w:pPr>
      <w:r w:rsidRPr="00BE7285">
        <w:rPr>
          <w:rFonts w:ascii="Arial" w:hAnsi="Arial" w:cs="Arial"/>
          <w:b/>
          <w:sz w:val="24"/>
          <w:szCs w:val="24"/>
        </w:rPr>
        <w:t xml:space="preserve">Question 1: what are your views on option 1? </w:t>
      </w:r>
    </w:p>
    <w:p w14:paraId="4E87ACBB" w14:textId="6F111DDE" w:rsidR="007C44EB" w:rsidRPr="007C44EB" w:rsidRDefault="007C44EB" w:rsidP="00D47F00">
      <w:pPr>
        <w:pStyle w:val="ListParagraph"/>
        <w:widowControl/>
        <w:spacing w:after="120" w:line="276" w:lineRule="auto"/>
        <w:ind w:left="360"/>
        <w:contextualSpacing w:val="0"/>
        <w:rPr>
          <w:rFonts w:ascii="Arial" w:hAnsi="Arial" w:cs="Arial"/>
          <w:sz w:val="24"/>
          <w:szCs w:val="24"/>
        </w:rPr>
      </w:pPr>
      <w:r>
        <w:rPr>
          <w:rFonts w:ascii="Arial" w:hAnsi="Arial" w:cs="Arial"/>
          <w:sz w:val="24"/>
          <w:szCs w:val="24"/>
        </w:rPr>
        <w:t xml:space="preserve">The LGA notes that the effect of option 1 would be </w:t>
      </w:r>
      <w:r w:rsidR="00231ED0">
        <w:rPr>
          <w:rFonts w:ascii="Arial" w:hAnsi="Arial" w:cs="Arial"/>
          <w:sz w:val="24"/>
          <w:szCs w:val="24"/>
        </w:rPr>
        <w:t>to cap increases at a set amount, with smaller businesses having a more gradual transition.  This would be paid for by a cap on the reductions of businesses which have gained from the revaluation.</w:t>
      </w:r>
    </w:p>
    <w:p w14:paraId="278A0090" w14:textId="77777777" w:rsidR="007C44EB" w:rsidRPr="00BE7285" w:rsidRDefault="007C44EB" w:rsidP="00D47F00">
      <w:pPr>
        <w:pStyle w:val="ListParagraph"/>
        <w:widowControl/>
        <w:spacing w:after="120" w:line="276" w:lineRule="auto"/>
        <w:ind w:left="360"/>
        <w:contextualSpacing w:val="0"/>
        <w:rPr>
          <w:rFonts w:ascii="Arial" w:hAnsi="Arial" w:cs="Arial"/>
          <w:b/>
          <w:sz w:val="24"/>
          <w:szCs w:val="24"/>
        </w:rPr>
      </w:pPr>
    </w:p>
    <w:p w14:paraId="227F262C" w14:textId="66C21032" w:rsidR="00EC5337" w:rsidRDefault="00BE7285" w:rsidP="00D47F00">
      <w:pPr>
        <w:pStyle w:val="ListParagraph"/>
        <w:widowControl/>
        <w:spacing w:after="120" w:line="276" w:lineRule="auto"/>
        <w:ind w:left="360"/>
        <w:contextualSpacing w:val="0"/>
        <w:rPr>
          <w:rFonts w:ascii="Arial" w:hAnsi="Arial" w:cs="Arial"/>
          <w:b/>
          <w:sz w:val="24"/>
          <w:szCs w:val="24"/>
        </w:rPr>
      </w:pPr>
      <w:r w:rsidRPr="00BE7285">
        <w:rPr>
          <w:rFonts w:ascii="Arial" w:hAnsi="Arial" w:cs="Arial"/>
          <w:b/>
          <w:sz w:val="24"/>
          <w:szCs w:val="24"/>
        </w:rPr>
        <w:t>Question 2: do you support option 1?</w:t>
      </w:r>
    </w:p>
    <w:p w14:paraId="69850A3C" w14:textId="4F1229E0" w:rsidR="007C44EB" w:rsidRPr="007C44EB" w:rsidRDefault="007C44EB" w:rsidP="00D47F00">
      <w:pPr>
        <w:pStyle w:val="ListParagraph"/>
        <w:widowControl/>
        <w:spacing w:after="120" w:line="276" w:lineRule="auto"/>
        <w:ind w:left="360"/>
        <w:contextualSpacing w:val="0"/>
        <w:rPr>
          <w:rFonts w:ascii="Arial" w:hAnsi="Arial" w:cs="Arial"/>
          <w:sz w:val="24"/>
          <w:szCs w:val="24"/>
        </w:rPr>
      </w:pPr>
      <w:r>
        <w:rPr>
          <w:rFonts w:ascii="Arial" w:hAnsi="Arial" w:cs="Arial"/>
          <w:sz w:val="24"/>
          <w:szCs w:val="24"/>
        </w:rPr>
        <w:t>The LGA does not express a preference for either option.</w:t>
      </w:r>
    </w:p>
    <w:p w14:paraId="2FE691B0" w14:textId="77777777" w:rsidR="007C44EB" w:rsidRPr="00BE7285" w:rsidRDefault="007C44EB" w:rsidP="00D47F00">
      <w:pPr>
        <w:pStyle w:val="ListParagraph"/>
        <w:widowControl/>
        <w:spacing w:after="120" w:line="276" w:lineRule="auto"/>
        <w:ind w:left="360"/>
        <w:contextualSpacing w:val="0"/>
        <w:rPr>
          <w:rFonts w:ascii="Arial" w:hAnsi="Arial" w:cs="Arial"/>
          <w:b/>
          <w:sz w:val="24"/>
          <w:szCs w:val="24"/>
        </w:rPr>
      </w:pPr>
    </w:p>
    <w:p w14:paraId="0C568684" w14:textId="77777777" w:rsidR="00BE7285" w:rsidRDefault="00BE7285" w:rsidP="00D47F00">
      <w:pPr>
        <w:pStyle w:val="ListParagraph"/>
        <w:widowControl/>
        <w:spacing w:after="120" w:line="276" w:lineRule="auto"/>
        <w:ind w:left="360"/>
        <w:contextualSpacing w:val="0"/>
        <w:rPr>
          <w:rFonts w:ascii="Arial" w:hAnsi="Arial" w:cs="Arial"/>
          <w:b/>
          <w:sz w:val="24"/>
          <w:szCs w:val="24"/>
        </w:rPr>
      </w:pPr>
      <w:r w:rsidRPr="00BE7285">
        <w:rPr>
          <w:rFonts w:ascii="Arial" w:hAnsi="Arial" w:cs="Arial"/>
          <w:b/>
          <w:sz w:val="24"/>
          <w:szCs w:val="24"/>
        </w:rPr>
        <w:t xml:space="preserve">Question 3: what are your views on option 2? </w:t>
      </w:r>
    </w:p>
    <w:p w14:paraId="1995795F" w14:textId="747B9BB3" w:rsidR="00231ED0" w:rsidRPr="00231ED0" w:rsidRDefault="00231ED0" w:rsidP="00D47F00">
      <w:pPr>
        <w:pStyle w:val="ListParagraph"/>
        <w:widowControl/>
        <w:spacing w:after="120" w:line="276" w:lineRule="auto"/>
        <w:ind w:left="360"/>
        <w:contextualSpacing w:val="0"/>
        <w:rPr>
          <w:rFonts w:ascii="Arial" w:hAnsi="Arial" w:cs="Arial"/>
          <w:sz w:val="24"/>
          <w:szCs w:val="24"/>
        </w:rPr>
      </w:pPr>
      <w:r>
        <w:rPr>
          <w:rFonts w:ascii="Arial" w:hAnsi="Arial" w:cs="Arial"/>
          <w:sz w:val="24"/>
          <w:szCs w:val="24"/>
        </w:rPr>
        <w:t xml:space="preserve">The LGA notes that the effects of option 2 would be </w:t>
      </w:r>
      <w:r w:rsidR="00B2537C">
        <w:rPr>
          <w:rFonts w:ascii="Arial" w:hAnsi="Arial" w:cs="Arial"/>
          <w:sz w:val="24"/>
          <w:szCs w:val="24"/>
        </w:rPr>
        <w:t>similar to option 1.  However the scheme provides less protection for larger ratepayers (above £100,000 rateable value) and more protection for medium size ratepayers when compared with option 1.</w:t>
      </w:r>
    </w:p>
    <w:p w14:paraId="165DE690" w14:textId="77777777" w:rsidR="00231ED0" w:rsidRPr="00BE7285" w:rsidRDefault="00231ED0" w:rsidP="00D47F00">
      <w:pPr>
        <w:pStyle w:val="ListParagraph"/>
        <w:widowControl/>
        <w:spacing w:after="120" w:line="276" w:lineRule="auto"/>
        <w:ind w:left="360"/>
        <w:contextualSpacing w:val="0"/>
        <w:rPr>
          <w:rFonts w:ascii="Arial" w:hAnsi="Arial" w:cs="Arial"/>
          <w:b/>
          <w:sz w:val="24"/>
          <w:szCs w:val="24"/>
        </w:rPr>
      </w:pPr>
    </w:p>
    <w:p w14:paraId="664456C7" w14:textId="72894917" w:rsidR="00BE7285" w:rsidRDefault="00BE7285" w:rsidP="00D47F00">
      <w:pPr>
        <w:pStyle w:val="ListParagraph"/>
        <w:widowControl/>
        <w:spacing w:after="120" w:line="276" w:lineRule="auto"/>
        <w:ind w:left="360"/>
        <w:contextualSpacing w:val="0"/>
        <w:rPr>
          <w:rFonts w:ascii="Arial" w:hAnsi="Arial" w:cs="Arial"/>
          <w:b/>
          <w:sz w:val="24"/>
          <w:szCs w:val="24"/>
        </w:rPr>
      </w:pPr>
      <w:r w:rsidRPr="00BE7285">
        <w:rPr>
          <w:rFonts w:ascii="Arial" w:hAnsi="Arial" w:cs="Arial"/>
          <w:b/>
          <w:sz w:val="24"/>
          <w:szCs w:val="24"/>
        </w:rPr>
        <w:t>Question 4: do you support option 2?</w:t>
      </w:r>
    </w:p>
    <w:p w14:paraId="06DD4AC0" w14:textId="26B5EA70" w:rsidR="007C44EB" w:rsidRPr="007C44EB" w:rsidRDefault="007C44EB" w:rsidP="00D47F00">
      <w:pPr>
        <w:pStyle w:val="ListParagraph"/>
        <w:widowControl/>
        <w:spacing w:after="120" w:line="276" w:lineRule="auto"/>
        <w:ind w:left="360"/>
        <w:contextualSpacing w:val="0"/>
        <w:rPr>
          <w:rFonts w:ascii="Arial" w:hAnsi="Arial" w:cs="Arial"/>
          <w:sz w:val="24"/>
          <w:szCs w:val="24"/>
        </w:rPr>
      </w:pPr>
      <w:r>
        <w:rPr>
          <w:rFonts w:ascii="Arial" w:hAnsi="Arial" w:cs="Arial"/>
          <w:sz w:val="24"/>
          <w:szCs w:val="24"/>
        </w:rPr>
        <w:t>As stated above, the LGA does not express a preference for either option.</w:t>
      </w:r>
    </w:p>
    <w:p w14:paraId="38E06B88" w14:textId="77777777" w:rsidR="007C44EB" w:rsidRDefault="007C44EB" w:rsidP="00D47F00">
      <w:pPr>
        <w:pStyle w:val="ListParagraph"/>
        <w:widowControl/>
        <w:spacing w:after="120" w:line="276" w:lineRule="auto"/>
        <w:ind w:left="360"/>
        <w:contextualSpacing w:val="0"/>
        <w:rPr>
          <w:rFonts w:ascii="Arial" w:hAnsi="Arial" w:cs="Arial"/>
          <w:b/>
          <w:sz w:val="24"/>
          <w:szCs w:val="24"/>
        </w:rPr>
      </w:pPr>
    </w:p>
    <w:p w14:paraId="6A4751F4" w14:textId="77777777" w:rsidR="007C44EB" w:rsidRDefault="007C44EB" w:rsidP="00D47F00">
      <w:pPr>
        <w:pStyle w:val="ListParagraph"/>
        <w:widowControl/>
        <w:spacing w:after="120" w:line="276" w:lineRule="auto"/>
        <w:ind w:left="360"/>
        <w:contextualSpacing w:val="0"/>
        <w:rPr>
          <w:rFonts w:ascii="Arial" w:hAnsi="Arial" w:cs="Arial"/>
          <w:b/>
          <w:sz w:val="24"/>
          <w:szCs w:val="24"/>
        </w:rPr>
      </w:pPr>
    </w:p>
    <w:p w14:paraId="6CC231BF" w14:textId="77777777" w:rsidR="007C44EB" w:rsidRPr="00BE7285" w:rsidRDefault="007C44EB" w:rsidP="00D47F00">
      <w:pPr>
        <w:pStyle w:val="ListParagraph"/>
        <w:widowControl/>
        <w:spacing w:after="120" w:line="276" w:lineRule="auto"/>
        <w:ind w:left="360"/>
        <w:contextualSpacing w:val="0"/>
        <w:rPr>
          <w:rFonts w:ascii="Arial" w:hAnsi="Arial" w:cs="Arial"/>
          <w:b/>
          <w:sz w:val="24"/>
          <w:szCs w:val="24"/>
        </w:rPr>
      </w:pPr>
    </w:p>
    <w:p w14:paraId="02E83064"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20952DF8" w14:textId="4202D8AB" w:rsidR="005D42AD" w:rsidRDefault="000D3B14" w:rsidP="004445A5">
      <w:pPr>
        <w:rPr>
          <w:rFonts w:ascii="Arial" w:hAnsi="Arial" w:cs="Arial"/>
          <w:sz w:val="24"/>
          <w:szCs w:val="24"/>
        </w:rPr>
      </w:pPr>
      <w:r>
        <w:rPr>
          <w:rFonts w:ascii="Arial" w:hAnsi="Arial" w:cs="Arial"/>
          <w:sz w:val="24"/>
          <w:szCs w:val="24"/>
        </w:rPr>
        <w:t>October 2016</w:t>
      </w:r>
    </w:p>
    <w:sectPr w:rsidR="005D42AD">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D8182" w14:textId="77777777" w:rsidR="0076648F" w:rsidRDefault="0076648F">
      <w:r>
        <w:separator/>
      </w:r>
    </w:p>
  </w:endnote>
  <w:endnote w:type="continuationSeparator" w:id="0">
    <w:p w14:paraId="35CE550A" w14:textId="77777777" w:rsidR="0076648F" w:rsidRDefault="0076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68D73EE-55F3-4080-88CA-4AC6FEE114D9}"/>
  </w:font>
  <w:font w:name="Cambria">
    <w:panose1 w:val="02040503050406030204"/>
    <w:charset w:val="00"/>
    <w:family w:val="roman"/>
    <w:pitch w:val="variable"/>
    <w:sig w:usb0="E00002FF" w:usb1="400004FF" w:usb2="00000000" w:usb3="00000000" w:csb0="0000019F" w:csb1="00000000"/>
    <w:embedRegular r:id="rId2" w:fontKey="{D64D2BF1-26FE-448F-8013-3DA24454B45D}"/>
  </w:font>
  <w:font w:name="Calibri">
    <w:panose1 w:val="020F0502020204030204"/>
    <w:charset w:val="00"/>
    <w:family w:val="swiss"/>
    <w:pitch w:val="variable"/>
    <w:sig w:usb0="E00002FF" w:usb1="4000ACFF" w:usb2="00000001" w:usb3="00000000" w:csb0="0000019F" w:csb1="00000000"/>
    <w:embedRegular r:id="rId3" w:fontKey="{EA4CB469-17FF-4A60-9F44-C23F9EA229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73182" w14:textId="77777777" w:rsidR="0076648F" w:rsidRPr="004D36CF" w:rsidRDefault="0076648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D4248" w14:textId="77777777" w:rsidR="0076648F" w:rsidRDefault="0076648F">
      <w:r>
        <w:separator/>
      </w:r>
    </w:p>
  </w:footnote>
  <w:footnote w:type="continuationSeparator" w:id="0">
    <w:p w14:paraId="2D31420D" w14:textId="77777777" w:rsidR="0076648F" w:rsidRDefault="00766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76648F" w14:paraId="092A35F1" w14:textId="77777777">
      <w:trPr>
        <w:cantSplit/>
        <w:trHeight w:hRule="exact" w:val="5273"/>
      </w:trPr>
      <w:tc>
        <w:tcPr>
          <w:tcW w:w="993" w:type="dxa"/>
          <w:textDirection w:val="btLr"/>
          <w:vAlign w:val="bottom"/>
        </w:tcPr>
        <w:p w14:paraId="0EFC8941" w14:textId="77777777" w:rsidR="0076648F" w:rsidRPr="00C9479A" w:rsidRDefault="0076648F"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7630946" wp14:editId="5D67AF8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19F32"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76648F" w14:paraId="62FE667C" w14:textId="77777777">
      <w:trPr>
        <w:cantSplit/>
        <w:trHeight w:hRule="exact" w:val="5670"/>
      </w:trPr>
      <w:tc>
        <w:tcPr>
          <w:tcW w:w="993" w:type="dxa"/>
          <w:textDirection w:val="btLr"/>
          <w:vAlign w:val="bottom"/>
        </w:tcPr>
        <w:p w14:paraId="33642249" w14:textId="77777777" w:rsidR="0076648F" w:rsidRPr="00C416F5" w:rsidRDefault="0076648F">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6DC59380" wp14:editId="4FB87DF3">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187FF"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23842C27" w14:textId="77777777" w:rsidR="0076648F" w:rsidRPr="00C416F5" w:rsidRDefault="0076648F">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209EA1A5" w14:textId="77777777" w:rsidR="0076648F" w:rsidRPr="00C416F5" w:rsidRDefault="0076648F">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00AC09BE" w14:textId="77777777" w:rsidR="0076648F" w:rsidRDefault="0076648F">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54AE802F" w14:textId="77777777" w:rsidR="0076648F" w:rsidRDefault="0076648F">
    <w:pPr>
      <w:pStyle w:val="Header"/>
    </w:pPr>
    <w:r>
      <w:rPr>
        <w:noProof/>
        <w:lang w:eastAsia="en-GB"/>
      </w:rPr>
      <mc:AlternateContent>
        <mc:Choice Requires="wps">
          <w:drawing>
            <wp:anchor distT="0" distB="0" distL="114300" distR="114300" simplePos="0" relativeHeight="251656704" behindDoc="0" locked="0" layoutInCell="0" allowOverlap="1" wp14:anchorId="73C4B535" wp14:editId="5C689B9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4BC5" w14:textId="77777777" w:rsidR="0076648F" w:rsidRDefault="0076648F"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C4B535"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4264BC5" w14:textId="77777777" w:rsidR="0076648F" w:rsidRDefault="0076648F"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88C47" w14:textId="77777777" w:rsidR="0076648F" w:rsidRDefault="00766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E3AAD"/>
    <w:multiLevelType w:val="multilevel"/>
    <w:tmpl w:val="28C21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A3183"/>
    <w:multiLevelType w:val="hybridMultilevel"/>
    <w:tmpl w:val="6E9CF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C660E"/>
    <w:multiLevelType w:val="hybridMultilevel"/>
    <w:tmpl w:val="C5FE2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AB1A63"/>
    <w:multiLevelType w:val="hybridMultilevel"/>
    <w:tmpl w:val="166ED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D5BFC"/>
    <w:multiLevelType w:val="hybridMultilevel"/>
    <w:tmpl w:val="264CA174"/>
    <w:lvl w:ilvl="0" w:tplc="0809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31211D"/>
    <w:multiLevelType w:val="hybridMultilevel"/>
    <w:tmpl w:val="12F24B4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69979D0"/>
    <w:multiLevelType w:val="hybridMultilevel"/>
    <w:tmpl w:val="E4BCB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36514A"/>
    <w:multiLevelType w:val="hybridMultilevel"/>
    <w:tmpl w:val="83A60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BC6163"/>
    <w:multiLevelType w:val="hybridMultilevel"/>
    <w:tmpl w:val="B5DC6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D05898"/>
    <w:multiLevelType w:val="hybridMultilevel"/>
    <w:tmpl w:val="F6D852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11"/>
  </w:num>
  <w:num w:numId="5">
    <w:abstractNumId w:val="6"/>
  </w:num>
  <w:num w:numId="6">
    <w:abstractNumId w:val="10"/>
  </w:num>
  <w:num w:numId="7">
    <w:abstractNumId w:val="4"/>
  </w:num>
  <w:num w:numId="8">
    <w:abstractNumId w:val="21"/>
  </w:num>
  <w:num w:numId="9">
    <w:abstractNumId w:val="24"/>
  </w:num>
  <w:num w:numId="10">
    <w:abstractNumId w:val="16"/>
  </w:num>
  <w:num w:numId="11">
    <w:abstractNumId w:val="20"/>
  </w:num>
  <w:num w:numId="12">
    <w:abstractNumId w:val="14"/>
  </w:num>
  <w:num w:numId="13">
    <w:abstractNumId w:val="13"/>
  </w:num>
  <w:num w:numId="14">
    <w:abstractNumId w:val="8"/>
  </w:num>
  <w:num w:numId="15">
    <w:abstractNumId w:val="17"/>
  </w:num>
  <w:num w:numId="16">
    <w:abstractNumId w:val="9"/>
  </w:num>
  <w:num w:numId="17">
    <w:abstractNumId w:val="1"/>
  </w:num>
  <w:num w:numId="18">
    <w:abstractNumId w:val="23"/>
  </w:num>
  <w:num w:numId="19">
    <w:abstractNumId w:val="5"/>
  </w:num>
  <w:num w:numId="20">
    <w:abstractNumId w:val="7"/>
  </w:num>
  <w:num w:numId="21">
    <w:abstractNumId w:val="15"/>
  </w:num>
  <w:num w:numId="22">
    <w:abstractNumId w:val="22"/>
  </w:num>
  <w:num w:numId="23">
    <w:abstractNumId w:val="2"/>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2020"/>
    <w:rsid w:val="00022C97"/>
    <w:rsid w:val="000325F9"/>
    <w:rsid w:val="00036AE0"/>
    <w:rsid w:val="00036F92"/>
    <w:rsid w:val="00047D57"/>
    <w:rsid w:val="000627D3"/>
    <w:rsid w:val="00066090"/>
    <w:rsid w:val="000C33A9"/>
    <w:rsid w:val="000C4E67"/>
    <w:rsid w:val="000C5404"/>
    <w:rsid w:val="000D3B14"/>
    <w:rsid w:val="000E2E29"/>
    <w:rsid w:val="000E4597"/>
    <w:rsid w:val="000F148C"/>
    <w:rsid w:val="000F17F2"/>
    <w:rsid w:val="00104307"/>
    <w:rsid w:val="00106072"/>
    <w:rsid w:val="00132FB4"/>
    <w:rsid w:val="0014460C"/>
    <w:rsid w:val="0014785D"/>
    <w:rsid w:val="0015298D"/>
    <w:rsid w:val="001659D7"/>
    <w:rsid w:val="001666A4"/>
    <w:rsid w:val="00172811"/>
    <w:rsid w:val="00185713"/>
    <w:rsid w:val="001A3138"/>
    <w:rsid w:val="001B2411"/>
    <w:rsid w:val="001C7775"/>
    <w:rsid w:val="001E293C"/>
    <w:rsid w:val="001E43F7"/>
    <w:rsid w:val="002030FA"/>
    <w:rsid w:val="00211A01"/>
    <w:rsid w:val="002214C6"/>
    <w:rsid w:val="00225477"/>
    <w:rsid w:val="00225F1A"/>
    <w:rsid w:val="002268FB"/>
    <w:rsid w:val="00231ED0"/>
    <w:rsid w:val="00236008"/>
    <w:rsid w:val="00253F50"/>
    <w:rsid w:val="002628A2"/>
    <w:rsid w:val="00284997"/>
    <w:rsid w:val="002B7294"/>
    <w:rsid w:val="002E0171"/>
    <w:rsid w:val="002E17C5"/>
    <w:rsid w:val="002E1BF2"/>
    <w:rsid w:val="002E2C37"/>
    <w:rsid w:val="00306D21"/>
    <w:rsid w:val="003076A2"/>
    <w:rsid w:val="003406FE"/>
    <w:rsid w:val="00340A39"/>
    <w:rsid w:val="00350381"/>
    <w:rsid w:val="00355ACF"/>
    <w:rsid w:val="00382026"/>
    <w:rsid w:val="003A6890"/>
    <w:rsid w:val="003C3834"/>
    <w:rsid w:val="003D0BBB"/>
    <w:rsid w:val="003D4EE8"/>
    <w:rsid w:val="003E1571"/>
    <w:rsid w:val="004445A5"/>
    <w:rsid w:val="004516A1"/>
    <w:rsid w:val="004624A6"/>
    <w:rsid w:val="004B5906"/>
    <w:rsid w:val="004C389D"/>
    <w:rsid w:val="004C5EC5"/>
    <w:rsid w:val="004D36CF"/>
    <w:rsid w:val="004F7D8A"/>
    <w:rsid w:val="00502886"/>
    <w:rsid w:val="0050388C"/>
    <w:rsid w:val="005065EA"/>
    <w:rsid w:val="005229DB"/>
    <w:rsid w:val="005760F8"/>
    <w:rsid w:val="0058162C"/>
    <w:rsid w:val="00582A70"/>
    <w:rsid w:val="005C0BA1"/>
    <w:rsid w:val="005D42AD"/>
    <w:rsid w:val="005F4718"/>
    <w:rsid w:val="005F650E"/>
    <w:rsid w:val="005F65EC"/>
    <w:rsid w:val="00616F85"/>
    <w:rsid w:val="00640866"/>
    <w:rsid w:val="00672EB0"/>
    <w:rsid w:val="00681DC6"/>
    <w:rsid w:val="00690D4C"/>
    <w:rsid w:val="006960A5"/>
    <w:rsid w:val="006A35D0"/>
    <w:rsid w:val="006D0088"/>
    <w:rsid w:val="006E147B"/>
    <w:rsid w:val="006E2886"/>
    <w:rsid w:val="00700DAD"/>
    <w:rsid w:val="00701C9F"/>
    <w:rsid w:val="00725F92"/>
    <w:rsid w:val="007451C0"/>
    <w:rsid w:val="00752E0C"/>
    <w:rsid w:val="007626E3"/>
    <w:rsid w:val="0076442B"/>
    <w:rsid w:val="0076648F"/>
    <w:rsid w:val="007735A1"/>
    <w:rsid w:val="007747D5"/>
    <w:rsid w:val="00776435"/>
    <w:rsid w:val="0077695B"/>
    <w:rsid w:val="007912DD"/>
    <w:rsid w:val="00791ABB"/>
    <w:rsid w:val="00793ADA"/>
    <w:rsid w:val="00795E7A"/>
    <w:rsid w:val="007A3BDC"/>
    <w:rsid w:val="007B3338"/>
    <w:rsid w:val="007B38B1"/>
    <w:rsid w:val="007C31D8"/>
    <w:rsid w:val="007C44EB"/>
    <w:rsid w:val="007E7B04"/>
    <w:rsid w:val="007F2926"/>
    <w:rsid w:val="007F3BAF"/>
    <w:rsid w:val="00810F0B"/>
    <w:rsid w:val="00813357"/>
    <w:rsid w:val="00834ADF"/>
    <w:rsid w:val="00837C72"/>
    <w:rsid w:val="00844494"/>
    <w:rsid w:val="00854951"/>
    <w:rsid w:val="0085707C"/>
    <w:rsid w:val="008571B6"/>
    <w:rsid w:val="00895635"/>
    <w:rsid w:val="0089710B"/>
    <w:rsid w:val="008B5E40"/>
    <w:rsid w:val="008C599D"/>
    <w:rsid w:val="008D1A71"/>
    <w:rsid w:val="008F6DA9"/>
    <w:rsid w:val="008F7959"/>
    <w:rsid w:val="0090234B"/>
    <w:rsid w:val="00906791"/>
    <w:rsid w:val="00906C05"/>
    <w:rsid w:val="009078D1"/>
    <w:rsid w:val="009179E1"/>
    <w:rsid w:val="00936B73"/>
    <w:rsid w:val="009526B9"/>
    <w:rsid w:val="00960F6C"/>
    <w:rsid w:val="00966E1E"/>
    <w:rsid w:val="00985BB8"/>
    <w:rsid w:val="00996F23"/>
    <w:rsid w:val="009B3542"/>
    <w:rsid w:val="009B6E18"/>
    <w:rsid w:val="009C65E8"/>
    <w:rsid w:val="009F6008"/>
    <w:rsid w:val="00A04373"/>
    <w:rsid w:val="00A215A2"/>
    <w:rsid w:val="00A26C89"/>
    <w:rsid w:val="00A30546"/>
    <w:rsid w:val="00A470EB"/>
    <w:rsid w:val="00A703C3"/>
    <w:rsid w:val="00A83052"/>
    <w:rsid w:val="00AB0ADA"/>
    <w:rsid w:val="00AC134B"/>
    <w:rsid w:val="00AD1CBC"/>
    <w:rsid w:val="00AE0171"/>
    <w:rsid w:val="00AE5457"/>
    <w:rsid w:val="00AF0FAC"/>
    <w:rsid w:val="00B044D7"/>
    <w:rsid w:val="00B2537C"/>
    <w:rsid w:val="00B35DCC"/>
    <w:rsid w:val="00B42F87"/>
    <w:rsid w:val="00B54126"/>
    <w:rsid w:val="00B641C5"/>
    <w:rsid w:val="00B64436"/>
    <w:rsid w:val="00BA252E"/>
    <w:rsid w:val="00BC12B0"/>
    <w:rsid w:val="00BD032A"/>
    <w:rsid w:val="00BD0CDE"/>
    <w:rsid w:val="00BE7285"/>
    <w:rsid w:val="00BE79BB"/>
    <w:rsid w:val="00C12C48"/>
    <w:rsid w:val="00C416F5"/>
    <w:rsid w:val="00C9479A"/>
    <w:rsid w:val="00CA0934"/>
    <w:rsid w:val="00CA6E30"/>
    <w:rsid w:val="00CB21EC"/>
    <w:rsid w:val="00CB4A03"/>
    <w:rsid w:val="00CB7A96"/>
    <w:rsid w:val="00CC765D"/>
    <w:rsid w:val="00CE094D"/>
    <w:rsid w:val="00D05C33"/>
    <w:rsid w:val="00D13308"/>
    <w:rsid w:val="00D270B4"/>
    <w:rsid w:val="00D47F00"/>
    <w:rsid w:val="00D73712"/>
    <w:rsid w:val="00D73BA7"/>
    <w:rsid w:val="00D81DC5"/>
    <w:rsid w:val="00D94864"/>
    <w:rsid w:val="00D96091"/>
    <w:rsid w:val="00DB3A1B"/>
    <w:rsid w:val="00DF4F1B"/>
    <w:rsid w:val="00E01A58"/>
    <w:rsid w:val="00E04622"/>
    <w:rsid w:val="00E13A02"/>
    <w:rsid w:val="00E17E05"/>
    <w:rsid w:val="00E30B3C"/>
    <w:rsid w:val="00E405D8"/>
    <w:rsid w:val="00E469D6"/>
    <w:rsid w:val="00E50998"/>
    <w:rsid w:val="00E86E98"/>
    <w:rsid w:val="00E954FD"/>
    <w:rsid w:val="00EC5337"/>
    <w:rsid w:val="00ED055D"/>
    <w:rsid w:val="00F006CF"/>
    <w:rsid w:val="00F00F64"/>
    <w:rsid w:val="00F33811"/>
    <w:rsid w:val="00F549F4"/>
    <w:rsid w:val="00F56026"/>
    <w:rsid w:val="00F65EEC"/>
    <w:rsid w:val="00F70A7D"/>
    <w:rsid w:val="00F720F7"/>
    <w:rsid w:val="00F86A2B"/>
    <w:rsid w:val="00FA0F0B"/>
    <w:rsid w:val="00FB226F"/>
    <w:rsid w:val="00FB388F"/>
    <w:rsid w:val="00FD2D45"/>
    <w:rsid w:val="00FE0C0A"/>
    <w:rsid w:val="00FF02E2"/>
    <w:rsid w:val="00FF0922"/>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43009"/>
    <o:shapelayout v:ext="edit">
      <o:idmap v:ext="edit" data="1"/>
    </o:shapelayout>
  </w:shapeDefaults>
  <w:decimalSymbol w:val="."/>
  <w:listSeparator w:val=","/>
  <w14:docId w14:val="3D9566C4"/>
  <w15:docId w15:val="{239B5B7F-9B82-4E8C-9CA0-3B6252C9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semiHidden/>
    <w:unhideWhenUsed/>
    <w:rsid w:val="00582A70"/>
    <w:rPr>
      <w:sz w:val="16"/>
      <w:szCs w:val="16"/>
    </w:rPr>
  </w:style>
  <w:style w:type="paragraph" w:styleId="CommentText">
    <w:name w:val="annotation text"/>
    <w:basedOn w:val="Normal"/>
    <w:link w:val="CommentTextChar"/>
    <w:unhideWhenUsed/>
    <w:rsid w:val="00582A70"/>
    <w:pPr>
      <w:spacing w:line="240" w:lineRule="auto"/>
    </w:pPr>
    <w:rPr>
      <w:sz w:val="20"/>
    </w:rPr>
  </w:style>
  <w:style w:type="character" w:customStyle="1" w:styleId="CommentTextChar">
    <w:name w:val="Comment Text Char"/>
    <w:basedOn w:val="DefaultParagraphFont"/>
    <w:link w:val="CommentText"/>
    <w:rsid w:val="00582A7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582A70"/>
    <w:rPr>
      <w:b/>
      <w:bCs/>
    </w:rPr>
  </w:style>
  <w:style w:type="character" w:customStyle="1" w:styleId="CommentSubjectChar">
    <w:name w:val="Comment Subject Char"/>
    <w:basedOn w:val="CommentTextChar"/>
    <w:link w:val="CommentSubject"/>
    <w:semiHidden/>
    <w:rsid w:val="00582A70"/>
    <w:rPr>
      <w:rFonts w:ascii="Frutiger 45 Light" w:hAnsi="Frutiger 45 Light"/>
      <w:b/>
      <w:bCs/>
      <w:lang w:eastAsia="en-US"/>
    </w:rPr>
  </w:style>
  <w:style w:type="paragraph" w:styleId="NormalWeb">
    <w:name w:val="Normal (Web)"/>
    <w:basedOn w:val="Normal"/>
    <w:semiHidden/>
    <w:unhideWhenUsed/>
    <w:rsid w:val="002B72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367">
      <w:bodyDiv w:val="1"/>
      <w:marLeft w:val="0"/>
      <w:marRight w:val="0"/>
      <w:marTop w:val="0"/>
      <w:marBottom w:val="0"/>
      <w:divBdr>
        <w:top w:val="none" w:sz="0" w:space="0" w:color="auto"/>
        <w:left w:val="none" w:sz="0" w:space="0" w:color="auto"/>
        <w:bottom w:val="none" w:sz="0" w:space="0" w:color="auto"/>
        <w:right w:val="none" w:sz="0" w:space="0" w:color="auto"/>
      </w:divBdr>
    </w:div>
    <w:div w:id="123743171">
      <w:bodyDiv w:val="1"/>
      <w:marLeft w:val="0"/>
      <w:marRight w:val="0"/>
      <w:marTop w:val="0"/>
      <w:marBottom w:val="0"/>
      <w:divBdr>
        <w:top w:val="none" w:sz="0" w:space="0" w:color="auto"/>
        <w:left w:val="none" w:sz="0" w:space="0" w:color="auto"/>
        <w:bottom w:val="none" w:sz="0" w:space="0" w:color="auto"/>
        <w:right w:val="none" w:sz="0" w:space="0" w:color="auto"/>
      </w:divBdr>
    </w:div>
    <w:div w:id="202645494">
      <w:bodyDiv w:val="1"/>
      <w:marLeft w:val="0"/>
      <w:marRight w:val="0"/>
      <w:marTop w:val="0"/>
      <w:marBottom w:val="0"/>
      <w:divBdr>
        <w:top w:val="none" w:sz="0" w:space="0" w:color="auto"/>
        <w:left w:val="none" w:sz="0" w:space="0" w:color="auto"/>
        <w:bottom w:val="none" w:sz="0" w:space="0" w:color="auto"/>
        <w:right w:val="none" w:sz="0" w:space="0" w:color="auto"/>
      </w:divBdr>
    </w:div>
    <w:div w:id="228274805">
      <w:bodyDiv w:val="1"/>
      <w:marLeft w:val="0"/>
      <w:marRight w:val="0"/>
      <w:marTop w:val="0"/>
      <w:marBottom w:val="0"/>
      <w:divBdr>
        <w:top w:val="none" w:sz="0" w:space="0" w:color="auto"/>
        <w:left w:val="none" w:sz="0" w:space="0" w:color="auto"/>
        <w:bottom w:val="none" w:sz="0" w:space="0" w:color="auto"/>
        <w:right w:val="none" w:sz="0" w:space="0" w:color="auto"/>
      </w:divBdr>
    </w:div>
    <w:div w:id="248082307">
      <w:bodyDiv w:val="1"/>
      <w:marLeft w:val="0"/>
      <w:marRight w:val="0"/>
      <w:marTop w:val="0"/>
      <w:marBottom w:val="0"/>
      <w:divBdr>
        <w:top w:val="none" w:sz="0" w:space="0" w:color="auto"/>
        <w:left w:val="none" w:sz="0" w:space="0" w:color="auto"/>
        <w:bottom w:val="none" w:sz="0" w:space="0" w:color="auto"/>
        <w:right w:val="none" w:sz="0" w:space="0" w:color="auto"/>
      </w:divBdr>
    </w:div>
    <w:div w:id="316617319">
      <w:bodyDiv w:val="1"/>
      <w:marLeft w:val="0"/>
      <w:marRight w:val="0"/>
      <w:marTop w:val="0"/>
      <w:marBottom w:val="0"/>
      <w:divBdr>
        <w:top w:val="none" w:sz="0" w:space="0" w:color="auto"/>
        <w:left w:val="none" w:sz="0" w:space="0" w:color="auto"/>
        <w:bottom w:val="none" w:sz="0" w:space="0" w:color="auto"/>
        <w:right w:val="none" w:sz="0" w:space="0" w:color="auto"/>
      </w:divBdr>
    </w:div>
    <w:div w:id="384253829">
      <w:bodyDiv w:val="1"/>
      <w:marLeft w:val="0"/>
      <w:marRight w:val="0"/>
      <w:marTop w:val="0"/>
      <w:marBottom w:val="0"/>
      <w:divBdr>
        <w:top w:val="none" w:sz="0" w:space="0" w:color="auto"/>
        <w:left w:val="none" w:sz="0" w:space="0" w:color="auto"/>
        <w:bottom w:val="none" w:sz="0" w:space="0" w:color="auto"/>
        <w:right w:val="none" w:sz="0" w:space="0" w:color="auto"/>
      </w:divBdr>
    </w:div>
    <w:div w:id="389042659">
      <w:bodyDiv w:val="1"/>
      <w:marLeft w:val="0"/>
      <w:marRight w:val="0"/>
      <w:marTop w:val="0"/>
      <w:marBottom w:val="0"/>
      <w:divBdr>
        <w:top w:val="none" w:sz="0" w:space="0" w:color="auto"/>
        <w:left w:val="none" w:sz="0" w:space="0" w:color="auto"/>
        <w:bottom w:val="none" w:sz="0" w:space="0" w:color="auto"/>
        <w:right w:val="none" w:sz="0" w:space="0" w:color="auto"/>
      </w:divBdr>
    </w:div>
    <w:div w:id="470638342">
      <w:bodyDiv w:val="1"/>
      <w:marLeft w:val="0"/>
      <w:marRight w:val="0"/>
      <w:marTop w:val="0"/>
      <w:marBottom w:val="0"/>
      <w:divBdr>
        <w:top w:val="none" w:sz="0" w:space="0" w:color="auto"/>
        <w:left w:val="none" w:sz="0" w:space="0" w:color="auto"/>
        <w:bottom w:val="none" w:sz="0" w:space="0" w:color="auto"/>
        <w:right w:val="none" w:sz="0" w:space="0" w:color="auto"/>
      </w:divBdr>
    </w:div>
    <w:div w:id="474417488">
      <w:bodyDiv w:val="1"/>
      <w:marLeft w:val="0"/>
      <w:marRight w:val="0"/>
      <w:marTop w:val="0"/>
      <w:marBottom w:val="0"/>
      <w:divBdr>
        <w:top w:val="none" w:sz="0" w:space="0" w:color="auto"/>
        <w:left w:val="none" w:sz="0" w:space="0" w:color="auto"/>
        <w:bottom w:val="none" w:sz="0" w:space="0" w:color="auto"/>
        <w:right w:val="none" w:sz="0" w:space="0" w:color="auto"/>
      </w:divBdr>
    </w:div>
    <w:div w:id="600065077">
      <w:bodyDiv w:val="1"/>
      <w:marLeft w:val="0"/>
      <w:marRight w:val="0"/>
      <w:marTop w:val="0"/>
      <w:marBottom w:val="0"/>
      <w:divBdr>
        <w:top w:val="none" w:sz="0" w:space="0" w:color="auto"/>
        <w:left w:val="none" w:sz="0" w:space="0" w:color="auto"/>
        <w:bottom w:val="none" w:sz="0" w:space="0" w:color="auto"/>
        <w:right w:val="none" w:sz="0" w:space="0" w:color="auto"/>
      </w:divBdr>
    </w:div>
    <w:div w:id="606431528">
      <w:bodyDiv w:val="1"/>
      <w:marLeft w:val="0"/>
      <w:marRight w:val="0"/>
      <w:marTop w:val="0"/>
      <w:marBottom w:val="0"/>
      <w:divBdr>
        <w:top w:val="none" w:sz="0" w:space="0" w:color="auto"/>
        <w:left w:val="none" w:sz="0" w:space="0" w:color="auto"/>
        <w:bottom w:val="none" w:sz="0" w:space="0" w:color="auto"/>
        <w:right w:val="none" w:sz="0" w:space="0" w:color="auto"/>
      </w:divBdr>
    </w:div>
    <w:div w:id="649333902">
      <w:bodyDiv w:val="1"/>
      <w:marLeft w:val="0"/>
      <w:marRight w:val="0"/>
      <w:marTop w:val="0"/>
      <w:marBottom w:val="0"/>
      <w:divBdr>
        <w:top w:val="none" w:sz="0" w:space="0" w:color="auto"/>
        <w:left w:val="none" w:sz="0" w:space="0" w:color="auto"/>
        <w:bottom w:val="none" w:sz="0" w:space="0" w:color="auto"/>
        <w:right w:val="none" w:sz="0" w:space="0" w:color="auto"/>
      </w:divBdr>
    </w:div>
    <w:div w:id="710807746">
      <w:bodyDiv w:val="1"/>
      <w:marLeft w:val="0"/>
      <w:marRight w:val="0"/>
      <w:marTop w:val="0"/>
      <w:marBottom w:val="0"/>
      <w:divBdr>
        <w:top w:val="none" w:sz="0" w:space="0" w:color="auto"/>
        <w:left w:val="none" w:sz="0" w:space="0" w:color="auto"/>
        <w:bottom w:val="none" w:sz="0" w:space="0" w:color="auto"/>
        <w:right w:val="none" w:sz="0" w:space="0" w:color="auto"/>
      </w:divBdr>
    </w:div>
    <w:div w:id="959645684">
      <w:bodyDiv w:val="1"/>
      <w:marLeft w:val="0"/>
      <w:marRight w:val="0"/>
      <w:marTop w:val="0"/>
      <w:marBottom w:val="0"/>
      <w:divBdr>
        <w:top w:val="none" w:sz="0" w:space="0" w:color="auto"/>
        <w:left w:val="none" w:sz="0" w:space="0" w:color="auto"/>
        <w:bottom w:val="none" w:sz="0" w:space="0" w:color="auto"/>
        <w:right w:val="none" w:sz="0" w:space="0" w:color="auto"/>
      </w:divBdr>
    </w:div>
    <w:div w:id="981808465">
      <w:bodyDiv w:val="1"/>
      <w:marLeft w:val="0"/>
      <w:marRight w:val="0"/>
      <w:marTop w:val="0"/>
      <w:marBottom w:val="0"/>
      <w:divBdr>
        <w:top w:val="none" w:sz="0" w:space="0" w:color="auto"/>
        <w:left w:val="none" w:sz="0" w:space="0" w:color="auto"/>
        <w:bottom w:val="none" w:sz="0" w:space="0" w:color="auto"/>
        <w:right w:val="none" w:sz="0" w:space="0" w:color="auto"/>
      </w:divBdr>
    </w:div>
    <w:div w:id="1002388974">
      <w:bodyDiv w:val="1"/>
      <w:marLeft w:val="0"/>
      <w:marRight w:val="0"/>
      <w:marTop w:val="0"/>
      <w:marBottom w:val="0"/>
      <w:divBdr>
        <w:top w:val="none" w:sz="0" w:space="0" w:color="auto"/>
        <w:left w:val="none" w:sz="0" w:space="0" w:color="auto"/>
        <w:bottom w:val="none" w:sz="0" w:space="0" w:color="auto"/>
        <w:right w:val="none" w:sz="0" w:space="0" w:color="auto"/>
      </w:divBdr>
    </w:div>
    <w:div w:id="1098868394">
      <w:bodyDiv w:val="1"/>
      <w:marLeft w:val="0"/>
      <w:marRight w:val="0"/>
      <w:marTop w:val="0"/>
      <w:marBottom w:val="0"/>
      <w:divBdr>
        <w:top w:val="none" w:sz="0" w:space="0" w:color="auto"/>
        <w:left w:val="none" w:sz="0" w:space="0" w:color="auto"/>
        <w:bottom w:val="none" w:sz="0" w:space="0" w:color="auto"/>
        <w:right w:val="none" w:sz="0" w:space="0" w:color="auto"/>
      </w:divBdr>
    </w:div>
    <w:div w:id="1164659846">
      <w:bodyDiv w:val="1"/>
      <w:marLeft w:val="0"/>
      <w:marRight w:val="0"/>
      <w:marTop w:val="0"/>
      <w:marBottom w:val="0"/>
      <w:divBdr>
        <w:top w:val="none" w:sz="0" w:space="0" w:color="auto"/>
        <w:left w:val="none" w:sz="0" w:space="0" w:color="auto"/>
        <w:bottom w:val="none" w:sz="0" w:space="0" w:color="auto"/>
        <w:right w:val="none" w:sz="0" w:space="0" w:color="auto"/>
      </w:divBdr>
    </w:div>
    <w:div w:id="1222787841">
      <w:bodyDiv w:val="1"/>
      <w:marLeft w:val="0"/>
      <w:marRight w:val="0"/>
      <w:marTop w:val="0"/>
      <w:marBottom w:val="0"/>
      <w:divBdr>
        <w:top w:val="none" w:sz="0" w:space="0" w:color="auto"/>
        <w:left w:val="none" w:sz="0" w:space="0" w:color="auto"/>
        <w:bottom w:val="none" w:sz="0" w:space="0" w:color="auto"/>
        <w:right w:val="none" w:sz="0" w:space="0" w:color="auto"/>
      </w:divBdr>
    </w:div>
    <w:div w:id="1334263084">
      <w:bodyDiv w:val="1"/>
      <w:marLeft w:val="0"/>
      <w:marRight w:val="0"/>
      <w:marTop w:val="0"/>
      <w:marBottom w:val="0"/>
      <w:divBdr>
        <w:top w:val="none" w:sz="0" w:space="0" w:color="auto"/>
        <w:left w:val="none" w:sz="0" w:space="0" w:color="auto"/>
        <w:bottom w:val="none" w:sz="0" w:space="0" w:color="auto"/>
        <w:right w:val="none" w:sz="0" w:space="0" w:color="auto"/>
      </w:divBdr>
    </w:div>
    <w:div w:id="1487043881">
      <w:bodyDiv w:val="1"/>
      <w:marLeft w:val="0"/>
      <w:marRight w:val="0"/>
      <w:marTop w:val="0"/>
      <w:marBottom w:val="0"/>
      <w:divBdr>
        <w:top w:val="none" w:sz="0" w:space="0" w:color="auto"/>
        <w:left w:val="none" w:sz="0" w:space="0" w:color="auto"/>
        <w:bottom w:val="none" w:sz="0" w:space="0" w:color="auto"/>
        <w:right w:val="none" w:sz="0" w:space="0" w:color="auto"/>
      </w:divBdr>
    </w:div>
    <w:div w:id="1487622938">
      <w:bodyDiv w:val="1"/>
      <w:marLeft w:val="0"/>
      <w:marRight w:val="0"/>
      <w:marTop w:val="0"/>
      <w:marBottom w:val="0"/>
      <w:divBdr>
        <w:top w:val="none" w:sz="0" w:space="0" w:color="auto"/>
        <w:left w:val="none" w:sz="0" w:space="0" w:color="auto"/>
        <w:bottom w:val="none" w:sz="0" w:space="0" w:color="auto"/>
        <w:right w:val="none" w:sz="0" w:space="0" w:color="auto"/>
      </w:divBdr>
    </w:div>
    <w:div w:id="1502115032">
      <w:bodyDiv w:val="1"/>
      <w:marLeft w:val="0"/>
      <w:marRight w:val="0"/>
      <w:marTop w:val="0"/>
      <w:marBottom w:val="0"/>
      <w:divBdr>
        <w:top w:val="none" w:sz="0" w:space="0" w:color="auto"/>
        <w:left w:val="none" w:sz="0" w:space="0" w:color="auto"/>
        <w:bottom w:val="none" w:sz="0" w:space="0" w:color="auto"/>
        <w:right w:val="none" w:sz="0" w:space="0" w:color="auto"/>
      </w:divBdr>
    </w:div>
    <w:div w:id="1549102824">
      <w:bodyDiv w:val="1"/>
      <w:marLeft w:val="0"/>
      <w:marRight w:val="0"/>
      <w:marTop w:val="0"/>
      <w:marBottom w:val="0"/>
      <w:divBdr>
        <w:top w:val="none" w:sz="0" w:space="0" w:color="auto"/>
        <w:left w:val="none" w:sz="0" w:space="0" w:color="auto"/>
        <w:bottom w:val="none" w:sz="0" w:space="0" w:color="auto"/>
        <w:right w:val="none" w:sz="0" w:space="0" w:color="auto"/>
      </w:divBdr>
    </w:div>
    <w:div w:id="1583100628">
      <w:bodyDiv w:val="1"/>
      <w:marLeft w:val="0"/>
      <w:marRight w:val="0"/>
      <w:marTop w:val="0"/>
      <w:marBottom w:val="0"/>
      <w:divBdr>
        <w:top w:val="none" w:sz="0" w:space="0" w:color="auto"/>
        <w:left w:val="none" w:sz="0" w:space="0" w:color="auto"/>
        <w:bottom w:val="none" w:sz="0" w:space="0" w:color="auto"/>
        <w:right w:val="none" w:sz="0" w:space="0" w:color="auto"/>
      </w:divBdr>
    </w:div>
    <w:div w:id="1590962111">
      <w:bodyDiv w:val="1"/>
      <w:marLeft w:val="0"/>
      <w:marRight w:val="0"/>
      <w:marTop w:val="0"/>
      <w:marBottom w:val="0"/>
      <w:divBdr>
        <w:top w:val="none" w:sz="0" w:space="0" w:color="auto"/>
        <w:left w:val="none" w:sz="0" w:space="0" w:color="auto"/>
        <w:bottom w:val="none" w:sz="0" w:space="0" w:color="auto"/>
        <w:right w:val="none" w:sz="0" w:space="0" w:color="auto"/>
      </w:divBdr>
    </w:div>
    <w:div w:id="1639412574">
      <w:bodyDiv w:val="1"/>
      <w:marLeft w:val="0"/>
      <w:marRight w:val="0"/>
      <w:marTop w:val="0"/>
      <w:marBottom w:val="0"/>
      <w:divBdr>
        <w:top w:val="none" w:sz="0" w:space="0" w:color="auto"/>
        <w:left w:val="none" w:sz="0" w:space="0" w:color="auto"/>
        <w:bottom w:val="none" w:sz="0" w:space="0" w:color="auto"/>
        <w:right w:val="none" w:sz="0" w:space="0" w:color="auto"/>
      </w:divBdr>
    </w:div>
    <w:div w:id="1742438200">
      <w:bodyDiv w:val="1"/>
      <w:marLeft w:val="0"/>
      <w:marRight w:val="0"/>
      <w:marTop w:val="0"/>
      <w:marBottom w:val="0"/>
      <w:divBdr>
        <w:top w:val="none" w:sz="0" w:space="0" w:color="auto"/>
        <w:left w:val="none" w:sz="0" w:space="0" w:color="auto"/>
        <w:bottom w:val="none" w:sz="0" w:space="0" w:color="auto"/>
        <w:right w:val="none" w:sz="0" w:space="0" w:color="auto"/>
      </w:divBdr>
    </w:div>
    <w:div w:id="1771126211">
      <w:bodyDiv w:val="1"/>
      <w:marLeft w:val="0"/>
      <w:marRight w:val="0"/>
      <w:marTop w:val="0"/>
      <w:marBottom w:val="0"/>
      <w:divBdr>
        <w:top w:val="none" w:sz="0" w:space="0" w:color="auto"/>
        <w:left w:val="none" w:sz="0" w:space="0" w:color="auto"/>
        <w:bottom w:val="none" w:sz="0" w:space="0" w:color="auto"/>
        <w:right w:val="none" w:sz="0" w:space="0" w:color="auto"/>
      </w:divBdr>
    </w:div>
    <w:div w:id="1772041353">
      <w:bodyDiv w:val="1"/>
      <w:marLeft w:val="0"/>
      <w:marRight w:val="0"/>
      <w:marTop w:val="0"/>
      <w:marBottom w:val="0"/>
      <w:divBdr>
        <w:top w:val="none" w:sz="0" w:space="0" w:color="auto"/>
        <w:left w:val="none" w:sz="0" w:space="0" w:color="auto"/>
        <w:bottom w:val="none" w:sz="0" w:space="0" w:color="auto"/>
        <w:right w:val="none" w:sz="0" w:space="0" w:color="auto"/>
      </w:divBdr>
    </w:div>
    <w:div w:id="1801655854">
      <w:bodyDiv w:val="1"/>
      <w:marLeft w:val="0"/>
      <w:marRight w:val="0"/>
      <w:marTop w:val="0"/>
      <w:marBottom w:val="0"/>
      <w:divBdr>
        <w:top w:val="none" w:sz="0" w:space="0" w:color="auto"/>
        <w:left w:val="none" w:sz="0" w:space="0" w:color="auto"/>
        <w:bottom w:val="none" w:sz="0" w:space="0" w:color="auto"/>
        <w:right w:val="none" w:sz="0" w:space="0" w:color="auto"/>
      </w:divBdr>
    </w:div>
    <w:div w:id="1811746916">
      <w:bodyDiv w:val="1"/>
      <w:marLeft w:val="0"/>
      <w:marRight w:val="0"/>
      <w:marTop w:val="0"/>
      <w:marBottom w:val="0"/>
      <w:divBdr>
        <w:top w:val="none" w:sz="0" w:space="0" w:color="auto"/>
        <w:left w:val="none" w:sz="0" w:space="0" w:color="auto"/>
        <w:bottom w:val="none" w:sz="0" w:space="0" w:color="auto"/>
        <w:right w:val="none" w:sz="0" w:space="0" w:color="auto"/>
      </w:divBdr>
    </w:div>
    <w:div w:id="1893152789">
      <w:bodyDiv w:val="1"/>
      <w:marLeft w:val="0"/>
      <w:marRight w:val="0"/>
      <w:marTop w:val="0"/>
      <w:marBottom w:val="0"/>
      <w:divBdr>
        <w:top w:val="none" w:sz="0" w:space="0" w:color="auto"/>
        <w:left w:val="none" w:sz="0" w:space="0" w:color="auto"/>
        <w:bottom w:val="none" w:sz="0" w:space="0" w:color="auto"/>
        <w:right w:val="none" w:sz="0" w:space="0" w:color="auto"/>
      </w:divBdr>
    </w:div>
    <w:div w:id="1999533130">
      <w:bodyDiv w:val="1"/>
      <w:marLeft w:val="0"/>
      <w:marRight w:val="0"/>
      <w:marTop w:val="0"/>
      <w:marBottom w:val="0"/>
      <w:divBdr>
        <w:top w:val="none" w:sz="0" w:space="0" w:color="auto"/>
        <w:left w:val="none" w:sz="0" w:space="0" w:color="auto"/>
        <w:bottom w:val="none" w:sz="0" w:space="0" w:color="auto"/>
        <w:right w:val="none" w:sz="0" w:space="0" w:color="auto"/>
      </w:divBdr>
    </w:div>
    <w:div w:id="2065523442">
      <w:bodyDiv w:val="1"/>
      <w:marLeft w:val="0"/>
      <w:marRight w:val="0"/>
      <w:marTop w:val="0"/>
      <w:marBottom w:val="0"/>
      <w:divBdr>
        <w:top w:val="none" w:sz="0" w:space="0" w:color="auto"/>
        <w:left w:val="none" w:sz="0" w:space="0" w:color="auto"/>
        <w:bottom w:val="none" w:sz="0" w:space="0" w:color="auto"/>
        <w:right w:val="none" w:sz="0" w:space="0" w:color="auto"/>
      </w:divBdr>
    </w:div>
    <w:div w:id="2066247060">
      <w:bodyDiv w:val="1"/>
      <w:marLeft w:val="0"/>
      <w:marRight w:val="0"/>
      <w:marTop w:val="0"/>
      <w:marBottom w:val="0"/>
      <w:divBdr>
        <w:top w:val="none" w:sz="0" w:space="0" w:color="auto"/>
        <w:left w:val="none" w:sz="0" w:space="0" w:color="auto"/>
        <w:bottom w:val="none" w:sz="0" w:space="0" w:color="auto"/>
        <w:right w:val="none" w:sz="0" w:space="0" w:color="auto"/>
      </w:divBdr>
    </w:div>
    <w:div w:id="2066566480">
      <w:bodyDiv w:val="1"/>
      <w:marLeft w:val="0"/>
      <w:marRight w:val="0"/>
      <w:marTop w:val="0"/>
      <w:marBottom w:val="0"/>
      <w:divBdr>
        <w:top w:val="none" w:sz="0" w:space="0" w:color="auto"/>
        <w:left w:val="none" w:sz="0" w:space="0" w:color="auto"/>
        <w:bottom w:val="none" w:sz="0" w:space="0" w:color="auto"/>
        <w:right w:val="none" w:sz="0" w:space="0" w:color="auto"/>
      </w:divBdr>
    </w:div>
    <w:div w:id="2073120240">
      <w:bodyDiv w:val="1"/>
      <w:marLeft w:val="0"/>
      <w:marRight w:val="0"/>
      <w:marTop w:val="0"/>
      <w:marBottom w:val="0"/>
      <w:divBdr>
        <w:top w:val="none" w:sz="0" w:space="0" w:color="auto"/>
        <w:left w:val="none" w:sz="0" w:space="0" w:color="auto"/>
        <w:bottom w:val="none" w:sz="0" w:space="0" w:color="auto"/>
        <w:right w:val="none" w:sz="0" w:space="0" w:color="auto"/>
      </w:divBdr>
    </w:div>
    <w:div w:id="2102217638">
      <w:bodyDiv w:val="1"/>
      <w:marLeft w:val="0"/>
      <w:marRight w:val="0"/>
      <w:marTop w:val="0"/>
      <w:marBottom w:val="0"/>
      <w:divBdr>
        <w:top w:val="none" w:sz="0" w:space="0" w:color="auto"/>
        <w:left w:val="none" w:sz="0" w:space="0" w:color="auto"/>
        <w:bottom w:val="none" w:sz="0" w:space="0" w:color="auto"/>
        <w:right w:val="none" w:sz="0" w:space="0" w:color="auto"/>
      </w:divBdr>
    </w:div>
    <w:div w:id="2114128747">
      <w:bodyDiv w:val="1"/>
      <w:marLeft w:val="0"/>
      <w:marRight w:val="0"/>
      <w:marTop w:val="0"/>
      <w:marBottom w:val="0"/>
      <w:divBdr>
        <w:top w:val="none" w:sz="0" w:space="0" w:color="auto"/>
        <w:left w:val="none" w:sz="0" w:space="0" w:color="auto"/>
        <w:bottom w:val="none" w:sz="0" w:space="0" w:color="auto"/>
        <w:right w:val="none" w:sz="0" w:space="0" w:color="auto"/>
      </w:divBdr>
    </w:div>
    <w:div w:id="21246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2017 revaluation</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616D20D4945841928F8ECBC3D16C5F" ma:contentTypeVersion="0" ma:contentTypeDescription="Create a new document." ma:contentTypeScope="" ma:versionID="960209716a62bcb3eb3a164ad48bcbe0">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7AF68-B097-4B97-BBA5-F6E36F02261D}"/>
</file>

<file path=customXml/itemProps2.xml><?xml version="1.0" encoding="utf-8"?>
<ds:datastoreItem xmlns:ds="http://schemas.openxmlformats.org/officeDocument/2006/customXml" ds:itemID="{79943B6A-7FC9-45FA-BF15-E90A82EDC486}"/>
</file>

<file path=customXml/itemProps3.xml><?xml version="1.0" encoding="utf-8"?>
<ds:datastoreItem xmlns:ds="http://schemas.openxmlformats.org/officeDocument/2006/customXml" ds:itemID="{D3D9DC36-3786-4A0A-8EF1-5274B5572DD6}"/>
</file>

<file path=customXml/itemProps4.xml><?xml version="1.0" encoding="utf-8"?>
<ds:datastoreItem xmlns:ds="http://schemas.openxmlformats.org/officeDocument/2006/customXml" ds:itemID="{DBC6537A-1FD5-4BF8-8327-6FF9AD8FCBD3}"/>
</file>

<file path=docProps/app.xml><?xml version="1.0" encoding="utf-8"?>
<Properties xmlns="http://schemas.openxmlformats.org/officeDocument/2006/extended-properties" xmlns:vt="http://schemas.openxmlformats.org/officeDocument/2006/docPropsVTypes">
  <Template>D83923CB</Template>
  <TotalTime>142</TotalTime>
  <Pages>2</Pages>
  <Words>548</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Mike Heiser</cp:lastModifiedBy>
  <cp:revision>7</cp:revision>
  <cp:lastPrinted>2015-11-17T10:33:00Z</cp:lastPrinted>
  <dcterms:created xsi:type="dcterms:W3CDTF">2016-10-10T14:29:00Z</dcterms:created>
  <dcterms:modified xsi:type="dcterms:W3CDTF">2016-10-26T09:21:00Z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0x010100B3616D20D4945841928F8ECBC3D16C5F</vt:lpwstr>
  </property>
  <property fmtid="{D5CDD505-2E9C-101B-9397-08002B2CF9AE}" pid="16" name="TaxKeyword">
    <vt:lpwstr/>
  </property>
  <property fmtid="{D5CDD505-2E9C-101B-9397-08002B2CF9AE}" pid="17" name="WorkflowChangePath">
    <vt:lpwstr>eaf71be1-9398-4955-9d49-ef6304b2b2cb,3;eaf71be1-9398-4955-9d49-ef6304b2b2cb,6;eaf71be1-9398-4955-9d49-ef6304b2b2cb,9;</vt:lpwstr>
  </property>
</Properties>
</file>