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523E" w14:textId="77777777" w:rsidR="009A4F82" w:rsidRDefault="009A4F82" w:rsidP="009A4F8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69F1B12" wp14:editId="6FF4187E">
            <wp:extent cx="5731510" cy="3223895"/>
            <wp:effectExtent l="0" t="0" r="2540" b="0"/>
            <wp:docPr id="1324154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154993" name="Picture 13241549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FBE11" w14:textId="77777777" w:rsidR="009A4F82" w:rsidRDefault="009A4F82" w:rsidP="009A4F82">
      <w:pPr>
        <w:rPr>
          <w:b/>
          <w:bCs/>
        </w:rPr>
      </w:pPr>
    </w:p>
    <w:p w14:paraId="290D57C8" w14:textId="1839298F" w:rsidR="009A4F82" w:rsidRPr="009A4F82" w:rsidRDefault="009A4F82" w:rsidP="009A4F82">
      <w:pPr>
        <w:rPr>
          <w:b/>
          <w:bCs/>
          <w:sz w:val="28"/>
          <w:szCs w:val="28"/>
        </w:rPr>
      </w:pPr>
      <w:r w:rsidRPr="009A4F82">
        <w:rPr>
          <w:b/>
          <w:bCs/>
          <w:sz w:val="28"/>
          <w:szCs w:val="28"/>
        </w:rPr>
        <w:t>Core Knowledge for All Staff working with families impacted by parental imprisonment</w:t>
      </w:r>
    </w:p>
    <w:p w14:paraId="7FED549E" w14:textId="77777777" w:rsidR="009A4F82" w:rsidRPr="00C76E39" w:rsidRDefault="009A4F82" w:rsidP="009A4F82">
      <w:r w:rsidRPr="00C76E39">
        <w:t>All staff working within Family Hubs and partner organisations should have a shared baseline understanding to ensure consistent, high-quality support.</w:t>
      </w:r>
    </w:p>
    <w:p w14:paraId="4ED41DBF" w14:textId="77777777" w:rsidR="009A4F82" w:rsidRPr="00C76E39" w:rsidRDefault="009A4F82" w:rsidP="009A4F82">
      <w:pPr>
        <w:rPr>
          <w:b/>
          <w:bCs/>
        </w:rPr>
      </w:pPr>
      <w:r w:rsidRPr="00C76E39">
        <w:rPr>
          <w:b/>
          <w:bCs/>
        </w:rPr>
        <w:t>Impact of imprisonment on children</w:t>
      </w:r>
    </w:p>
    <w:p w14:paraId="3A85F50A" w14:textId="77777777" w:rsidR="009A4F82" w:rsidRPr="00C76E39" w:rsidRDefault="009A4F82" w:rsidP="009A4F82">
      <w:r w:rsidRPr="00C76E39">
        <w:t>Practitioners should understand:</w:t>
      </w:r>
    </w:p>
    <w:p w14:paraId="40165381" w14:textId="77777777" w:rsidR="009A4F82" w:rsidRPr="00C76E39" w:rsidRDefault="009A4F82" w:rsidP="009A4F82">
      <w:pPr>
        <w:numPr>
          <w:ilvl w:val="0"/>
          <w:numId w:val="1"/>
        </w:numPr>
      </w:pPr>
      <w:r w:rsidRPr="00C76E39">
        <w:t>The emotional impact (e.g. anxiety, shame, grief, confusion)</w:t>
      </w:r>
    </w:p>
    <w:p w14:paraId="338E51A8" w14:textId="77777777" w:rsidR="009A4F82" w:rsidRPr="00C76E39" w:rsidRDefault="009A4F82" w:rsidP="009A4F82">
      <w:pPr>
        <w:numPr>
          <w:ilvl w:val="0"/>
          <w:numId w:val="1"/>
        </w:numPr>
      </w:pPr>
      <w:r w:rsidRPr="00C76E39">
        <w:t>Behavioural responses (e.g. withdrawal, anger, disengagement)</w:t>
      </w:r>
    </w:p>
    <w:p w14:paraId="75DF730B" w14:textId="77777777" w:rsidR="009A4F82" w:rsidRPr="00C76E39" w:rsidRDefault="009A4F82" w:rsidP="009A4F82">
      <w:pPr>
        <w:numPr>
          <w:ilvl w:val="0"/>
          <w:numId w:val="1"/>
        </w:numPr>
      </w:pPr>
      <w:r w:rsidRPr="00C76E39">
        <w:t>Effects on development, learning, and school readiness</w:t>
      </w:r>
    </w:p>
    <w:p w14:paraId="184D651C" w14:textId="77777777" w:rsidR="009A4F82" w:rsidRPr="00C76E39" w:rsidRDefault="009A4F82" w:rsidP="009A4F82">
      <w:pPr>
        <w:numPr>
          <w:ilvl w:val="0"/>
          <w:numId w:val="1"/>
        </w:numPr>
      </w:pPr>
      <w:r w:rsidRPr="00C76E39">
        <w:t>The wider context of instability, poverty, and disrupted routines</w:t>
      </w:r>
    </w:p>
    <w:p w14:paraId="6C2C9D3D" w14:textId="77777777" w:rsidR="009A4F82" w:rsidRPr="00C76E39" w:rsidRDefault="009A4F82" w:rsidP="009A4F82">
      <w:r w:rsidRPr="00C76E39">
        <w:rPr>
          <w:b/>
          <w:bCs/>
        </w:rPr>
        <w:t>What this means in practice:</w:t>
      </w:r>
    </w:p>
    <w:p w14:paraId="0699249A" w14:textId="77777777" w:rsidR="009A4F82" w:rsidRPr="00C76E39" w:rsidRDefault="009A4F82" w:rsidP="009A4F82">
      <w:pPr>
        <w:numPr>
          <w:ilvl w:val="0"/>
          <w:numId w:val="2"/>
        </w:numPr>
      </w:pPr>
      <w:r w:rsidRPr="00C76E39">
        <w:t>Recognising signs that may indicate parental imprisonment</w:t>
      </w:r>
    </w:p>
    <w:p w14:paraId="3C1DC9BD" w14:textId="77777777" w:rsidR="009A4F82" w:rsidRPr="00C76E39" w:rsidRDefault="009A4F82" w:rsidP="009A4F82">
      <w:pPr>
        <w:numPr>
          <w:ilvl w:val="0"/>
          <w:numId w:val="2"/>
        </w:numPr>
      </w:pPr>
      <w:r w:rsidRPr="00C76E39">
        <w:t>Interpreting behaviour as a potential response to trauma</w:t>
      </w:r>
    </w:p>
    <w:p w14:paraId="5DD12E6D" w14:textId="77777777" w:rsidR="009A4F82" w:rsidRPr="00C76E39" w:rsidRDefault="009A4F82" w:rsidP="009A4F82">
      <w:pPr>
        <w:numPr>
          <w:ilvl w:val="0"/>
          <w:numId w:val="2"/>
        </w:numPr>
      </w:pPr>
      <w:r w:rsidRPr="00C76E39">
        <w:t>Responding in ways that are supportive rather than punitive</w:t>
      </w:r>
    </w:p>
    <w:p w14:paraId="3CEEF27A" w14:textId="77777777" w:rsidR="009A4F82" w:rsidRPr="00C76E39" w:rsidRDefault="00000000" w:rsidP="009A4F82">
      <w:r>
        <w:pict w14:anchorId="47A0F8E8">
          <v:rect id="_x0000_i1025" style="width:0;height:1.5pt" o:hralign="center" o:hrstd="t" o:hr="t" fillcolor="#a0a0a0" stroked="f"/>
        </w:pict>
      </w:r>
    </w:p>
    <w:p w14:paraId="35D8F4DC" w14:textId="77777777" w:rsidR="009A4F82" w:rsidRPr="00C76E39" w:rsidRDefault="009A4F82" w:rsidP="009A4F82">
      <w:pPr>
        <w:rPr>
          <w:b/>
          <w:bCs/>
        </w:rPr>
      </w:pPr>
      <w:r w:rsidRPr="00C76E39">
        <w:rPr>
          <w:b/>
          <w:bCs/>
        </w:rPr>
        <w:t>2. Trauma-informed practice</w:t>
      </w:r>
    </w:p>
    <w:p w14:paraId="5F365AC9" w14:textId="77777777" w:rsidR="009A4F82" w:rsidRPr="00C76E39" w:rsidRDefault="009A4F82" w:rsidP="009A4F82">
      <w:r w:rsidRPr="00C76E39">
        <w:t>All staff should apply trauma-informed approaches, including:</w:t>
      </w:r>
    </w:p>
    <w:p w14:paraId="4345BA12" w14:textId="77777777" w:rsidR="009A4F82" w:rsidRPr="00C76E39" w:rsidRDefault="009A4F82" w:rsidP="009A4F82">
      <w:pPr>
        <w:numPr>
          <w:ilvl w:val="0"/>
          <w:numId w:val="3"/>
        </w:numPr>
      </w:pPr>
      <w:r w:rsidRPr="00C76E39">
        <w:lastRenderedPageBreak/>
        <w:t>Understanding how trauma affects development and behaviour</w:t>
      </w:r>
    </w:p>
    <w:p w14:paraId="65001157" w14:textId="77777777" w:rsidR="009A4F82" w:rsidRPr="00C76E39" w:rsidRDefault="009A4F82" w:rsidP="009A4F82">
      <w:pPr>
        <w:numPr>
          <w:ilvl w:val="0"/>
          <w:numId w:val="3"/>
        </w:numPr>
      </w:pPr>
      <w:r w:rsidRPr="00C76E39">
        <w:t>Creating safe, predictable, and trusting environments</w:t>
      </w:r>
    </w:p>
    <w:p w14:paraId="4EA6176A" w14:textId="77777777" w:rsidR="009A4F82" w:rsidRPr="00C76E39" w:rsidRDefault="009A4F82" w:rsidP="009A4F82">
      <w:pPr>
        <w:numPr>
          <w:ilvl w:val="0"/>
          <w:numId w:val="3"/>
        </w:numPr>
      </w:pPr>
      <w:r w:rsidRPr="00C76E39">
        <w:t>Avoiding re-traumatisation through language or processes</w:t>
      </w:r>
    </w:p>
    <w:p w14:paraId="54DD0B0F" w14:textId="77777777" w:rsidR="009A4F82" w:rsidRPr="00C76E39" w:rsidRDefault="009A4F82" w:rsidP="009A4F82">
      <w:r w:rsidRPr="00C76E39">
        <w:rPr>
          <w:b/>
          <w:bCs/>
        </w:rPr>
        <w:t>What this means in practice:</w:t>
      </w:r>
    </w:p>
    <w:p w14:paraId="3EFE1837" w14:textId="77777777" w:rsidR="009A4F82" w:rsidRPr="00C76E39" w:rsidRDefault="009A4F82" w:rsidP="009A4F82">
      <w:pPr>
        <w:numPr>
          <w:ilvl w:val="0"/>
          <w:numId w:val="4"/>
        </w:numPr>
      </w:pPr>
      <w:r w:rsidRPr="00C76E39">
        <w:t>Using calm, consistent communication</w:t>
      </w:r>
    </w:p>
    <w:p w14:paraId="34F3C0AF" w14:textId="77777777" w:rsidR="009A4F82" w:rsidRPr="00C76E39" w:rsidRDefault="009A4F82" w:rsidP="009A4F82">
      <w:pPr>
        <w:numPr>
          <w:ilvl w:val="0"/>
          <w:numId w:val="4"/>
        </w:numPr>
      </w:pPr>
      <w:r w:rsidRPr="00C76E39">
        <w:t>Building strong, trusting relationships over time</w:t>
      </w:r>
    </w:p>
    <w:p w14:paraId="0633D717" w14:textId="77777777" w:rsidR="009A4F82" w:rsidRPr="00C76E39" w:rsidRDefault="009A4F82" w:rsidP="009A4F82">
      <w:pPr>
        <w:numPr>
          <w:ilvl w:val="0"/>
          <w:numId w:val="4"/>
        </w:numPr>
      </w:pPr>
      <w:r w:rsidRPr="00C76E39">
        <w:t>Adapting support to the child’s emotional needs</w:t>
      </w:r>
    </w:p>
    <w:p w14:paraId="0DCF34D9" w14:textId="77777777" w:rsidR="009A4F82" w:rsidRPr="00C76E39" w:rsidRDefault="00000000" w:rsidP="009A4F82">
      <w:r>
        <w:pict w14:anchorId="0579B47A">
          <v:rect id="_x0000_i1026" style="width:0;height:1.5pt" o:hralign="center" o:hrstd="t" o:hr="t" fillcolor="#a0a0a0" stroked="f"/>
        </w:pict>
      </w:r>
    </w:p>
    <w:p w14:paraId="612B11BE" w14:textId="77777777" w:rsidR="009A4F82" w:rsidRPr="00C76E39" w:rsidRDefault="009A4F82" w:rsidP="009A4F82">
      <w:pPr>
        <w:rPr>
          <w:b/>
          <w:bCs/>
        </w:rPr>
      </w:pPr>
      <w:r w:rsidRPr="00C76E39">
        <w:rPr>
          <w:b/>
          <w:bCs/>
        </w:rPr>
        <w:t>3. Reducing stigma</w:t>
      </w:r>
    </w:p>
    <w:p w14:paraId="4C54869B" w14:textId="77777777" w:rsidR="009A4F82" w:rsidRPr="00C76E39" w:rsidRDefault="009A4F82" w:rsidP="009A4F82">
      <w:r w:rsidRPr="00C76E39">
        <w:t>Practitioners must actively challenge stigma and ensure families feel safe accessing support.</w:t>
      </w:r>
    </w:p>
    <w:p w14:paraId="61BCC751" w14:textId="77777777" w:rsidR="009A4F82" w:rsidRPr="00C76E39" w:rsidRDefault="009A4F82" w:rsidP="009A4F82">
      <w:r w:rsidRPr="00C76E39">
        <w:t>This includes:</w:t>
      </w:r>
    </w:p>
    <w:p w14:paraId="2237548E" w14:textId="77777777" w:rsidR="009A4F82" w:rsidRPr="00C76E39" w:rsidRDefault="009A4F82" w:rsidP="009A4F82">
      <w:pPr>
        <w:numPr>
          <w:ilvl w:val="0"/>
          <w:numId w:val="5"/>
        </w:numPr>
      </w:pPr>
      <w:r w:rsidRPr="00C76E39">
        <w:t>Using non-judgemental language</w:t>
      </w:r>
    </w:p>
    <w:p w14:paraId="3FB3952A" w14:textId="77777777" w:rsidR="009A4F82" w:rsidRPr="00C76E39" w:rsidRDefault="009A4F82" w:rsidP="009A4F82">
      <w:pPr>
        <w:numPr>
          <w:ilvl w:val="0"/>
          <w:numId w:val="5"/>
        </w:numPr>
      </w:pPr>
      <w:r w:rsidRPr="00C76E39">
        <w:t>Avoiding labels or assumptions</w:t>
      </w:r>
    </w:p>
    <w:p w14:paraId="676E5455" w14:textId="77777777" w:rsidR="009A4F82" w:rsidRPr="00C76E39" w:rsidRDefault="009A4F82" w:rsidP="009A4F82">
      <w:pPr>
        <w:numPr>
          <w:ilvl w:val="0"/>
          <w:numId w:val="5"/>
        </w:numPr>
      </w:pPr>
      <w:r w:rsidRPr="00C76E39">
        <w:t>Promoting dignity, respect, and inclusion</w:t>
      </w:r>
    </w:p>
    <w:p w14:paraId="0EA6262F" w14:textId="77777777" w:rsidR="009A4F82" w:rsidRPr="00C76E39" w:rsidRDefault="009A4F82" w:rsidP="009A4F82">
      <w:r w:rsidRPr="00C76E39">
        <w:rPr>
          <w:b/>
          <w:bCs/>
        </w:rPr>
        <w:t>What this means in practice:</w:t>
      </w:r>
    </w:p>
    <w:p w14:paraId="1713A2BB" w14:textId="77777777" w:rsidR="009A4F82" w:rsidRPr="00C76E39" w:rsidRDefault="009A4F82" w:rsidP="009A4F82">
      <w:pPr>
        <w:numPr>
          <w:ilvl w:val="0"/>
          <w:numId w:val="6"/>
        </w:numPr>
      </w:pPr>
      <w:r w:rsidRPr="00C76E39">
        <w:t>Creating environments where families feel welcomed and understood</w:t>
      </w:r>
    </w:p>
    <w:p w14:paraId="6756A89D" w14:textId="77777777" w:rsidR="009A4F82" w:rsidRPr="00C76E39" w:rsidRDefault="009A4F82" w:rsidP="009A4F82">
      <w:pPr>
        <w:numPr>
          <w:ilvl w:val="0"/>
          <w:numId w:val="6"/>
        </w:numPr>
      </w:pPr>
      <w:r w:rsidRPr="00C76E39">
        <w:t>Supporting children to feel confident and not defined by their circumstances</w:t>
      </w:r>
    </w:p>
    <w:p w14:paraId="028F7039" w14:textId="77777777" w:rsidR="009A4F82" w:rsidRPr="00C76E39" w:rsidRDefault="009A4F82" w:rsidP="009A4F82">
      <w:pPr>
        <w:numPr>
          <w:ilvl w:val="0"/>
          <w:numId w:val="6"/>
        </w:numPr>
      </w:pPr>
      <w:r w:rsidRPr="00C76E39">
        <w:t>Ensuring services are accessible without fear of judgement</w:t>
      </w:r>
    </w:p>
    <w:p w14:paraId="4B431EAB" w14:textId="77777777" w:rsidR="00CA5BEC" w:rsidRDefault="00CA5BEC"/>
    <w:sectPr w:rsidR="00CA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766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4476A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B30EB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B16D1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E7333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786650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024019">
    <w:abstractNumId w:val="0"/>
  </w:num>
  <w:num w:numId="2" w16cid:durableId="337856426">
    <w:abstractNumId w:val="3"/>
  </w:num>
  <w:num w:numId="3" w16cid:durableId="1924683134">
    <w:abstractNumId w:val="1"/>
  </w:num>
  <w:num w:numId="4" w16cid:durableId="1530728111">
    <w:abstractNumId w:val="5"/>
  </w:num>
  <w:num w:numId="5" w16cid:durableId="696201947">
    <w:abstractNumId w:val="4"/>
  </w:num>
  <w:num w:numId="6" w16cid:durableId="1576353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82"/>
    <w:rsid w:val="001F3939"/>
    <w:rsid w:val="00750E67"/>
    <w:rsid w:val="00750F2C"/>
    <w:rsid w:val="008C5029"/>
    <w:rsid w:val="009A4F82"/>
    <w:rsid w:val="00C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96B05"/>
  <w15:chartTrackingRefBased/>
  <w15:docId w15:val="{5E5F5EE7-6696-4F31-8ABE-9F18E9A8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F82"/>
  </w:style>
  <w:style w:type="paragraph" w:styleId="Heading1">
    <w:name w:val="heading 1"/>
    <w:basedOn w:val="Normal"/>
    <w:next w:val="Normal"/>
    <w:link w:val="Heading1Char"/>
    <w:uiPriority w:val="9"/>
    <w:qFormat/>
    <w:rsid w:val="009A4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Props1.xml><?xml version="1.0" encoding="utf-8"?>
<ds:datastoreItem xmlns:ds="http://schemas.openxmlformats.org/officeDocument/2006/customXml" ds:itemID="{32CD87A5-09EB-478D-BBEE-03B604F3E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AB44C-D8FA-4852-9273-903EB39C7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994A90-C7AA-43A1-8062-59D341F75306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2026-06-23T10:16:00Z</dcterms:created>
  <dcterms:modified xsi:type="dcterms:W3CDTF">2026-06-23T10:16:00Z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</Properties>
</file>