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30A7" w14:textId="66855413" w:rsidR="00AE5D58" w:rsidRPr="00D7195D" w:rsidRDefault="00AE5D58" w:rsidP="0012740E">
      <w:pPr>
        <w:pStyle w:val="Heading1"/>
      </w:pPr>
      <w:r w:rsidRPr="00D7195D">
        <w:t>Enabler 1 Culture and leadership</w:t>
      </w:r>
    </w:p>
    <w:tbl>
      <w:tblPr>
        <w:tblpPr w:leftFromText="180" w:rightFromText="180" w:vertAnchor="page" w:horzAnchor="page" w:tblpX="1931" w:tblpY="4349"/>
        <w:tblW w:w="5000" w:type="pct"/>
        <w:tblCellMar>
          <w:left w:w="0" w:type="dxa"/>
          <w:right w:w="0" w:type="dxa"/>
        </w:tblCellMar>
        <w:tblLook w:val="0420" w:firstRow="1" w:lastRow="0" w:firstColumn="0" w:lastColumn="0" w:noHBand="0" w:noVBand="1"/>
      </w:tblPr>
      <w:tblGrid>
        <w:gridCol w:w="1596"/>
        <w:gridCol w:w="2105"/>
        <w:gridCol w:w="1961"/>
        <w:gridCol w:w="2708"/>
        <w:gridCol w:w="2583"/>
        <w:gridCol w:w="2987"/>
      </w:tblGrid>
      <w:tr w:rsidR="0012740E" w:rsidRPr="0012740E" w14:paraId="289A88B5" w14:textId="77777777" w:rsidTr="007238D3">
        <w:trPr>
          <w:trHeight w:val="420"/>
        </w:trPr>
        <w:tc>
          <w:tcPr>
            <w:tcW w:w="534" w:type="pct"/>
            <w:tcBorders>
              <w:top w:val="single" w:sz="8" w:space="0" w:color="FFFFFF"/>
              <w:left w:val="single" w:sz="8" w:space="0" w:color="FFFFFF"/>
              <w:bottom w:val="single" w:sz="24" w:space="0" w:color="FFFFFF"/>
              <w:right w:val="single" w:sz="8" w:space="0" w:color="FFFFFF"/>
            </w:tcBorders>
            <w:shd w:val="clear" w:color="auto" w:fill="0B768C"/>
            <w:tcMar>
              <w:top w:w="72" w:type="dxa"/>
              <w:left w:w="144" w:type="dxa"/>
              <w:bottom w:w="72" w:type="dxa"/>
              <w:right w:w="144" w:type="dxa"/>
            </w:tcMar>
            <w:vAlign w:val="center"/>
            <w:hideMark/>
          </w:tcPr>
          <w:p w14:paraId="07C5E261" w14:textId="77777777" w:rsidR="00AE5D58" w:rsidRPr="0012740E" w:rsidRDefault="00AE5D58" w:rsidP="0012740E">
            <w:pPr>
              <w:pStyle w:val="Heading2"/>
              <w:rPr>
                <w:color w:val="FFFFFF" w:themeColor="background1"/>
              </w:rPr>
            </w:pPr>
            <w:r w:rsidRPr="0012740E">
              <w:rPr>
                <w:color w:val="FFFFFF" w:themeColor="background1"/>
              </w:rPr>
              <w:t>Theme</w:t>
            </w:r>
          </w:p>
        </w:tc>
        <w:tc>
          <w:tcPr>
            <w:tcW w:w="763" w:type="pct"/>
            <w:tcBorders>
              <w:top w:val="single" w:sz="8" w:space="0" w:color="FFFFFF"/>
              <w:left w:val="single" w:sz="8" w:space="0" w:color="FFFFFF"/>
              <w:bottom w:val="single" w:sz="24" w:space="0" w:color="FFFFFF"/>
              <w:right w:val="single" w:sz="8" w:space="0" w:color="FFFFFF"/>
            </w:tcBorders>
            <w:shd w:val="clear" w:color="auto" w:fill="0B768C"/>
            <w:tcMar>
              <w:top w:w="72" w:type="dxa"/>
              <w:left w:w="144" w:type="dxa"/>
              <w:bottom w:w="72" w:type="dxa"/>
              <w:right w:w="144" w:type="dxa"/>
            </w:tcMar>
            <w:vAlign w:val="center"/>
            <w:hideMark/>
          </w:tcPr>
          <w:p w14:paraId="4D8A634D" w14:textId="77777777" w:rsidR="00AE5D58" w:rsidRPr="0012740E" w:rsidRDefault="00AE5D58" w:rsidP="0012740E">
            <w:pPr>
              <w:pStyle w:val="Heading2"/>
              <w:rPr>
                <w:color w:val="FFFFFF" w:themeColor="background1"/>
              </w:rPr>
            </w:pPr>
            <w:r w:rsidRPr="0012740E">
              <w:rPr>
                <w:color w:val="FFFFFF" w:themeColor="background1"/>
              </w:rPr>
              <w:t>Not yet established</w:t>
            </w:r>
          </w:p>
        </w:tc>
        <w:tc>
          <w:tcPr>
            <w:tcW w:w="711" w:type="pct"/>
            <w:tcBorders>
              <w:top w:val="single" w:sz="8" w:space="0" w:color="FFFFFF"/>
              <w:left w:val="single" w:sz="8" w:space="0" w:color="FFFFFF"/>
              <w:bottom w:val="single" w:sz="24" w:space="0" w:color="FFFFFF"/>
              <w:right w:val="single" w:sz="8" w:space="0" w:color="FFFFFF"/>
            </w:tcBorders>
            <w:shd w:val="clear" w:color="auto" w:fill="0B768C"/>
            <w:tcMar>
              <w:top w:w="72" w:type="dxa"/>
              <w:left w:w="144" w:type="dxa"/>
              <w:bottom w:w="72" w:type="dxa"/>
              <w:right w:w="144" w:type="dxa"/>
            </w:tcMar>
            <w:vAlign w:val="center"/>
            <w:hideMark/>
          </w:tcPr>
          <w:p w14:paraId="5110666D" w14:textId="77777777" w:rsidR="00AE5D58" w:rsidRPr="0012740E" w:rsidRDefault="00AE5D58" w:rsidP="0012740E">
            <w:pPr>
              <w:pStyle w:val="Heading2"/>
              <w:rPr>
                <w:color w:val="FFFFFF" w:themeColor="background1"/>
              </w:rPr>
            </w:pPr>
            <w:r w:rsidRPr="0012740E">
              <w:rPr>
                <w:color w:val="FFFFFF" w:themeColor="background1"/>
              </w:rPr>
              <w:t>Plans in Place</w:t>
            </w:r>
          </w:p>
        </w:tc>
        <w:tc>
          <w:tcPr>
            <w:tcW w:w="979" w:type="pct"/>
            <w:tcBorders>
              <w:top w:val="single" w:sz="8" w:space="0" w:color="FFFFFF"/>
              <w:left w:val="single" w:sz="8" w:space="0" w:color="FFFFFF"/>
              <w:bottom w:val="single" w:sz="24" w:space="0" w:color="FFFFFF"/>
              <w:right w:val="single" w:sz="8" w:space="0" w:color="FFFFFF"/>
            </w:tcBorders>
            <w:shd w:val="clear" w:color="auto" w:fill="0B768C"/>
            <w:tcMar>
              <w:top w:w="72" w:type="dxa"/>
              <w:left w:w="144" w:type="dxa"/>
              <w:bottom w:w="72" w:type="dxa"/>
              <w:right w:w="144" w:type="dxa"/>
            </w:tcMar>
            <w:vAlign w:val="center"/>
            <w:hideMark/>
          </w:tcPr>
          <w:p w14:paraId="7D363B2F" w14:textId="77777777" w:rsidR="00AE5D58" w:rsidRPr="0012740E" w:rsidRDefault="00AE5D58" w:rsidP="0012740E">
            <w:pPr>
              <w:pStyle w:val="Heading2"/>
              <w:rPr>
                <w:color w:val="FFFFFF" w:themeColor="background1"/>
              </w:rPr>
            </w:pPr>
            <w:r w:rsidRPr="0012740E">
              <w:rPr>
                <w:color w:val="FFFFFF" w:themeColor="background1"/>
              </w:rPr>
              <w:t>Established</w:t>
            </w:r>
          </w:p>
        </w:tc>
        <w:tc>
          <w:tcPr>
            <w:tcW w:w="934" w:type="pct"/>
            <w:tcBorders>
              <w:top w:val="single" w:sz="8" w:space="0" w:color="FFFFFF"/>
              <w:left w:val="single" w:sz="8" w:space="0" w:color="FFFFFF"/>
              <w:bottom w:val="single" w:sz="24" w:space="0" w:color="FFFFFF"/>
              <w:right w:val="single" w:sz="8" w:space="0" w:color="FFFFFF"/>
            </w:tcBorders>
            <w:shd w:val="clear" w:color="auto" w:fill="0B768C"/>
            <w:tcMar>
              <w:top w:w="72" w:type="dxa"/>
              <w:left w:w="144" w:type="dxa"/>
              <w:bottom w:w="72" w:type="dxa"/>
              <w:right w:w="144" w:type="dxa"/>
            </w:tcMar>
            <w:vAlign w:val="center"/>
            <w:hideMark/>
          </w:tcPr>
          <w:p w14:paraId="2489873E" w14:textId="77777777" w:rsidR="00AE5D58" w:rsidRPr="0012740E" w:rsidRDefault="00AE5D58" w:rsidP="0012740E">
            <w:pPr>
              <w:pStyle w:val="Heading2"/>
              <w:rPr>
                <w:color w:val="FFFFFF" w:themeColor="background1"/>
              </w:rPr>
            </w:pPr>
            <w:r w:rsidRPr="0012740E">
              <w:rPr>
                <w:color w:val="FFFFFF" w:themeColor="background1"/>
              </w:rPr>
              <w:t>Maturity</w:t>
            </w:r>
          </w:p>
        </w:tc>
        <w:tc>
          <w:tcPr>
            <w:tcW w:w="1079" w:type="pct"/>
            <w:tcBorders>
              <w:top w:val="single" w:sz="8" w:space="0" w:color="FFFFFF"/>
              <w:left w:val="single" w:sz="8" w:space="0" w:color="FFFFFF"/>
              <w:bottom w:val="single" w:sz="24" w:space="0" w:color="FFFFFF"/>
              <w:right w:val="single" w:sz="8" w:space="0" w:color="FFFFFF"/>
            </w:tcBorders>
            <w:shd w:val="clear" w:color="auto" w:fill="0B768C"/>
            <w:tcMar>
              <w:top w:w="72" w:type="dxa"/>
              <w:left w:w="144" w:type="dxa"/>
              <w:bottom w:w="72" w:type="dxa"/>
              <w:right w:w="144" w:type="dxa"/>
            </w:tcMar>
            <w:vAlign w:val="center"/>
            <w:hideMark/>
          </w:tcPr>
          <w:p w14:paraId="4B161117" w14:textId="77777777" w:rsidR="00AE5D58" w:rsidRPr="0012740E" w:rsidRDefault="00AE5D58" w:rsidP="0012740E">
            <w:pPr>
              <w:pStyle w:val="Heading2"/>
              <w:rPr>
                <w:color w:val="FFFFFF" w:themeColor="background1"/>
              </w:rPr>
            </w:pPr>
            <w:r w:rsidRPr="0012740E">
              <w:rPr>
                <w:color w:val="FFFFFF" w:themeColor="background1"/>
              </w:rPr>
              <w:t>Exemplary</w:t>
            </w:r>
          </w:p>
        </w:tc>
      </w:tr>
      <w:tr w:rsidR="00AE5D58" w:rsidRPr="00D7195D" w14:paraId="26AF5F98" w14:textId="77777777" w:rsidTr="007238D3">
        <w:trPr>
          <w:trHeight w:val="1459"/>
        </w:trPr>
        <w:tc>
          <w:tcPr>
            <w:tcW w:w="534" w:type="pct"/>
            <w:tcBorders>
              <w:top w:val="single" w:sz="24" w:space="0" w:color="FFFFFF"/>
              <w:left w:val="single" w:sz="8" w:space="0" w:color="FFFFFF"/>
              <w:bottom w:val="single" w:sz="8" w:space="0" w:color="FFFFFF"/>
              <w:right w:val="single" w:sz="8" w:space="0" w:color="FFFFFF"/>
            </w:tcBorders>
            <w:shd w:val="clear" w:color="auto" w:fill="64C3D2"/>
            <w:tcMar>
              <w:top w:w="72" w:type="dxa"/>
              <w:left w:w="144" w:type="dxa"/>
              <w:bottom w:w="72" w:type="dxa"/>
              <w:right w:w="144" w:type="dxa"/>
            </w:tcMar>
            <w:vAlign w:val="center"/>
            <w:hideMark/>
          </w:tcPr>
          <w:p w14:paraId="4B7B4A11" w14:textId="77777777" w:rsidR="00AE5D58" w:rsidRPr="00D7195D" w:rsidRDefault="00AE5D58" w:rsidP="00AE5D58">
            <w:pPr>
              <w:pStyle w:val="Heading2"/>
              <w:rPr>
                <w:rFonts w:cs="Arial"/>
                <w:b w:val="0"/>
                <w:color w:val="auto"/>
                <w:sz w:val="24"/>
              </w:rPr>
            </w:pPr>
            <w:r w:rsidRPr="00D7195D">
              <w:rPr>
                <w:rFonts w:cs="Arial"/>
                <w:b w:val="0"/>
                <w:color w:val="auto"/>
                <w:sz w:val="24"/>
              </w:rPr>
              <w:t>Shared Belief</w:t>
            </w:r>
          </w:p>
        </w:tc>
        <w:tc>
          <w:tcPr>
            <w:tcW w:w="763" w:type="pct"/>
            <w:tcBorders>
              <w:top w:val="single" w:sz="24" w:space="0" w:color="FFFFFF"/>
              <w:left w:val="single" w:sz="8" w:space="0" w:color="FFFFFF"/>
              <w:bottom w:val="single" w:sz="8" w:space="0" w:color="FFFFFF"/>
              <w:right w:val="single" w:sz="8" w:space="0" w:color="FFFFFF"/>
            </w:tcBorders>
            <w:shd w:val="clear" w:color="auto" w:fill="64C3D2"/>
            <w:tcMar>
              <w:top w:w="72" w:type="dxa"/>
              <w:left w:w="144" w:type="dxa"/>
              <w:bottom w:w="72" w:type="dxa"/>
              <w:right w:w="144" w:type="dxa"/>
            </w:tcMar>
            <w:vAlign w:val="center"/>
            <w:hideMark/>
          </w:tcPr>
          <w:p w14:paraId="53D53E7F" w14:textId="77777777" w:rsidR="00AE5D58" w:rsidRPr="00D7195D" w:rsidRDefault="00AE5D58" w:rsidP="00AE5D58">
            <w:pPr>
              <w:pStyle w:val="Heading2"/>
              <w:rPr>
                <w:rFonts w:cs="Arial"/>
                <w:b w:val="0"/>
                <w:color w:val="auto"/>
                <w:sz w:val="24"/>
              </w:rPr>
            </w:pPr>
            <w:r w:rsidRPr="00D7195D">
              <w:rPr>
                <w:rFonts w:cs="Arial"/>
                <w:b w:val="0"/>
                <w:color w:val="auto"/>
                <w:sz w:val="24"/>
              </w:rPr>
              <w:t>There is no consistent shared belief across the organisation; every team would give a different articulation of it.</w:t>
            </w:r>
          </w:p>
        </w:tc>
        <w:tc>
          <w:tcPr>
            <w:tcW w:w="711" w:type="pct"/>
            <w:tcBorders>
              <w:top w:val="single" w:sz="24" w:space="0" w:color="FFFFFF"/>
              <w:left w:val="single" w:sz="8" w:space="0" w:color="FFFFFF"/>
              <w:bottom w:val="single" w:sz="8" w:space="0" w:color="FFFFFF"/>
              <w:right w:val="single" w:sz="8" w:space="0" w:color="FFFFFF"/>
            </w:tcBorders>
            <w:shd w:val="clear" w:color="auto" w:fill="64C3D2"/>
            <w:tcMar>
              <w:top w:w="72" w:type="dxa"/>
              <w:left w:w="144" w:type="dxa"/>
              <w:bottom w:w="72" w:type="dxa"/>
              <w:right w:w="144" w:type="dxa"/>
            </w:tcMar>
            <w:vAlign w:val="center"/>
            <w:hideMark/>
          </w:tcPr>
          <w:p w14:paraId="36CB838D" w14:textId="77777777" w:rsidR="00AE5D58" w:rsidRPr="00D7195D" w:rsidRDefault="00AE5D58" w:rsidP="00AE5D58">
            <w:pPr>
              <w:pStyle w:val="Heading2"/>
              <w:rPr>
                <w:rFonts w:cs="Arial"/>
                <w:b w:val="0"/>
                <w:color w:val="auto"/>
                <w:sz w:val="24"/>
              </w:rPr>
            </w:pPr>
            <w:r w:rsidRPr="00D7195D">
              <w:rPr>
                <w:rFonts w:cs="Arial"/>
                <w:b w:val="0"/>
                <w:color w:val="auto"/>
                <w:sz w:val="24"/>
              </w:rPr>
              <w:t>The organisation is undertaking work to understand what organisational beliefs exist and agree on the ones they wish to amplify.</w:t>
            </w:r>
          </w:p>
        </w:tc>
        <w:tc>
          <w:tcPr>
            <w:tcW w:w="979" w:type="pct"/>
            <w:tcBorders>
              <w:top w:val="single" w:sz="24" w:space="0" w:color="FFFFFF"/>
              <w:left w:val="single" w:sz="8" w:space="0" w:color="FFFFFF"/>
              <w:bottom w:val="single" w:sz="8" w:space="0" w:color="FFFFFF"/>
              <w:right w:val="single" w:sz="8" w:space="0" w:color="FFFFFF"/>
            </w:tcBorders>
            <w:shd w:val="clear" w:color="auto" w:fill="64C3D2"/>
            <w:tcMar>
              <w:top w:w="72" w:type="dxa"/>
              <w:left w:w="144" w:type="dxa"/>
              <w:bottom w:w="72" w:type="dxa"/>
              <w:right w:w="144" w:type="dxa"/>
            </w:tcMar>
            <w:vAlign w:val="center"/>
            <w:hideMark/>
          </w:tcPr>
          <w:p w14:paraId="388283E7" w14:textId="77777777" w:rsidR="00AE5D58" w:rsidRPr="00D7195D" w:rsidRDefault="00AE5D58" w:rsidP="00AE5D58">
            <w:pPr>
              <w:pStyle w:val="Heading2"/>
              <w:rPr>
                <w:rFonts w:cs="Arial"/>
                <w:b w:val="0"/>
                <w:color w:val="auto"/>
                <w:sz w:val="24"/>
              </w:rPr>
            </w:pPr>
            <w:r w:rsidRPr="00D7195D">
              <w:rPr>
                <w:rFonts w:cs="Arial"/>
                <w:b w:val="0"/>
                <w:color w:val="auto"/>
                <w:sz w:val="24"/>
              </w:rPr>
              <w:t xml:space="preserve">Most members of the organisation can point to what the shared beliefs are but may not be able to explain their relevance to their </w:t>
            </w:r>
            <w:proofErr w:type="gramStart"/>
            <w:r w:rsidRPr="00D7195D">
              <w:rPr>
                <w:rFonts w:cs="Arial"/>
                <w:b w:val="0"/>
                <w:color w:val="auto"/>
                <w:sz w:val="24"/>
              </w:rPr>
              <w:t>day to day</w:t>
            </w:r>
            <w:proofErr w:type="gramEnd"/>
            <w:r w:rsidRPr="00D7195D">
              <w:rPr>
                <w:rFonts w:cs="Arial"/>
                <w:b w:val="0"/>
                <w:color w:val="auto"/>
                <w:sz w:val="24"/>
              </w:rPr>
              <w:t xml:space="preserve"> work.</w:t>
            </w:r>
          </w:p>
        </w:tc>
        <w:tc>
          <w:tcPr>
            <w:tcW w:w="934" w:type="pct"/>
            <w:tcBorders>
              <w:top w:val="single" w:sz="24" w:space="0" w:color="FFFFFF"/>
              <w:left w:val="single" w:sz="8" w:space="0" w:color="FFFFFF"/>
              <w:bottom w:val="single" w:sz="8" w:space="0" w:color="FFFFFF"/>
              <w:right w:val="single" w:sz="8" w:space="0" w:color="FFFFFF"/>
            </w:tcBorders>
            <w:shd w:val="clear" w:color="auto" w:fill="64C3D2"/>
            <w:tcMar>
              <w:top w:w="72" w:type="dxa"/>
              <w:left w:w="144" w:type="dxa"/>
              <w:bottom w:w="72" w:type="dxa"/>
              <w:right w:w="144" w:type="dxa"/>
            </w:tcMar>
            <w:vAlign w:val="center"/>
            <w:hideMark/>
          </w:tcPr>
          <w:p w14:paraId="020AF9EE" w14:textId="77777777" w:rsidR="00AE5D58" w:rsidRPr="00D7195D" w:rsidRDefault="00AE5D58" w:rsidP="00AE5D58">
            <w:pPr>
              <w:pStyle w:val="Heading2"/>
              <w:rPr>
                <w:rFonts w:cs="Arial"/>
                <w:b w:val="0"/>
                <w:color w:val="auto"/>
                <w:sz w:val="24"/>
              </w:rPr>
            </w:pPr>
            <w:r w:rsidRPr="00D7195D">
              <w:rPr>
                <w:rFonts w:cs="Arial"/>
                <w:b w:val="0"/>
                <w:color w:val="auto"/>
                <w:sz w:val="24"/>
              </w:rPr>
              <w:t xml:space="preserve">All members of the organisation are able to articulate the shared beliefs, and most understand their relevance to their </w:t>
            </w:r>
            <w:proofErr w:type="gramStart"/>
            <w:r w:rsidRPr="00D7195D">
              <w:rPr>
                <w:rFonts w:cs="Arial"/>
                <w:b w:val="0"/>
                <w:color w:val="auto"/>
                <w:sz w:val="24"/>
              </w:rPr>
              <w:t>day to day</w:t>
            </w:r>
            <w:proofErr w:type="gramEnd"/>
            <w:r w:rsidRPr="00D7195D">
              <w:rPr>
                <w:rFonts w:cs="Arial"/>
                <w:b w:val="0"/>
                <w:color w:val="auto"/>
                <w:sz w:val="24"/>
              </w:rPr>
              <w:t xml:space="preserve"> work.</w:t>
            </w:r>
          </w:p>
        </w:tc>
        <w:tc>
          <w:tcPr>
            <w:tcW w:w="1079" w:type="pct"/>
            <w:tcBorders>
              <w:top w:val="single" w:sz="24" w:space="0" w:color="FFFFFF"/>
              <w:left w:val="single" w:sz="8" w:space="0" w:color="FFFFFF"/>
              <w:bottom w:val="single" w:sz="8" w:space="0" w:color="FFFFFF"/>
              <w:right w:val="single" w:sz="8" w:space="0" w:color="FFFFFF"/>
            </w:tcBorders>
            <w:shd w:val="clear" w:color="auto" w:fill="64C3D2"/>
            <w:tcMar>
              <w:top w:w="72" w:type="dxa"/>
              <w:left w:w="144" w:type="dxa"/>
              <w:bottom w:w="72" w:type="dxa"/>
              <w:right w:w="144" w:type="dxa"/>
            </w:tcMar>
            <w:vAlign w:val="center"/>
            <w:hideMark/>
          </w:tcPr>
          <w:p w14:paraId="7A22DE19" w14:textId="77777777" w:rsidR="00AE5D58" w:rsidRPr="00D7195D" w:rsidRDefault="00AE5D58" w:rsidP="00AE5D58">
            <w:pPr>
              <w:pStyle w:val="Heading2"/>
              <w:rPr>
                <w:rFonts w:cs="Arial"/>
                <w:b w:val="0"/>
                <w:color w:val="auto"/>
                <w:sz w:val="24"/>
              </w:rPr>
            </w:pPr>
            <w:r w:rsidRPr="00D7195D">
              <w:rPr>
                <w:rFonts w:cs="Arial"/>
                <w:b w:val="0"/>
                <w:color w:val="auto"/>
                <w:sz w:val="24"/>
              </w:rPr>
              <w:t xml:space="preserve">All members of the organisation </w:t>
            </w:r>
            <w:proofErr w:type="gramStart"/>
            <w:r w:rsidRPr="00D7195D">
              <w:rPr>
                <w:rFonts w:cs="Arial"/>
                <w:b w:val="0"/>
                <w:color w:val="auto"/>
                <w:sz w:val="24"/>
              </w:rPr>
              <w:t>are able to</w:t>
            </w:r>
            <w:proofErr w:type="gramEnd"/>
            <w:r w:rsidRPr="00D7195D">
              <w:rPr>
                <w:rFonts w:cs="Arial"/>
                <w:b w:val="0"/>
                <w:color w:val="auto"/>
                <w:sz w:val="24"/>
              </w:rPr>
              <w:t xml:space="preserve"> describe the shared beliefs and put these into action.</w:t>
            </w:r>
          </w:p>
        </w:tc>
      </w:tr>
      <w:tr w:rsidR="00AE5D58" w:rsidRPr="00D7195D" w14:paraId="509C6CDC" w14:textId="77777777" w:rsidTr="0012740E">
        <w:trPr>
          <w:trHeight w:val="2692"/>
        </w:trPr>
        <w:tc>
          <w:tcPr>
            <w:tcW w:w="534" w:type="pct"/>
            <w:tcBorders>
              <w:top w:val="single" w:sz="8" w:space="0" w:color="FFFFFF"/>
              <w:left w:val="single" w:sz="8" w:space="0" w:color="FFFFFF"/>
              <w:bottom w:val="single" w:sz="8" w:space="0" w:color="FFFFFF"/>
              <w:right w:val="single" w:sz="8" w:space="0" w:color="FFFFFF"/>
            </w:tcBorders>
            <w:shd w:val="clear" w:color="auto" w:fill="64C3D2"/>
            <w:tcMar>
              <w:top w:w="72" w:type="dxa"/>
              <w:left w:w="144" w:type="dxa"/>
              <w:bottom w:w="72" w:type="dxa"/>
              <w:right w:w="144" w:type="dxa"/>
            </w:tcMar>
            <w:vAlign w:val="center"/>
            <w:hideMark/>
          </w:tcPr>
          <w:p w14:paraId="30F31406" w14:textId="77777777" w:rsidR="00AE5D58" w:rsidRPr="00D7195D" w:rsidRDefault="00AE5D58" w:rsidP="00AE5D58">
            <w:pPr>
              <w:pStyle w:val="Heading2"/>
              <w:rPr>
                <w:rFonts w:cs="Arial"/>
                <w:b w:val="0"/>
                <w:color w:val="auto"/>
                <w:sz w:val="24"/>
              </w:rPr>
            </w:pPr>
            <w:r w:rsidRPr="00D7195D">
              <w:rPr>
                <w:rFonts w:cs="Arial"/>
                <w:b w:val="0"/>
                <w:color w:val="auto"/>
                <w:sz w:val="24"/>
              </w:rPr>
              <w:lastRenderedPageBreak/>
              <w:t>Visible leadership</w:t>
            </w:r>
          </w:p>
        </w:tc>
        <w:tc>
          <w:tcPr>
            <w:tcW w:w="763" w:type="pct"/>
            <w:tcBorders>
              <w:top w:val="single" w:sz="8" w:space="0" w:color="FFFFFF"/>
              <w:left w:val="single" w:sz="8" w:space="0" w:color="FFFFFF"/>
              <w:bottom w:val="single" w:sz="8" w:space="0" w:color="FFFFFF"/>
              <w:right w:val="single" w:sz="8" w:space="0" w:color="FFFFFF"/>
            </w:tcBorders>
            <w:shd w:val="clear" w:color="auto" w:fill="64C3D2"/>
            <w:tcMar>
              <w:top w:w="72" w:type="dxa"/>
              <w:left w:w="144" w:type="dxa"/>
              <w:bottom w:w="72" w:type="dxa"/>
              <w:right w:w="144" w:type="dxa"/>
            </w:tcMar>
            <w:vAlign w:val="center"/>
            <w:hideMark/>
          </w:tcPr>
          <w:p w14:paraId="785400CB" w14:textId="77777777" w:rsidR="00AE5D58" w:rsidRPr="00D7195D" w:rsidRDefault="00AE5D58" w:rsidP="00AE5D58">
            <w:pPr>
              <w:pStyle w:val="Heading2"/>
              <w:rPr>
                <w:rFonts w:cs="Arial"/>
                <w:b w:val="0"/>
                <w:color w:val="auto"/>
                <w:sz w:val="24"/>
              </w:rPr>
            </w:pPr>
            <w:r w:rsidRPr="00D7195D">
              <w:rPr>
                <w:rFonts w:cs="Arial"/>
                <w:b w:val="0"/>
                <w:color w:val="auto"/>
                <w:sz w:val="24"/>
              </w:rPr>
              <w:t xml:space="preserve">Leaders </w:t>
            </w:r>
            <w:proofErr w:type="gramStart"/>
            <w:r w:rsidRPr="00D7195D">
              <w:rPr>
                <w:rFonts w:cs="Arial"/>
                <w:b w:val="0"/>
                <w:color w:val="auto"/>
                <w:sz w:val="24"/>
              </w:rPr>
              <w:t>are considered to be</w:t>
            </w:r>
            <w:proofErr w:type="gramEnd"/>
            <w:r w:rsidRPr="00D7195D">
              <w:rPr>
                <w:rFonts w:cs="Arial"/>
                <w:b w:val="0"/>
                <w:color w:val="auto"/>
                <w:sz w:val="24"/>
              </w:rPr>
              <w:t xml:space="preserve"> distant from operational staff and to be lacking understanding of operational reality. </w:t>
            </w:r>
          </w:p>
        </w:tc>
        <w:tc>
          <w:tcPr>
            <w:tcW w:w="711" w:type="pct"/>
            <w:tcBorders>
              <w:top w:val="single" w:sz="8" w:space="0" w:color="FFFFFF"/>
              <w:left w:val="single" w:sz="8" w:space="0" w:color="FFFFFF"/>
              <w:bottom w:val="single" w:sz="8" w:space="0" w:color="FFFFFF"/>
              <w:right w:val="single" w:sz="8" w:space="0" w:color="FFFFFF"/>
            </w:tcBorders>
            <w:shd w:val="clear" w:color="auto" w:fill="64C3D2"/>
            <w:tcMar>
              <w:top w:w="72" w:type="dxa"/>
              <w:left w:w="144" w:type="dxa"/>
              <w:bottom w:w="72" w:type="dxa"/>
              <w:right w:w="144" w:type="dxa"/>
            </w:tcMar>
            <w:vAlign w:val="center"/>
            <w:hideMark/>
          </w:tcPr>
          <w:p w14:paraId="49AF6B0D" w14:textId="77777777" w:rsidR="00AE5D58" w:rsidRPr="00D7195D" w:rsidRDefault="00AE5D58" w:rsidP="00AE5D58">
            <w:pPr>
              <w:pStyle w:val="Heading2"/>
              <w:rPr>
                <w:rFonts w:cs="Arial"/>
                <w:b w:val="0"/>
                <w:color w:val="auto"/>
                <w:sz w:val="24"/>
              </w:rPr>
            </w:pPr>
            <w:r w:rsidRPr="00D7195D">
              <w:rPr>
                <w:rFonts w:cs="Arial"/>
                <w:b w:val="0"/>
                <w:color w:val="auto"/>
                <w:sz w:val="24"/>
              </w:rPr>
              <w:t xml:space="preserve">Staff can identify isolated occasions when they felt leadership was visible, but this is not consistent. </w:t>
            </w:r>
          </w:p>
        </w:tc>
        <w:tc>
          <w:tcPr>
            <w:tcW w:w="979" w:type="pct"/>
            <w:tcBorders>
              <w:top w:val="single" w:sz="8" w:space="0" w:color="FFFFFF"/>
              <w:left w:val="single" w:sz="8" w:space="0" w:color="FFFFFF"/>
              <w:bottom w:val="single" w:sz="8" w:space="0" w:color="FFFFFF"/>
              <w:right w:val="single" w:sz="8" w:space="0" w:color="FFFFFF"/>
            </w:tcBorders>
            <w:shd w:val="clear" w:color="auto" w:fill="64C3D2"/>
            <w:tcMar>
              <w:top w:w="72" w:type="dxa"/>
              <w:left w:w="144" w:type="dxa"/>
              <w:bottom w:w="72" w:type="dxa"/>
              <w:right w:w="144" w:type="dxa"/>
            </w:tcMar>
            <w:vAlign w:val="center"/>
            <w:hideMark/>
          </w:tcPr>
          <w:p w14:paraId="69AA9C93" w14:textId="77777777" w:rsidR="00AE5D58" w:rsidRPr="00D7195D" w:rsidRDefault="00AE5D58" w:rsidP="00AE5D58">
            <w:pPr>
              <w:pStyle w:val="Heading2"/>
              <w:rPr>
                <w:rFonts w:cs="Arial"/>
                <w:b w:val="0"/>
                <w:color w:val="auto"/>
                <w:sz w:val="24"/>
              </w:rPr>
            </w:pPr>
            <w:r w:rsidRPr="00D7195D">
              <w:rPr>
                <w:rFonts w:cs="Arial"/>
                <w:b w:val="0"/>
                <w:color w:val="auto"/>
                <w:sz w:val="24"/>
              </w:rPr>
              <w:t xml:space="preserve">Leaders celebrate successes and what is going well. </w:t>
            </w:r>
          </w:p>
        </w:tc>
        <w:tc>
          <w:tcPr>
            <w:tcW w:w="934" w:type="pct"/>
            <w:tcBorders>
              <w:top w:val="single" w:sz="8" w:space="0" w:color="FFFFFF"/>
              <w:left w:val="single" w:sz="8" w:space="0" w:color="FFFFFF"/>
              <w:bottom w:val="single" w:sz="8" w:space="0" w:color="FFFFFF"/>
              <w:right w:val="single" w:sz="8" w:space="0" w:color="FFFFFF"/>
            </w:tcBorders>
            <w:shd w:val="clear" w:color="auto" w:fill="64C3D2"/>
            <w:tcMar>
              <w:top w:w="72" w:type="dxa"/>
              <w:left w:w="144" w:type="dxa"/>
              <w:bottom w:w="72" w:type="dxa"/>
              <w:right w:w="144" w:type="dxa"/>
            </w:tcMar>
            <w:vAlign w:val="center"/>
            <w:hideMark/>
          </w:tcPr>
          <w:p w14:paraId="51459ED9" w14:textId="77777777" w:rsidR="00AE5D58" w:rsidRPr="00D7195D" w:rsidRDefault="00AE5D58" w:rsidP="00AE5D58">
            <w:pPr>
              <w:pStyle w:val="Heading2"/>
              <w:rPr>
                <w:rFonts w:cs="Arial"/>
                <w:b w:val="0"/>
                <w:color w:val="auto"/>
                <w:sz w:val="24"/>
              </w:rPr>
            </w:pPr>
            <w:r w:rsidRPr="00D7195D">
              <w:rPr>
                <w:rFonts w:cs="Arial"/>
                <w:b w:val="0"/>
                <w:color w:val="auto"/>
                <w:sz w:val="24"/>
              </w:rPr>
              <w:t xml:space="preserve">Leaders proactively celebrate teams who have performed highly and show up to support areas which are struggling or under pressure. </w:t>
            </w:r>
          </w:p>
        </w:tc>
        <w:tc>
          <w:tcPr>
            <w:tcW w:w="1079" w:type="pct"/>
            <w:tcBorders>
              <w:top w:val="single" w:sz="8" w:space="0" w:color="FFFFFF"/>
              <w:left w:val="single" w:sz="8" w:space="0" w:color="FFFFFF"/>
              <w:bottom w:val="single" w:sz="8" w:space="0" w:color="FFFFFF"/>
              <w:right w:val="single" w:sz="8" w:space="0" w:color="FFFFFF"/>
            </w:tcBorders>
            <w:shd w:val="clear" w:color="auto" w:fill="64C3D2"/>
            <w:tcMar>
              <w:top w:w="72" w:type="dxa"/>
              <w:left w:w="144" w:type="dxa"/>
              <w:bottom w:w="72" w:type="dxa"/>
              <w:right w:w="144" w:type="dxa"/>
            </w:tcMar>
            <w:vAlign w:val="center"/>
            <w:hideMark/>
          </w:tcPr>
          <w:p w14:paraId="76EBD6CD" w14:textId="77777777" w:rsidR="00AE5D58" w:rsidRPr="00D7195D" w:rsidRDefault="00AE5D58" w:rsidP="00AE5D58">
            <w:pPr>
              <w:pStyle w:val="Heading2"/>
              <w:rPr>
                <w:rFonts w:cs="Arial"/>
                <w:b w:val="0"/>
                <w:color w:val="auto"/>
                <w:sz w:val="24"/>
              </w:rPr>
            </w:pPr>
            <w:r w:rsidRPr="00D7195D">
              <w:rPr>
                <w:rFonts w:cs="Arial"/>
                <w:b w:val="0"/>
                <w:color w:val="auto"/>
                <w:sz w:val="24"/>
              </w:rPr>
              <w:t>Leaders celebrate success and show up when times are tough; there is an established leadership development programme in place.</w:t>
            </w:r>
          </w:p>
        </w:tc>
      </w:tr>
      <w:tr w:rsidR="00AE5D58" w:rsidRPr="00D7195D" w14:paraId="61DFCFD2" w14:textId="77777777" w:rsidTr="0012740E">
        <w:trPr>
          <w:trHeight w:val="1893"/>
        </w:trPr>
        <w:tc>
          <w:tcPr>
            <w:tcW w:w="534" w:type="pct"/>
            <w:tcBorders>
              <w:top w:val="single" w:sz="8" w:space="0" w:color="FFFFFF"/>
              <w:left w:val="single" w:sz="8" w:space="0" w:color="FFFFFF"/>
              <w:bottom w:val="single" w:sz="8" w:space="0" w:color="FFFFFF"/>
              <w:right w:val="single" w:sz="8" w:space="0" w:color="FFFFFF"/>
            </w:tcBorders>
            <w:shd w:val="clear" w:color="auto" w:fill="64C3D2"/>
            <w:tcMar>
              <w:top w:w="72" w:type="dxa"/>
              <w:left w:w="144" w:type="dxa"/>
              <w:bottom w:w="72" w:type="dxa"/>
              <w:right w:w="144" w:type="dxa"/>
            </w:tcMar>
            <w:vAlign w:val="center"/>
          </w:tcPr>
          <w:p w14:paraId="1C090D77" w14:textId="77777777" w:rsidR="00AE5D58" w:rsidRPr="00D7195D" w:rsidRDefault="00AE5D58" w:rsidP="00AE5D58">
            <w:pPr>
              <w:pStyle w:val="Heading2"/>
              <w:rPr>
                <w:rFonts w:cs="Arial"/>
                <w:b w:val="0"/>
                <w:color w:val="auto"/>
                <w:sz w:val="24"/>
              </w:rPr>
            </w:pPr>
            <w:r w:rsidRPr="00D7195D">
              <w:rPr>
                <w:rFonts w:cs="Arial"/>
                <w:b w:val="0"/>
                <w:color w:val="auto"/>
                <w:sz w:val="24"/>
              </w:rPr>
              <w:t>Governance</w:t>
            </w:r>
          </w:p>
        </w:tc>
        <w:tc>
          <w:tcPr>
            <w:tcW w:w="763" w:type="pct"/>
            <w:tcBorders>
              <w:top w:val="single" w:sz="8" w:space="0" w:color="FFFFFF"/>
              <w:left w:val="single" w:sz="8" w:space="0" w:color="FFFFFF"/>
              <w:bottom w:val="single" w:sz="8" w:space="0" w:color="FFFFFF"/>
              <w:right w:val="single" w:sz="8" w:space="0" w:color="FFFFFF"/>
            </w:tcBorders>
            <w:shd w:val="clear" w:color="auto" w:fill="64C3D2"/>
            <w:tcMar>
              <w:top w:w="72" w:type="dxa"/>
              <w:left w:w="144" w:type="dxa"/>
              <w:bottom w:w="72" w:type="dxa"/>
              <w:right w:w="144" w:type="dxa"/>
            </w:tcMar>
            <w:vAlign w:val="center"/>
          </w:tcPr>
          <w:p w14:paraId="22564408" w14:textId="77777777" w:rsidR="00AE5D58" w:rsidRPr="00D7195D" w:rsidRDefault="00AE5D58" w:rsidP="00AE5D58">
            <w:pPr>
              <w:pStyle w:val="Heading2"/>
              <w:rPr>
                <w:rFonts w:cs="Arial"/>
                <w:b w:val="0"/>
                <w:color w:val="auto"/>
                <w:sz w:val="24"/>
              </w:rPr>
            </w:pPr>
            <w:r w:rsidRPr="00D7195D">
              <w:rPr>
                <w:rFonts w:cs="Arial"/>
                <w:b w:val="0"/>
                <w:color w:val="auto"/>
                <w:sz w:val="24"/>
              </w:rPr>
              <w:t>Governance structure is unclear, ineffective, and not joint up across the health and social care system</w:t>
            </w:r>
          </w:p>
        </w:tc>
        <w:tc>
          <w:tcPr>
            <w:tcW w:w="711" w:type="pct"/>
            <w:tcBorders>
              <w:top w:val="single" w:sz="8" w:space="0" w:color="FFFFFF"/>
              <w:left w:val="single" w:sz="8" w:space="0" w:color="FFFFFF"/>
              <w:bottom w:val="single" w:sz="8" w:space="0" w:color="FFFFFF"/>
              <w:right w:val="single" w:sz="8" w:space="0" w:color="FFFFFF"/>
            </w:tcBorders>
            <w:shd w:val="clear" w:color="auto" w:fill="64C3D2"/>
            <w:tcMar>
              <w:top w:w="72" w:type="dxa"/>
              <w:left w:w="144" w:type="dxa"/>
              <w:bottom w:w="72" w:type="dxa"/>
              <w:right w:w="144" w:type="dxa"/>
            </w:tcMar>
            <w:vAlign w:val="center"/>
          </w:tcPr>
          <w:p w14:paraId="627CAA6A" w14:textId="77777777" w:rsidR="00AE5D58" w:rsidRPr="00D7195D" w:rsidRDefault="00AE5D58" w:rsidP="00AE5D58">
            <w:pPr>
              <w:pStyle w:val="Heading2"/>
              <w:rPr>
                <w:rFonts w:cs="Arial"/>
                <w:b w:val="0"/>
                <w:color w:val="auto"/>
                <w:sz w:val="24"/>
              </w:rPr>
            </w:pPr>
            <w:r w:rsidRPr="00D7195D">
              <w:rPr>
                <w:rFonts w:cs="Arial"/>
                <w:b w:val="0"/>
                <w:color w:val="auto"/>
                <w:sz w:val="24"/>
              </w:rPr>
              <w:t>A governance restructure is taking place. People throughout the system have been engaged in the governance review</w:t>
            </w:r>
          </w:p>
        </w:tc>
        <w:tc>
          <w:tcPr>
            <w:tcW w:w="979" w:type="pct"/>
            <w:tcBorders>
              <w:top w:val="single" w:sz="8" w:space="0" w:color="FFFFFF"/>
              <w:left w:val="single" w:sz="8" w:space="0" w:color="FFFFFF"/>
              <w:bottom w:val="single" w:sz="8" w:space="0" w:color="FFFFFF"/>
              <w:right w:val="single" w:sz="8" w:space="0" w:color="FFFFFF"/>
            </w:tcBorders>
            <w:shd w:val="clear" w:color="auto" w:fill="64C3D2"/>
            <w:tcMar>
              <w:top w:w="72" w:type="dxa"/>
              <w:left w:w="144" w:type="dxa"/>
              <w:bottom w:w="72" w:type="dxa"/>
              <w:right w:w="144" w:type="dxa"/>
            </w:tcMar>
            <w:vAlign w:val="center"/>
          </w:tcPr>
          <w:p w14:paraId="63A29799" w14:textId="77777777" w:rsidR="00AE5D58" w:rsidRPr="00D7195D" w:rsidRDefault="00AE5D58" w:rsidP="00AE5D58">
            <w:pPr>
              <w:pStyle w:val="Heading2"/>
              <w:rPr>
                <w:rFonts w:cs="Arial"/>
                <w:b w:val="0"/>
                <w:color w:val="auto"/>
                <w:sz w:val="24"/>
              </w:rPr>
            </w:pPr>
            <w:r w:rsidRPr="00D7195D">
              <w:rPr>
                <w:rFonts w:cs="Arial"/>
                <w:b w:val="0"/>
                <w:color w:val="auto"/>
                <w:sz w:val="24"/>
              </w:rPr>
              <w:t>Those part of the governance structure understand the purpose of different forums and risks are escalated and addressed. The governance is joint between health and social care at the highest level.</w:t>
            </w:r>
          </w:p>
        </w:tc>
        <w:tc>
          <w:tcPr>
            <w:tcW w:w="934" w:type="pct"/>
            <w:tcBorders>
              <w:top w:val="single" w:sz="8" w:space="0" w:color="FFFFFF"/>
              <w:left w:val="single" w:sz="8" w:space="0" w:color="FFFFFF"/>
              <w:bottom w:val="single" w:sz="8" w:space="0" w:color="FFFFFF"/>
              <w:right w:val="single" w:sz="8" w:space="0" w:color="FFFFFF"/>
            </w:tcBorders>
            <w:shd w:val="clear" w:color="auto" w:fill="64C3D2"/>
            <w:tcMar>
              <w:top w:w="72" w:type="dxa"/>
              <w:left w:w="144" w:type="dxa"/>
              <w:bottom w:w="72" w:type="dxa"/>
              <w:right w:w="144" w:type="dxa"/>
            </w:tcMar>
            <w:vAlign w:val="center"/>
          </w:tcPr>
          <w:p w14:paraId="6F9EA26B" w14:textId="77777777" w:rsidR="00AE5D58" w:rsidRPr="00D7195D" w:rsidRDefault="00AE5D58" w:rsidP="00AE5D58">
            <w:pPr>
              <w:pStyle w:val="Heading2"/>
              <w:rPr>
                <w:rFonts w:cs="Arial"/>
                <w:b w:val="0"/>
                <w:color w:val="auto"/>
                <w:sz w:val="24"/>
              </w:rPr>
            </w:pPr>
            <w:r w:rsidRPr="00D7195D">
              <w:rPr>
                <w:rFonts w:cs="Arial"/>
                <w:b w:val="0"/>
                <w:color w:val="auto"/>
                <w:sz w:val="24"/>
              </w:rPr>
              <w:t xml:space="preserve">The workforce understands what forums to go to escalate their risks. These are escalated and addressed quickly. Forums can focus on strategic planning as well as immediate actions. There </w:t>
            </w:r>
            <w:proofErr w:type="gramStart"/>
            <w:r w:rsidRPr="00D7195D">
              <w:rPr>
                <w:rFonts w:cs="Arial"/>
                <w:b w:val="0"/>
                <w:color w:val="auto"/>
                <w:sz w:val="24"/>
              </w:rPr>
              <w:t>is</w:t>
            </w:r>
            <w:proofErr w:type="gramEnd"/>
            <w:r w:rsidRPr="00D7195D">
              <w:rPr>
                <w:rFonts w:cs="Arial"/>
                <w:b w:val="0"/>
                <w:color w:val="auto"/>
                <w:sz w:val="24"/>
              </w:rPr>
              <w:t xml:space="preserve"> joint up governance forums at all appropriate levels. </w:t>
            </w:r>
          </w:p>
        </w:tc>
        <w:tc>
          <w:tcPr>
            <w:tcW w:w="1079" w:type="pct"/>
            <w:tcBorders>
              <w:top w:val="single" w:sz="8" w:space="0" w:color="FFFFFF"/>
              <w:left w:val="single" w:sz="8" w:space="0" w:color="FFFFFF"/>
              <w:bottom w:val="single" w:sz="8" w:space="0" w:color="FFFFFF"/>
              <w:right w:val="single" w:sz="8" w:space="0" w:color="FFFFFF"/>
            </w:tcBorders>
            <w:shd w:val="clear" w:color="auto" w:fill="64C3D2"/>
            <w:tcMar>
              <w:top w:w="72" w:type="dxa"/>
              <w:left w:w="144" w:type="dxa"/>
              <w:bottom w:w="72" w:type="dxa"/>
              <w:right w:w="144" w:type="dxa"/>
            </w:tcMar>
            <w:vAlign w:val="center"/>
          </w:tcPr>
          <w:p w14:paraId="33C9DAE8" w14:textId="77777777" w:rsidR="00AE5D58" w:rsidRPr="00D7195D" w:rsidRDefault="00AE5D58" w:rsidP="00AE5D58">
            <w:pPr>
              <w:pStyle w:val="Heading2"/>
              <w:rPr>
                <w:rFonts w:cs="Arial"/>
                <w:b w:val="0"/>
                <w:color w:val="auto"/>
                <w:sz w:val="24"/>
              </w:rPr>
            </w:pPr>
            <w:r w:rsidRPr="00D7195D">
              <w:rPr>
                <w:rFonts w:cs="Arial"/>
                <w:b w:val="0"/>
                <w:color w:val="auto"/>
                <w:sz w:val="24"/>
              </w:rPr>
              <w:t xml:space="preserve">The workforce understands what forums to go to escalate their risks. These are escalated and addressed quickly. Forums can focus on strategic planning as well as immediate actions. There </w:t>
            </w:r>
            <w:proofErr w:type="gramStart"/>
            <w:r w:rsidRPr="00D7195D">
              <w:rPr>
                <w:rFonts w:cs="Arial"/>
                <w:b w:val="0"/>
                <w:color w:val="auto"/>
                <w:sz w:val="24"/>
              </w:rPr>
              <w:t>is</w:t>
            </w:r>
            <w:proofErr w:type="gramEnd"/>
            <w:r w:rsidRPr="00D7195D">
              <w:rPr>
                <w:rFonts w:cs="Arial"/>
                <w:b w:val="0"/>
                <w:color w:val="auto"/>
                <w:sz w:val="24"/>
              </w:rPr>
              <w:t xml:space="preserve"> joint up governance forums at all appropriate level, which link up to regional and national forums.</w:t>
            </w:r>
          </w:p>
        </w:tc>
      </w:tr>
    </w:tbl>
    <w:p w14:paraId="1B437598" w14:textId="77777777" w:rsidR="00B15CF5" w:rsidRPr="00D7195D" w:rsidRDefault="00B15CF5" w:rsidP="00AC3650">
      <w:pPr>
        <w:rPr>
          <w:sz w:val="24"/>
          <w:szCs w:val="24"/>
        </w:rPr>
      </w:pPr>
    </w:p>
    <w:sectPr w:rsidR="00B15CF5" w:rsidRPr="00D7195D" w:rsidSect="00AE5D58">
      <w:footerReference w:type="even" r:id="rId11"/>
      <w:pgSz w:w="16840" w:h="11900" w:orient="landscape"/>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E51A3" w14:textId="77777777" w:rsidR="00AE5D58" w:rsidRDefault="00AE5D58" w:rsidP="0052129E">
      <w:r>
        <w:separator/>
      </w:r>
    </w:p>
  </w:endnote>
  <w:endnote w:type="continuationSeparator" w:id="0">
    <w:p w14:paraId="3A8553E0" w14:textId="77777777" w:rsidR="00AE5D58" w:rsidRDefault="00AE5D58" w:rsidP="0052129E">
      <w:r>
        <w:continuationSeparator/>
      </w:r>
    </w:p>
  </w:endnote>
  <w:endnote w:type="continuationNotice" w:id="1">
    <w:p w14:paraId="2BC0A58D" w14:textId="77777777" w:rsidR="00AE5D58" w:rsidRDefault="00AE5D58"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3C05" w14:textId="77777777" w:rsidR="008B5701" w:rsidRDefault="008B5701" w:rsidP="0052129E"/>
  <w:p w14:paraId="475168A7" w14:textId="77777777" w:rsidR="007D6682" w:rsidRPr="00153423" w:rsidRDefault="007D6682" w:rsidP="00521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05E3" w14:textId="77777777" w:rsidR="00AE5D58" w:rsidRDefault="00AE5D58" w:rsidP="0052129E">
      <w:r>
        <w:separator/>
      </w:r>
    </w:p>
  </w:footnote>
  <w:footnote w:type="continuationSeparator" w:id="0">
    <w:p w14:paraId="1B34D6C4" w14:textId="77777777" w:rsidR="00AE5D58" w:rsidRDefault="00AE5D58" w:rsidP="0052129E">
      <w:r>
        <w:continuationSeparator/>
      </w:r>
    </w:p>
  </w:footnote>
  <w:footnote w:type="continuationNotice" w:id="1">
    <w:p w14:paraId="40BAD334" w14:textId="77777777" w:rsidR="00AE5D58" w:rsidRDefault="00AE5D58" w:rsidP="005212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1"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24"/>
  </w:num>
  <w:num w:numId="3" w16cid:durableId="1540703762">
    <w:abstractNumId w:val="23"/>
  </w:num>
  <w:num w:numId="4" w16cid:durableId="266043126">
    <w:abstractNumId w:val="20"/>
  </w:num>
  <w:num w:numId="5" w16cid:durableId="737870857">
    <w:abstractNumId w:val="15"/>
  </w:num>
  <w:num w:numId="6" w16cid:durableId="864563898">
    <w:abstractNumId w:val="14"/>
  </w:num>
  <w:num w:numId="7" w16cid:durableId="1884904477">
    <w:abstractNumId w:val="17"/>
  </w:num>
  <w:num w:numId="8" w16cid:durableId="63185790">
    <w:abstractNumId w:val="10"/>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18"/>
  </w:num>
  <w:num w:numId="19" w16cid:durableId="1888104346">
    <w:abstractNumId w:val="25"/>
  </w:num>
  <w:num w:numId="20" w16cid:durableId="2125614591">
    <w:abstractNumId w:val="22"/>
  </w:num>
  <w:num w:numId="21" w16cid:durableId="707417768">
    <w:abstractNumId w:val="13"/>
  </w:num>
  <w:num w:numId="22" w16cid:durableId="1433285686">
    <w:abstractNumId w:val="26"/>
  </w:num>
  <w:num w:numId="23" w16cid:durableId="456415534">
    <w:abstractNumId w:val="16"/>
  </w:num>
  <w:num w:numId="24" w16cid:durableId="564144700">
    <w:abstractNumId w:val="19"/>
  </w:num>
  <w:num w:numId="25" w16cid:durableId="726152727">
    <w:abstractNumId w:val="21"/>
  </w:num>
  <w:num w:numId="26" w16cid:durableId="1593781688">
    <w:abstractNumId w:val="11"/>
  </w:num>
  <w:num w:numId="27" w16cid:durableId="108561612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58"/>
    <w:rsid w:val="00003DE5"/>
    <w:rsid w:val="000040DD"/>
    <w:rsid w:val="00007035"/>
    <w:rsid w:val="00012642"/>
    <w:rsid w:val="00016C66"/>
    <w:rsid w:val="00023063"/>
    <w:rsid w:val="00040B3E"/>
    <w:rsid w:val="00042F32"/>
    <w:rsid w:val="00052698"/>
    <w:rsid w:val="00075EDA"/>
    <w:rsid w:val="00085B6E"/>
    <w:rsid w:val="000913D1"/>
    <w:rsid w:val="00095F0F"/>
    <w:rsid w:val="000A3930"/>
    <w:rsid w:val="000A6F0D"/>
    <w:rsid w:val="000B07DB"/>
    <w:rsid w:val="000B34AE"/>
    <w:rsid w:val="000C083B"/>
    <w:rsid w:val="000D27C5"/>
    <w:rsid w:val="00100350"/>
    <w:rsid w:val="0010218D"/>
    <w:rsid w:val="00125CDC"/>
    <w:rsid w:val="00125D0E"/>
    <w:rsid w:val="0012740E"/>
    <w:rsid w:val="00143FF7"/>
    <w:rsid w:val="00144168"/>
    <w:rsid w:val="00151EED"/>
    <w:rsid w:val="00153423"/>
    <w:rsid w:val="0016146B"/>
    <w:rsid w:val="001719D2"/>
    <w:rsid w:val="001879BE"/>
    <w:rsid w:val="00191EF5"/>
    <w:rsid w:val="00195A64"/>
    <w:rsid w:val="001A6528"/>
    <w:rsid w:val="001C0B7F"/>
    <w:rsid w:val="001C403B"/>
    <w:rsid w:val="001D0E03"/>
    <w:rsid w:val="001E3B88"/>
    <w:rsid w:val="001E48CA"/>
    <w:rsid w:val="0020025E"/>
    <w:rsid w:val="002013E6"/>
    <w:rsid w:val="00201BBD"/>
    <w:rsid w:val="0020342C"/>
    <w:rsid w:val="00207C69"/>
    <w:rsid w:val="00215D15"/>
    <w:rsid w:val="0022517A"/>
    <w:rsid w:val="002255C9"/>
    <w:rsid w:val="002258B9"/>
    <w:rsid w:val="00240E17"/>
    <w:rsid w:val="00251064"/>
    <w:rsid w:val="002B36DC"/>
    <w:rsid w:val="002B6209"/>
    <w:rsid w:val="002C058D"/>
    <w:rsid w:val="002C111D"/>
    <w:rsid w:val="002D013E"/>
    <w:rsid w:val="002E1060"/>
    <w:rsid w:val="002E2053"/>
    <w:rsid w:val="002E6C8C"/>
    <w:rsid w:val="002F3C04"/>
    <w:rsid w:val="002F462E"/>
    <w:rsid w:val="002F7424"/>
    <w:rsid w:val="0030031B"/>
    <w:rsid w:val="00300A77"/>
    <w:rsid w:val="003137E0"/>
    <w:rsid w:val="00324983"/>
    <w:rsid w:val="00345410"/>
    <w:rsid w:val="00353D65"/>
    <w:rsid w:val="00357547"/>
    <w:rsid w:val="00361AEB"/>
    <w:rsid w:val="00363F09"/>
    <w:rsid w:val="003737D0"/>
    <w:rsid w:val="00375F9A"/>
    <w:rsid w:val="003801D6"/>
    <w:rsid w:val="00397CDD"/>
    <w:rsid w:val="003A15A7"/>
    <w:rsid w:val="003C11FC"/>
    <w:rsid w:val="003C495E"/>
    <w:rsid w:val="003C5C16"/>
    <w:rsid w:val="003D1170"/>
    <w:rsid w:val="003D55B7"/>
    <w:rsid w:val="003E2A1C"/>
    <w:rsid w:val="003E5013"/>
    <w:rsid w:val="003F50DB"/>
    <w:rsid w:val="00400A51"/>
    <w:rsid w:val="00410D69"/>
    <w:rsid w:val="00420B32"/>
    <w:rsid w:val="0042795C"/>
    <w:rsid w:val="0044677B"/>
    <w:rsid w:val="00446C9D"/>
    <w:rsid w:val="004629CC"/>
    <w:rsid w:val="00464C5F"/>
    <w:rsid w:val="00474128"/>
    <w:rsid w:val="004812FF"/>
    <w:rsid w:val="004813F5"/>
    <w:rsid w:val="004815E4"/>
    <w:rsid w:val="00486944"/>
    <w:rsid w:val="004A550F"/>
    <w:rsid w:val="004B6480"/>
    <w:rsid w:val="004C0E85"/>
    <w:rsid w:val="004C1176"/>
    <w:rsid w:val="004C1903"/>
    <w:rsid w:val="004C4820"/>
    <w:rsid w:val="004C6AF1"/>
    <w:rsid w:val="004D736A"/>
    <w:rsid w:val="004E1B2D"/>
    <w:rsid w:val="004E337D"/>
    <w:rsid w:val="004E5BF4"/>
    <w:rsid w:val="004E6BB3"/>
    <w:rsid w:val="004F68A2"/>
    <w:rsid w:val="00500B4D"/>
    <w:rsid w:val="00503754"/>
    <w:rsid w:val="00503F09"/>
    <w:rsid w:val="0051479D"/>
    <w:rsid w:val="00515FA7"/>
    <w:rsid w:val="0052129E"/>
    <w:rsid w:val="00526D9F"/>
    <w:rsid w:val="0053346B"/>
    <w:rsid w:val="00535D6E"/>
    <w:rsid w:val="005372A7"/>
    <w:rsid w:val="005500D8"/>
    <w:rsid w:val="00551C91"/>
    <w:rsid w:val="005720CE"/>
    <w:rsid w:val="005A7236"/>
    <w:rsid w:val="005B40FE"/>
    <w:rsid w:val="005B52F8"/>
    <w:rsid w:val="005C0AA0"/>
    <w:rsid w:val="005C379A"/>
    <w:rsid w:val="005D08F8"/>
    <w:rsid w:val="005D52A9"/>
    <w:rsid w:val="005E134D"/>
    <w:rsid w:val="005F35B6"/>
    <w:rsid w:val="00613FAE"/>
    <w:rsid w:val="00616157"/>
    <w:rsid w:val="00616392"/>
    <w:rsid w:val="00627B4F"/>
    <w:rsid w:val="00643FF4"/>
    <w:rsid w:val="00645595"/>
    <w:rsid w:val="00652442"/>
    <w:rsid w:val="00652A30"/>
    <w:rsid w:val="00655DAC"/>
    <w:rsid w:val="00662B42"/>
    <w:rsid w:val="006671C2"/>
    <w:rsid w:val="00672D24"/>
    <w:rsid w:val="00690F84"/>
    <w:rsid w:val="00693086"/>
    <w:rsid w:val="006935A4"/>
    <w:rsid w:val="00695C5E"/>
    <w:rsid w:val="006A0790"/>
    <w:rsid w:val="006A789F"/>
    <w:rsid w:val="006B45FC"/>
    <w:rsid w:val="006C7FA2"/>
    <w:rsid w:val="006E432A"/>
    <w:rsid w:val="00707E98"/>
    <w:rsid w:val="00710E3D"/>
    <w:rsid w:val="00711939"/>
    <w:rsid w:val="0071649C"/>
    <w:rsid w:val="007238D3"/>
    <w:rsid w:val="00740387"/>
    <w:rsid w:val="007430A4"/>
    <w:rsid w:val="007522A4"/>
    <w:rsid w:val="0076751A"/>
    <w:rsid w:val="0078068A"/>
    <w:rsid w:val="007918BC"/>
    <w:rsid w:val="007A3157"/>
    <w:rsid w:val="007B6174"/>
    <w:rsid w:val="007B6FFF"/>
    <w:rsid w:val="007C4B53"/>
    <w:rsid w:val="007C79EC"/>
    <w:rsid w:val="007C7B02"/>
    <w:rsid w:val="007D37E4"/>
    <w:rsid w:val="007D6682"/>
    <w:rsid w:val="007F1381"/>
    <w:rsid w:val="007F2103"/>
    <w:rsid w:val="007F28E6"/>
    <w:rsid w:val="008048EF"/>
    <w:rsid w:val="00804F72"/>
    <w:rsid w:val="00814F71"/>
    <w:rsid w:val="00821E3F"/>
    <w:rsid w:val="00822601"/>
    <w:rsid w:val="00822830"/>
    <w:rsid w:val="00823320"/>
    <w:rsid w:val="00840174"/>
    <w:rsid w:val="008417F4"/>
    <w:rsid w:val="0086789A"/>
    <w:rsid w:val="008905DD"/>
    <w:rsid w:val="00892ECB"/>
    <w:rsid w:val="008A5A73"/>
    <w:rsid w:val="008B2E69"/>
    <w:rsid w:val="008B5701"/>
    <w:rsid w:val="008C56E5"/>
    <w:rsid w:val="008C7AEC"/>
    <w:rsid w:val="008F3BA0"/>
    <w:rsid w:val="008F5F53"/>
    <w:rsid w:val="008F608D"/>
    <w:rsid w:val="008F6EB9"/>
    <w:rsid w:val="00902EFF"/>
    <w:rsid w:val="00904A3B"/>
    <w:rsid w:val="00905BB1"/>
    <w:rsid w:val="00917645"/>
    <w:rsid w:val="00920014"/>
    <w:rsid w:val="00923F56"/>
    <w:rsid w:val="00931482"/>
    <w:rsid w:val="009324C3"/>
    <w:rsid w:val="0093255E"/>
    <w:rsid w:val="00936955"/>
    <w:rsid w:val="0096624C"/>
    <w:rsid w:val="009846C6"/>
    <w:rsid w:val="0098520D"/>
    <w:rsid w:val="009878BD"/>
    <w:rsid w:val="00987CF9"/>
    <w:rsid w:val="00996BE3"/>
    <w:rsid w:val="009A2A70"/>
    <w:rsid w:val="009B36BC"/>
    <w:rsid w:val="009B45B3"/>
    <w:rsid w:val="009C5052"/>
    <w:rsid w:val="009C5246"/>
    <w:rsid w:val="009C6E89"/>
    <w:rsid w:val="009D274E"/>
    <w:rsid w:val="009D6442"/>
    <w:rsid w:val="009D744C"/>
    <w:rsid w:val="009D77EE"/>
    <w:rsid w:val="009E2623"/>
    <w:rsid w:val="009E3E52"/>
    <w:rsid w:val="009E6111"/>
    <w:rsid w:val="009F1F4A"/>
    <w:rsid w:val="009F482C"/>
    <w:rsid w:val="00A02CAC"/>
    <w:rsid w:val="00A046EC"/>
    <w:rsid w:val="00A247CC"/>
    <w:rsid w:val="00A61568"/>
    <w:rsid w:val="00A9516B"/>
    <w:rsid w:val="00AA2CA8"/>
    <w:rsid w:val="00AA5C78"/>
    <w:rsid w:val="00AB56A2"/>
    <w:rsid w:val="00AC3650"/>
    <w:rsid w:val="00AE0D4C"/>
    <w:rsid w:val="00AE5D58"/>
    <w:rsid w:val="00AF33D2"/>
    <w:rsid w:val="00AF421F"/>
    <w:rsid w:val="00AF4BD4"/>
    <w:rsid w:val="00B14707"/>
    <w:rsid w:val="00B15CF5"/>
    <w:rsid w:val="00B223D9"/>
    <w:rsid w:val="00B25BE2"/>
    <w:rsid w:val="00B261C3"/>
    <w:rsid w:val="00B270C0"/>
    <w:rsid w:val="00B43FC6"/>
    <w:rsid w:val="00B45F53"/>
    <w:rsid w:val="00B50490"/>
    <w:rsid w:val="00B632F8"/>
    <w:rsid w:val="00B632FD"/>
    <w:rsid w:val="00B63AC4"/>
    <w:rsid w:val="00B8242A"/>
    <w:rsid w:val="00B8434B"/>
    <w:rsid w:val="00BA0C12"/>
    <w:rsid w:val="00BA6C6B"/>
    <w:rsid w:val="00BE2440"/>
    <w:rsid w:val="00BF1144"/>
    <w:rsid w:val="00BF4CF5"/>
    <w:rsid w:val="00C22A6C"/>
    <w:rsid w:val="00C36D71"/>
    <w:rsid w:val="00C42BC3"/>
    <w:rsid w:val="00C7006B"/>
    <w:rsid w:val="00C76125"/>
    <w:rsid w:val="00C77025"/>
    <w:rsid w:val="00C82B22"/>
    <w:rsid w:val="00C84BCF"/>
    <w:rsid w:val="00C869AD"/>
    <w:rsid w:val="00C9073A"/>
    <w:rsid w:val="00C92573"/>
    <w:rsid w:val="00C94567"/>
    <w:rsid w:val="00C94584"/>
    <w:rsid w:val="00CA05B1"/>
    <w:rsid w:val="00CA3222"/>
    <w:rsid w:val="00CA5846"/>
    <w:rsid w:val="00CA6CB6"/>
    <w:rsid w:val="00CB3530"/>
    <w:rsid w:val="00CC0113"/>
    <w:rsid w:val="00CE4C06"/>
    <w:rsid w:val="00CF0511"/>
    <w:rsid w:val="00CF22B9"/>
    <w:rsid w:val="00D244F9"/>
    <w:rsid w:val="00D24F63"/>
    <w:rsid w:val="00D30BBE"/>
    <w:rsid w:val="00D35E87"/>
    <w:rsid w:val="00D51669"/>
    <w:rsid w:val="00D57567"/>
    <w:rsid w:val="00D64C73"/>
    <w:rsid w:val="00D70FE5"/>
    <w:rsid w:val="00D7195D"/>
    <w:rsid w:val="00D77F7C"/>
    <w:rsid w:val="00D9154B"/>
    <w:rsid w:val="00D91A5B"/>
    <w:rsid w:val="00DA0EAC"/>
    <w:rsid w:val="00DA5405"/>
    <w:rsid w:val="00E0165F"/>
    <w:rsid w:val="00E141F7"/>
    <w:rsid w:val="00E32FD5"/>
    <w:rsid w:val="00E37CF8"/>
    <w:rsid w:val="00E610E1"/>
    <w:rsid w:val="00E618C5"/>
    <w:rsid w:val="00E672DD"/>
    <w:rsid w:val="00E71722"/>
    <w:rsid w:val="00E85176"/>
    <w:rsid w:val="00E8638C"/>
    <w:rsid w:val="00EC3301"/>
    <w:rsid w:val="00EE48FE"/>
    <w:rsid w:val="00F0053A"/>
    <w:rsid w:val="00F035CD"/>
    <w:rsid w:val="00F068E1"/>
    <w:rsid w:val="00F07ED8"/>
    <w:rsid w:val="00F11BF5"/>
    <w:rsid w:val="00F21E08"/>
    <w:rsid w:val="00F32CC2"/>
    <w:rsid w:val="00F5108B"/>
    <w:rsid w:val="00F54F92"/>
    <w:rsid w:val="00F6662B"/>
    <w:rsid w:val="00F67F4D"/>
    <w:rsid w:val="00F74C65"/>
    <w:rsid w:val="00F770BA"/>
    <w:rsid w:val="00F86C57"/>
    <w:rsid w:val="00F94427"/>
    <w:rsid w:val="00FA3617"/>
    <w:rsid w:val="00FB1FE4"/>
    <w:rsid w:val="00FB2952"/>
    <w:rsid w:val="00FC625A"/>
    <w:rsid w:val="00FC6F76"/>
    <w:rsid w:val="00FD30A4"/>
    <w:rsid w:val="00FD45AC"/>
    <w:rsid w:val="00FF0842"/>
    <w:rsid w:val="00FF2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D08B9D"/>
  <w14:defaultImageDpi w14:val="330"/>
  <w15:chartTrackingRefBased/>
  <w15:docId w15:val="{2D39A567-AD7E-42D8-AE0F-E5DB4B89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AE5D58"/>
    <w:pPr>
      <w:widowControl w:val="0"/>
      <w:autoSpaceDE w:val="0"/>
      <w:autoSpaceDN w:val="0"/>
    </w:pPr>
    <w:rPr>
      <w:rFonts w:ascii="Arial" w:eastAsia="Arial" w:hAnsi="Arial" w:cs="Arial"/>
      <w:sz w:val="22"/>
      <w:szCs w:val="22"/>
      <w:lang w:val="en-US" w:bidi="en-US"/>
    </w:rPr>
  </w:style>
  <w:style w:type="paragraph" w:styleId="Heading1">
    <w:name w:val="heading 1"/>
    <w:basedOn w:val="Normal"/>
    <w:next w:val="Normal"/>
    <w:link w:val="Heading1Char"/>
    <w:qFormat/>
    <w:rsid w:val="00503F09"/>
    <w:pPr>
      <w:keepNext/>
      <w:keepLines/>
      <w:autoSpaceDE/>
      <w:autoSpaceDN/>
      <w:spacing w:before="120" w:after="120" w:line="320" w:lineRule="atLeast"/>
      <w:outlineLvl w:val="0"/>
    </w:pPr>
    <w:rPr>
      <w:rFonts w:eastAsia="Times New Roman"/>
      <w:b/>
      <w:color w:val="000000" w:themeColor="text1"/>
      <w:sz w:val="32"/>
      <w:szCs w:val="32"/>
      <w:lang w:val="en-GB" w:bidi="ar-SA"/>
    </w:rPr>
  </w:style>
  <w:style w:type="paragraph" w:styleId="Heading2">
    <w:name w:val="heading 2"/>
    <w:basedOn w:val="Normal"/>
    <w:next w:val="Normal"/>
    <w:link w:val="Heading2Char"/>
    <w:uiPriority w:val="1"/>
    <w:unhideWhenUsed/>
    <w:qFormat/>
    <w:rsid w:val="00503F09"/>
    <w:pPr>
      <w:keepNext/>
      <w:keepLines/>
      <w:autoSpaceDE/>
      <w:autoSpaceDN/>
      <w:spacing w:before="360" w:after="40" w:line="320" w:lineRule="atLeast"/>
      <w:outlineLvl w:val="1"/>
    </w:pPr>
    <w:rPr>
      <w:rFonts w:eastAsia="Times New Roman" w:cs="Times New Roman"/>
      <w:b/>
      <w:color w:val="9B2C98"/>
      <w:sz w:val="28"/>
      <w:szCs w:val="24"/>
      <w:lang w:val="en-GB" w:bidi="ar-SA"/>
    </w:rPr>
  </w:style>
  <w:style w:type="paragraph" w:styleId="Heading3">
    <w:name w:val="heading 3"/>
    <w:basedOn w:val="Normal"/>
    <w:next w:val="Normal"/>
    <w:link w:val="Heading3Char"/>
    <w:uiPriority w:val="1"/>
    <w:unhideWhenUsed/>
    <w:qFormat/>
    <w:rsid w:val="00503F09"/>
    <w:pPr>
      <w:keepNext/>
      <w:keepLines/>
      <w:autoSpaceDE/>
      <w:autoSpaceDN/>
      <w:spacing w:before="360" w:after="120" w:line="280" w:lineRule="atLeast"/>
      <w:outlineLvl w:val="2"/>
    </w:pPr>
    <w:rPr>
      <w:rFonts w:eastAsia="Times New Roman"/>
      <w:b/>
      <w:color w:val="000000" w:themeColor="text1"/>
      <w:sz w:val="24"/>
      <w:szCs w:val="24"/>
      <w:lang w:val="en-GB" w:bidi="ar-SA"/>
    </w:rPr>
  </w:style>
  <w:style w:type="paragraph" w:styleId="Heading4">
    <w:name w:val="heading 4"/>
    <w:basedOn w:val="Normal"/>
    <w:next w:val="Normal"/>
    <w:link w:val="Heading4Char"/>
    <w:uiPriority w:val="1"/>
    <w:qFormat/>
    <w:rsid w:val="00503F09"/>
    <w:pPr>
      <w:keepNext/>
      <w:keepLines/>
      <w:autoSpaceDE/>
      <w:autoSpaceDN/>
      <w:spacing w:before="360" w:after="120" w:line="280" w:lineRule="atLeast"/>
      <w:outlineLvl w:val="3"/>
    </w:pPr>
    <w:rPr>
      <w:rFonts w:eastAsia="Times New Roman"/>
      <w:b/>
      <w:bCs/>
      <w:color w:val="951B81"/>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autoSpaceDE/>
      <w:autoSpaceDN/>
      <w:spacing w:after="120" w:line="240" w:lineRule="atLeast"/>
    </w:pPr>
    <w:rPr>
      <w:rFonts w:eastAsia="Times New Roman" w:cs="Times New Roman"/>
      <w:sz w:val="24"/>
      <w:szCs w:val="24"/>
      <w:lang w:val="en-GB" w:bidi="ar-SA"/>
    </w:rPr>
  </w:style>
  <w:style w:type="paragraph" w:customStyle="1" w:styleId="LGAintrotext">
    <w:name w:val="LGA intro text"/>
    <w:basedOn w:val="Normal"/>
    <w:next w:val="Normal"/>
    <w:uiPriority w:val="2"/>
    <w:qFormat/>
    <w:rsid w:val="00C77025"/>
    <w:pPr>
      <w:autoSpaceDE/>
      <w:autoSpaceDN/>
      <w:adjustRightInd w:val="0"/>
      <w:snapToGrid w:val="0"/>
      <w:spacing w:after="360" w:line="240" w:lineRule="atLeast"/>
    </w:pPr>
    <w:rPr>
      <w:rFonts w:eastAsia="Times New Roman" w:cs="Times New Roman"/>
      <w:color w:val="9B2C98"/>
      <w:sz w:val="28"/>
      <w:szCs w:val="24"/>
      <w:lang w:val="en-GB" w:bidi="ar-SA"/>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autoSpaceDE/>
      <w:autoSpaceDN/>
      <w:spacing w:after="120" w:line="240" w:lineRule="atLeast"/>
    </w:pPr>
    <w:rPr>
      <w:rFonts w:eastAsia="Times New Roman" w:cs="Times New Roman"/>
      <w:sz w:val="24"/>
      <w:szCs w:val="24"/>
      <w:lang w:val="en-GB" w:bidi="ar-SA"/>
    </w:r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pPr>
      <w:autoSpaceDE/>
      <w:autoSpaceDN/>
      <w:spacing w:after="120" w:line="240" w:lineRule="atLeast"/>
    </w:pPr>
    <w:rPr>
      <w:rFonts w:ascii="Lucida Grande" w:eastAsia="Times New Roman" w:hAnsi="Lucida Grande" w:cs="Lucida Grande"/>
      <w:sz w:val="18"/>
      <w:szCs w:val="18"/>
      <w:lang w:val="en-GB" w:bidi="ar-SA"/>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autoSpaceDE/>
      <w:autoSpaceDN/>
      <w:spacing w:before="100" w:beforeAutospacing="1" w:after="100" w:afterAutospacing="1" w:line="240" w:lineRule="atLeast"/>
    </w:pPr>
    <w:rPr>
      <w:rFonts w:ascii="Times New Roman" w:eastAsia="Times New Roman" w:hAnsi="Times New Roman" w:cs="Times New Roman"/>
      <w:sz w:val="20"/>
      <w:szCs w:val="20"/>
      <w:lang w:val="en-GB" w:bidi="ar-SA"/>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autoSpaceDE/>
      <w:autoSpaceDN/>
      <w:spacing w:after="120" w:line="240" w:lineRule="atLeast"/>
    </w:pPr>
    <w:rPr>
      <w:rFonts w:eastAsia="Times New Roman" w:cs="Times New Roman"/>
      <w:sz w:val="24"/>
      <w:szCs w:val="24"/>
      <w:lang w:val="en-GB" w:bidi="ar-SA"/>
    </w:rPr>
  </w:style>
  <w:style w:type="paragraph" w:customStyle="1" w:styleId="Covereventname">
    <w:name w:val="Cover event name"/>
    <w:basedOn w:val="Normal"/>
    <w:next w:val="Normal"/>
    <w:uiPriority w:val="4"/>
    <w:rsid w:val="00CA3222"/>
    <w:pPr>
      <w:spacing w:before="120"/>
    </w:pPr>
    <w:rPr>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pPr>
      <w:autoSpaceDE/>
      <w:autoSpaceDN/>
      <w:spacing w:after="120" w:line="240" w:lineRule="atLeast"/>
    </w:pPr>
    <w:rPr>
      <w:rFonts w:eastAsia="Times New Roman" w:cs="Times New Roman"/>
      <w:iCs/>
      <w:color w:val="9B2C98"/>
      <w:sz w:val="24"/>
      <w:szCs w:val="18"/>
      <w:lang w:val="en-GB" w:bidi="ar-SA"/>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autoSpaceDE/>
      <w:autoSpaceDN/>
      <w:spacing w:after="120" w:line="240" w:lineRule="atLeast"/>
      <w:contextualSpacing/>
    </w:pPr>
    <w:rPr>
      <w:rFonts w:eastAsia="Times New Roman" w:cs="Times New Roman"/>
      <w:sz w:val="24"/>
      <w:szCs w:val="24"/>
      <w:lang w:val="en-GB" w:bidi="ar-SA"/>
    </w:rPr>
  </w:style>
  <w:style w:type="paragraph" w:styleId="List">
    <w:name w:val="List"/>
    <w:basedOn w:val="Normal"/>
    <w:uiPriority w:val="99"/>
    <w:semiHidden/>
    <w:unhideWhenUsed/>
    <w:rsid w:val="008F5F53"/>
    <w:pPr>
      <w:autoSpaceDE/>
      <w:autoSpaceDN/>
      <w:spacing w:after="120" w:line="240" w:lineRule="atLeast"/>
      <w:ind w:left="283" w:hanging="283"/>
      <w:contextualSpacing/>
    </w:pPr>
    <w:rPr>
      <w:rFonts w:eastAsia="Times New Roman" w:cs="Times New Roman"/>
      <w:sz w:val="24"/>
      <w:szCs w:val="24"/>
      <w:lang w:val="en-GB" w:bidi="ar-SA"/>
    </w:r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pPr>
      <w:autoSpaceDE/>
      <w:autoSpaceDN/>
      <w:spacing w:after="120" w:line="240" w:lineRule="atLeast"/>
    </w:pPr>
    <w:rPr>
      <w:rFonts w:eastAsia="Times New Roman" w:cs="Times New Roman"/>
      <w:sz w:val="20"/>
      <w:szCs w:val="20"/>
      <w:lang w:val="en-GB" w:bidi="ar-SA"/>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autoSpaceDE/>
      <w:autoSpaceDN/>
      <w:spacing w:after="120" w:line="240" w:lineRule="atLeast"/>
      <w:ind w:left="720"/>
      <w:contextualSpacing/>
    </w:pPr>
    <w:rPr>
      <w:rFonts w:eastAsia="Times New Roman" w:cs="Times New Roman"/>
      <w:sz w:val="24"/>
      <w:szCs w:val="24"/>
      <w:lang w:val="en-GB" w:bidi="ar-SA"/>
    </w:rPr>
  </w:style>
  <w:style w:type="paragraph" w:styleId="TOCHeading">
    <w:name w:val="TOC Heading"/>
    <w:basedOn w:val="Heading1"/>
    <w:next w:val="Normal"/>
    <w:uiPriority w:val="39"/>
    <w:unhideWhenUsed/>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autoSpaceDE/>
      <w:autoSpaceDN/>
      <w:spacing w:after="100" w:line="240" w:lineRule="atLeast"/>
    </w:pPr>
    <w:rPr>
      <w:rFonts w:eastAsia="Times New Roman" w:cs="Times New Roman"/>
      <w:sz w:val="24"/>
      <w:szCs w:val="24"/>
      <w:lang w:val="en-GB" w:bidi="ar-SA"/>
    </w:rPr>
  </w:style>
  <w:style w:type="paragraph" w:styleId="TOC2">
    <w:name w:val="toc 2"/>
    <w:basedOn w:val="Normal"/>
    <w:next w:val="Normal"/>
    <w:autoRedefine/>
    <w:uiPriority w:val="39"/>
    <w:unhideWhenUsed/>
    <w:rsid w:val="0016146B"/>
    <w:pPr>
      <w:autoSpaceDE/>
      <w:autoSpaceDN/>
      <w:spacing w:after="100" w:line="240" w:lineRule="atLeast"/>
      <w:ind w:left="240"/>
    </w:pPr>
    <w:rPr>
      <w:rFonts w:eastAsia="Times New Roman" w:cs="Times New Roman"/>
      <w:sz w:val="24"/>
      <w:szCs w:val="24"/>
      <w:lang w:val="en-GB" w:bidi="ar-SA"/>
    </w:rPr>
  </w:style>
  <w:style w:type="paragraph" w:styleId="TOC3">
    <w:name w:val="toc 3"/>
    <w:basedOn w:val="Normal"/>
    <w:next w:val="Normal"/>
    <w:autoRedefine/>
    <w:uiPriority w:val="39"/>
    <w:unhideWhenUsed/>
    <w:rsid w:val="0016146B"/>
    <w:pPr>
      <w:autoSpaceDE/>
      <w:autoSpaceDN/>
      <w:spacing w:after="100" w:line="240" w:lineRule="atLeast"/>
      <w:ind w:left="480"/>
    </w:pPr>
    <w:rPr>
      <w:rFonts w:eastAsia="Times New Roman" w:cs="Times New Roman"/>
      <w:sz w:val="24"/>
      <w:szCs w:val="24"/>
      <w:lang w:val="en-GB" w:bidi="ar-SA"/>
    </w:r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2133860176">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74594077">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2d8b33-93e9-4cb7-9123-89740574f838" xsi:nil="true"/>
    <lcf76f155ced4ddcb4097134ff3c332f xmlns="414783d2-565d-490b-98c7-46834bb9730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BD98CB97C1CB4D884213557209657C" ma:contentTypeVersion="17" ma:contentTypeDescription="Create a new document." ma:contentTypeScope="" ma:versionID="c16ecfe5488a7f39cbc8be554e73d8e4">
  <xsd:schema xmlns:xsd="http://www.w3.org/2001/XMLSchema" xmlns:xs="http://www.w3.org/2001/XMLSchema" xmlns:p="http://schemas.microsoft.com/office/2006/metadata/properties" xmlns:ns2="414783d2-565d-490b-98c7-46834bb9730e" xmlns:ns3="be2d8b33-93e9-4cb7-9123-89740574f838" targetNamespace="http://schemas.microsoft.com/office/2006/metadata/properties" ma:root="true" ma:fieldsID="3b28cffa266f55f04f1134f34fd199f2" ns2:_="" ns3:_="">
    <xsd:import namespace="414783d2-565d-490b-98c7-46834bb9730e"/>
    <xsd:import namespace="be2d8b33-93e9-4cb7-9123-89740574f8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783d2-565d-490b-98c7-46834bb973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55a3c01-0596-43f0-a710-09e72a17d88f}"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01934e03-57f1-41f0-ad8f-894faf207c7d"/>
    <ds:schemaRef ds:uri="be2d8b33-93e9-4cb7-9123-89740574f838"/>
    <ds:schemaRef ds:uri="414783d2-565d-490b-98c7-46834bb9730e"/>
  </ds:schemaRefs>
</ds:datastoreItem>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146D1625-97CF-493E-BF88-57C710699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783d2-565d-490b-98c7-46834bb9730e"/>
    <ds:schemaRef ds:uri="be2d8b33-93e9-4cb7-9123-89740574f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Anderson</dc:creator>
  <cp:keywords/>
  <dc:description/>
  <cp:lastModifiedBy>Gail Anderson</cp:lastModifiedBy>
  <cp:revision>4</cp:revision>
  <cp:lastPrinted>2022-07-21T08:46:00Z</cp:lastPrinted>
  <dcterms:created xsi:type="dcterms:W3CDTF">2023-12-29T12:11:00Z</dcterms:created>
  <dcterms:modified xsi:type="dcterms:W3CDTF">2024-01-18T09:58:00Z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0x01010052BD98CB97C1CB4D884213557209657C</vt:lpwstr>
  </property>
  <property fmtid="{D5CDD505-2E9C-101B-9397-08002B2CF9AE}" pid="3" name="MediaServiceImageTags">
    <vt:lpwstr/>
  </property>
</Properties>
</file>