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84FA" w14:textId="077E0849" w:rsidR="00B15CF5" w:rsidRDefault="003B414F" w:rsidP="003B414F">
      <w:pPr>
        <w:pStyle w:val="Heading1"/>
      </w:pPr>
      <w:r>
        <w:t>Enabler 3 Workforce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56"/>
        <w:gridCol w:w="2126"/>
        <w:gridCol w:w="2268"/>
        <w:gridCol w:w="2268"/>
        <w:gridCol w:w="2410"/>
      </w:tblGrid>
      <w:tr w:rsidR="00925EE5" w:rsidRPr="00925EE5" w14:paraId="4135B6C2" w14:textId="77777777" w:rsidTr="00925EE5">
        <w:tc>
          <w:tcPr>
            <w:tcW w:w="1992" w:type="dxa"/>
            <w:shd w:val="clear" w:color="auto" w:fill="0B768C"/>
          </w:tcPr>
          <w:p w14:paraId="68DC18F1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  <w:p w14:paraId="5420A6A5" w14:textId="798B1CC8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  <w:r w:rsidRPr="00925EE5">
              <w:rPr>
                <w:color w:val="FFFFFF" w:themeColor="background1"/>
              </w:rPr>
              <w:t>Name of change</w:t>
            </w:r>
          </w:p>
        </w:tc>
        <w:tc>
          <w:tcPr>
            <w:tcW w:w="2256" w:type="dxa"/>
            <w:shd w:val="clear" w:color="auto" w:fill="0B768C"/>
          </w:tcPr>
          <w:p w14:paraId="5D21ECED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  <w:p w14:paraId="0EC629C7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  <w:r w:rsidRPr="00925EE5">
              <w:rPr>
                <w:color w:val="FFFFFF" w:themeColor="background1"/>
              </w:rPr>
              <w:t xml:space="preserve">Not yet </w:t>
            </w:r>
            <w:proofErr w:type="gramStart"/>
            <w:r w:rsidRPr="00925EE5">
              <w:rPr>
                <w:color w:val="FFFFFF" w:themeColor="background1"/>
              </w:rPr>
              <w:t>established</w:t>
            </w:r>
            <w:proofErr w:type="gramEnd"/>
          </w:p>
          <w:p w14:paraId="03A5F245" w14:textId="0E4024EE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0B768C"/>
          </w:tcPr>
          <w:p w14:paraId="4943B610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  <w:p w14:paraId="104BEAE1" w14:textId="6B8F93F5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  <w:r w:rsidRPr="00925EE5">
              <w:rPr>
                <w:color w:val="FFFFFF" w:themeColor="background1"/>
              </w:rPr>
              <w:t xml:space="preserve">Plans in </w:t>
            </w:r>
            <w:r w:rsidRPr="00925EE5">
              <w:rPr>
                <w:color w:val="FFFFFF" w:themeColor="background1"/>
              </w:rPr>
              <w:t>p</w:t>
            </w:r>
            <w:r w:rsidRPr="00925EE5">
              <w:rPr>
                <w:color w:val="FFFFFF" w:themeColor="background1"/>
              </w:rPr>
              <w:t>lace</w:t>
            </w:r>
          </w:p>
        </w:tc>
        <w:tc>
          <w:tcPr>
            <w:tcW w:w="2268" w:type="dxa"/>
            <w:shd w:val="clear" w:color="auto" w:fill="0B768C"/>
          </w:tcPr>
          <w:p w14:paraId="7A50EE73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  <w:p w14:paraId="4B7E7ADA" w14:textId="6C82CC2A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  <w:r w:rsidRPr="00925EE5">
              <w:rPr>
                <w:color w:val="FFFFFF" w:themeColor="background1"/>
              </w:rPr>
              <w:t>Established</w:t>
            </w:r>
          </w:p>
        </w:tc>
        <w:tc>
          <w:tcPr>
            <w:tcW w:w="2268" w:type="dxa"/>
            <w:shd w:val="clear" w:color="auto" w:fill="0B768C"/>
          </w:tcPr>
          <w:p w14:paraId="456E6D2A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  <w:p w14:paraId="4E3BD11D" w14:textId="08101B32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  <w:r w:rsidRPr="00925EE5">
              <w:rPr>
                <w:color w:val="FFFFFF" w:themeColor="background1"/>
              </w:rPr>
              <w:t>Mature</w:t>
            </w:r>
          </w:p>
        </w:tc>
        <w:tc>
          <w:tcPr>
            <w:tcW w:w="2410" w:type="dxa"/>
            <w:shd w:val="clear" w:color="auto" w:fill="0B768C"/>
          </w:tcPr>
          <w:p w14:paraId="4DA60D23" w14:textId="7777777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</w:p>
          <w:p w14:paraId="67D23028" w14:textId="3A2FEA87" w:rsidR="003B414F" w:rsidRPr="00925EE5" w:rsidRDefault="003B414F" w:rsidP="00925EE5">
            <w:pPr>
              <w:pStyle w:val="Heading2"/>
              <w:rPr>
                <w:color w:val="FFFFFF" w:themeColor="background1"/>
              </w:rPr>
            </w:pPr>
            <w:r w:rsidRPr="00925EE5">
              <w:rPr>
                <w:color w:val="FFFFFF" w:themeColor="background1"/>
              </w:rPr>
              <w:t>Exemplary</w:t>
            </w:r>
          </w:p>
        </w:tc>
      </w:tr>
      <w:tr w:rsidR="003B414F" w14:paraId="738B0A75" w14:textId="77777777" w:rsidTr="00925EE5">
        <w:tc>
          <w:tcPr>
            <w:tcW w:w="1992" w:type="dxa"/>
            <w:shd w:val="clear" w:color="auto" w:fill="64C3D2"/>
          </w:tcPr>
          <w:p w14:paraId="443D1BBE" w14:textId="77777777" w:rsidR="003B414F" w:rsidRDefault="003B414F" w:rsidP="003B414F"/>
          <w:p w14:paraId="44B105E5" w14:textId="189EEB14" w:rsidR="003B414F" w:rsidRDefault="003B414F" w:rsidP="003B414F">
            <w:r w:rsidRPr="003B414F">
              <w:t>Workforce engagement and feedback</w:t>
            </w:r>
          </w:p>
        </w:tc>
        <w:tc>
          <w:tcPr>
            <w:tcW w:w="2256" w:type="dxa"/>
            <w:shd w:val="clear" w:color="auto" w:fill="64C3D2"/>
          </w:tcPr>
          <w:p w14:paraId="4285AC93" w14:textId="77777777" w:rsidR="003B414F" w:rsidRDefault="003B414F" w:rsidP="003B414F"/>
          <w:p w14:paraId="563BFEBA" w14:textId="083ED601" w:rsidR="003B414F" w:rsidRDefault="003B414F" w:rsidP="003B414F">
            <w:r w:rsidRPr="003B414F">
              <w:t>There is limited workforce engagement, with at most a survey once a year</w:t>
            </w:r>
            <w:r>
              <w:t>.</w:t>
            </w:r>
          </w:p>
        </w:tc>
        <w:tc>
          <w:tcPr>
            <w:tcW w:w="2126" w:type="dxa"/>
            <w:shd w:val="clear" w:color="auto" w:fill="64C3D2"/>
          </w:tcPr>
          <w:p w14:paraId="411E6F88" w14:textId="77777777" w:rsidR="003B414F" w:rsidRDefault="003B414F" w:rsidP="003B414F"/>
          <w:p w14:paraId="56A80BEC" w14:textId="35B8A92C" w:rsidR="003B414F" w:rsidRDefault="003B414F" w:rsidP="003B414F">
            <w:r w:rsidRPr="003B414F">
              <w:t>There is a review on workforce engagement which includes feedback from the workforce</w:t>
            </w:r>
            <w:r>
              <w:t>.</w:t>
            </w:r>
          </w:p>
        </w:tc>
        <w:tc>
          <w:tcPr>
            <w:tcW w:w="2268" w:type="dxa"/>
            <w:shd w:val="clear" w:color="auto" w:fill="64C3D2"/>
          </w:tcPr>
          <w:p w14:paraId="4AD5278E" w14:textId="77777777" w:rsidR="003B414F" w:rsidRDefault="003B414F" w:rsidP="003B414F"/>
          <w:p w14:paraId="13857FC2" w14:textId="172D08D6" w:rsidR="003B414F" w:rsidRDefault="003B414F" w:rsidP="003B414F">
            <w:r w:rsidRPr="003B414F">
              <w:t>The workforce is engaged at least quarterly to understand their opinions and current feelings towards the organisation</w:t>
            </w:r>
            <w:r>
              <w:t>.</w:t>
            </w:r>
          </w:p>
          <w:p w14:paraId="07DE3B39" w14:textId="672B1C86" w:rsidR="003B414F" w:rsidRDefault="003B414F" w:rsidP="003B414F"/>
        </w:tc>
        <w:tc>
          <w:tcPr>
            <w:tcW w:w="2268" w:type="dxa"/>
            <w:shd w:val="clear" w:color="auto" w:fill="64C3D2"/>
          </w:tcPr>
          <w:p w14:paraId="4F49B4A8" w14:textId="77777777" w:rsidR="003B414F" w:rsidRDefault="003B414F" w:rsidP="003B414F"/>
          <w:p w14:paraId="7392AF0E" w14:textId="489F026E" w:rsidR="003B414F" w:rsidRDefault="003B414F" w:rsidP="003B414F">
            <w:r w:rsidRPr="003B414F">
              <w:t>The workforce is engaged at least quarterly to understand their opinions and current feelings towards the organisation. The engagement leads to tangible action that is visible to the wider workforce</w:t>
            </w:r>
            <w:r>
              <w:t>.</w:t>
            </w:r>
          </w:p>
        </w:tc>
        <w:tc>
          <w:tcPr>
            <w:tcW w:w="2410" w:type="dxa"/>
            <w:shd w:val="clear" w:color="auto" w:fill="64C3D2"/>
          </w:tcPr>
          <w:p w14:paraId="03B9560E" w14:textId="77777777" w:rsidR="003B414F" w:rsidRDefault="003B414F" w:rsidP="003B414F"/>
          <w:p w14:paraId="7D6EC9D1" w14:textId="77777777" w:rsidR="003B414F" w:rsidRDefault="003B414F" w:rsidP="003B414F">
            <w:r>
              <w:t>The workforce is engaged at least quarterly to understand their opinions and current feelings towards the organisation. The engagement leads to tangible action that is visible to the wider workforce.</w:t>
            </w:r>
          </w:p>
          <w:p w14:paraId="5D529283" w14:textId="1E414273" w:rsidR="003B414F" w:rsidRDefault="003B414F" w:rsidP="003B414F">
            <w:r>
              <w:t>Whenever there are pieces of transformation, the workforce is appropriately engaged.</w:t>
            </w:r>
          </w:p>
        </w:tc>
      </w:tr>
      <w:tr w:rsidR="003B414F" w14:paraId="40F725B5" w14:textId="77777777" w:rsidTr="00925EE5">
        <w:tc>
          <w:tcPr>
            <w:tcW w:w="1992" w:type="dxa"/>
            <w:shd w:val="clear" w:color="auto" w:fill="64C3D2"/>
          </w:tcPr>
          <w:p w14:paraId="5D2B72BE" w14:textId="77777777" w:rsidR="003B414F" w:rsidRDefault="003B414F" w:rsidP="003B414F"/>
          <w:p w14:paraId="381D0D2F" w14:textId="73782A4C" w:rsidR="003B414F" w:rsidRDefault="003B414F" w:rsidP="003B414F">
            <w:r w:rsidRPr="003B414F">
              <w:t>Attractive career structure</w:t>
            </w:r>
          </w:p>
        </w:tc>
        <w:tc>
          <w:tcPr>
            <w:tcW w:w="2256" w:type="dxa"/>
            <w:shd w:val="clear" w:color="auto" w:fill="64C3D2"/>
          </w:tcPr>
          <w:p w14:paraId="446338EF" w14:textId="77777777" w:rsidR="003B414F" w:rsidRDefault="003B414F" w:rsidP="003B414F"/>
          <w:p w14:paraId="4D8FA674" w14:textId="2E50CC8E" w:rsidR="003B414F" w:rsidRDefault="003B414F" w:rsidP="003B414F">
            <w:r w:rsidRPr="003B414F">
              <w:t>Staff are not clear on what progression or opportunities exist for them within the organisation.</w:t>
            </w:r>
          </w:p>
        </w:tc>
        <w:tc>
          <w:tcPr>
            <w:tcW w:w="2126" w:type="dxa"/>
            <w:shd w:val="clear" w:color="auto" w:fill="64C3D2"/>
          </w:tcPr>
          <w:p w14:paraId="3F419299" w14:textId="77777777" w:rsidR="003B414F" w:rsidRDefault="003B414F" w:rsidP="003B414F"/>
          <w:p w14:paraId="1AF19CF0" w14:textId="5B11151C" w:rsidR="003B414F" w:rsidRDefault="003B414F" w:rsidP="003B414F">
            <w:r w:rsidRPr="003B414F">
              <w:t>A review of the career structure is being undertaken.</w:t>
            </w:r>
          </w:p>
        </w:tc>
        <w:tc>
          <w:tcPr>
            <w:tcW w:w="2268" w:type="dxa"/>
            <w:shd w:val="clear" w:color="auto" w:fill="64C3D2"/>
          </w:tcPr>
          <w:p w14:paraId="40A64C9E" w14:textId="77777777" w:rsidR="003B414F" w:rsidRDefault="003B414F" w:rsidP="003B414F"/>
          <w:p w14:paraId="421E7323" w14:textId="266DE38C" w:rsidR="003B414F" w:rsidRDefault="003B414F" w:rsidP="003B414F">
            <w:r w:rsidRPr="003B414F">
              <w:t>There is a clearly documented pathway for career progression available to those who want it.</w:t>
            </w:r>
          </w:p>
        </w:tc>
        <w:tc>
          <w:tcPr>
            <w:tcW w:w="2268" w:type="dxa"/>
            <w:shd w:val="clear" w:color="auto" w:fill="64C3D2"/>
          </w:tcPr>
          <w:p w14:paraId="256907F8" w14:textId="77777777" w:rsidR="003B414F" w:rsidRDefault="003B414F" w:rsidP="003B414F"/>
          <w:p w14:paraId="2533D84A" w14:textId="66BADC71" w:rsidR="003B414F" w:rsidRDefault="003B414F" w:rsidP="003B414F">
            <w:r w:rsidRPr="003B414F">
              <w:t>Career progression opportunities are widely recognised by staff.</w:t>
            </w:r>
          </w:p>
        </w:tc>
        <w:tc>
          <w:tcPr>
            <w:tcW w:w="2410" w:type="dxa"/>
            <w:shd w:val="clear" w:color="auto" w:fill="64C3D2"/>
          </w:tcPr>
          <w:p w14:paraId="229F7752" w14:textId="77777777" w:rsidR="003B414F" w:rsidRDefault="003B414F" w:rsidP="003B414F"/>
          <w:p w14:paraId="50FD48CD" w14:textId="4D623D7A" w:rsidR="003B414F" w:rsidRDefault="003B414F" w:rsidP="003B414F">
            <w:r w:rsidRPr="003B414F">
              <w:t>Career progression opportunities are widely recognised by staff; learning &amp; development are core elements of this.</w:t>
            </w:r>
          </w:p>
        </w:tc>
      </w:tr>
      <w:tr w:rsidR="003B414F" w14:paraId="2CED9108" w14:textId="77777777" w:rsidTr="00925EE5">
        <w:tc>
          <w:tcPr>
            <w:tcW w:w="1992" w:type="dxa"/>
            <w:shd w:val="clear" w:color="auto" w:fill="64C3D2"/>
          </w:tcPr>
          <w:p w14:paraId="622BBA76" w14:textId="77777777" w:rsidR="003B414F" w:rsidRDefault="003B414F" w:rsidP="003B414F"/>
          <w:p w14:paraId="646E58D5" w14:textId="54C90126" w:rsidR="003B414F" w:rsidRDefault="003B414F" w:rsidP="003B414F">
            <w:r w:rsidRPr="003B414F">
              <w:t>Strong local brand</w:t>
            </w:r>
          </w:p>
        </w:tc>
        <w:tc>
          <w:tcPr>
            <w:tcW w:w="2256" w:type="dxa"/>
            <w:shd w:val="clear" w:color="auto" w:fill="64C3D2"/>
          </w:tcPr>
          <w:p w14:paraId="6B7CAC4C" w14:textId="77777777" w:rsidR="003B414F" w:rsidRDefault="003B414F" w:rsidP="003B414F"/>
          <w:p w14:paraId="7852D98A" w14:textId="4A482F47" w:rsidR="003B414F" w:rsidRDefault="003B414F" w:rsidP="003B414F">
            <w:r w:rsidRPr="00EE630F">
              <w:rPr>
                <w:rFonts w:cs="Arial"/>
                <w:sz w:val="22"/>
                <w:szCs w:val="22"/>
              </w:rPr>
              <w:t>Local health and social care organisations have no identifiable brand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64C3D2"/>
          </w:tcPr>
          <w:p w14:paraId="1B59A285" w14:textId="77777777" w:rsidR="003B414F" w:rsidRDefault="003B414F" w:rsidP="003B414F"/>
          <w:p w14:paraId="1D706E22" w14:textId="000305C1" w:rsidR="003B414F" w:rsidRDefault="00DE307A" w:rsidP="003B414F">
            <w:r w:rsidRPr="00DE307A">
              <w:t>A review is underway of the health and social care organisations’ brand as employers.</w:t>
            </w:r>
          </w:p>
        </w:tc>
        <w:tc>
          <w:tcPr>
            <w:tcW w:w="2268" w:type="dxa"/>
            <w:shd w:val="clear" w:color="auto" w:fill="64C3D2"/>
          </w:tcPr>
          <w:p w14:paraId="1E98C648" w14:textId="77777777" w:rsidR="003B414F" w:rsidRDefault="003B414F" w:rsidP="003B414F"/>
          <w:p w14:paraId="7D3DD083" w14:textId="6F3FB4E3" w:rsidR="00DE307A" w:rsidRDefault="00DE307A" w:rsidP="003B414F">
            <w:r w:rsidRPr="00DE307A">
              <w:t>Local health and social care organisations have an identifiable brand.</w:t>
            </w:r>
          </w:p>
        </w:tc>
        <w:tc>
          <w:tcPr>
            <w:tcW w:w="2268" w:type="dxa"/>
            <w:shd w:val="clear" w:color="auto" w:fill="64C3D2"/>
          </w:tcPr>
          <w:p w14:paraId="1F06A48C" w14:textId="77777777" w:rsidR="003B414F" w:rsidRDefault="003B414F" w:rsidP="003B414F"/>
          <w:p w14:paraId="47751A57" w14:textId="1E0F3260" w:rsidR="00DE307A" w:rsidRDefault="00925EE5" w:rsidP="003B414F">
            <w:r w:rsidRPr="00925EE5">
              <w:t>Local health and social care organisations are seen as exciting places to work.</w:t>
            </w:r>
          </w:p>
        </w:tc>
        <w:tc>
          <w:tcPr>
            <w:tcW w:w="2410" w:type="dxa"/>
            <w:shd w:val="clear" w:color="auto" w:fill="64C3D2"/>
          </w:tcPr>
          <w:p w14:paraId="62C40606" w14:textId="77777777" w:rsidR="003B414F" w:rsidRDefault="003B414F" w:rsidP="003B414F"/>
          <w:p w14:paraId="7280530B" w14:textId="39501711" w:rsidR="00925EE5" w:rsidRDefault="00925EE5" w:rsidP="003B414F">
            <w:r w:rsidRPr="00925EE5">
              <w:t>Local health and social care organisations are seen as exciting places to work, with a culture &amp; identity that can be clearly articulated and was developed with the workforce.</w:t>
            </w:r>
          </w:p>
        </w:tc>
      </w:tr>
      <w:tr w:rsidR="00925EE5" w14:paraId="19663C24" w14:textId="77777777" w:rsidTr="00925EE5">
        <w:tc>
          <w:tcPr>
            <w:tcW w:w="1992" w:type="dxa"/>
            <w:shd w:val="clear" w:color="auto" w:fill="64C3D2"/>
          </w:tcPr>
          <w:p w14:paraId="4FADAF11" w14:textId="77777777" w:rsidR="00925EE5" w:rsidRDefault="00925EE5" w:rsidP="003B414F"/>
          <w:p w14:paraId="53FF23A8" w14:textId="162F568A" w:rsidR="00925EE5" w:rsidRDefault="00925EE5" w:rsidP="003B414F">
            <w:r w:rsidRPr="00925EE5">
              <w:t>Long term planning</w:t>
            </w:r>
          </w:p>
        </w:tc>
        <w:tc>
          <w:tcPr>
            <w:tcW w:w="2256" w:type="dxa"/>
            <w:shd w:val="clear" w:color="auto" w:fill="64C3D2"/>
          </w:tcPr>
          <w:p w14:paraId="20A0BC95" w14:textId="77777777" w:rsidR="00925EE5" w:rsidRDefault="00925EE5" w:rsidP="003B414F"/>
          <w:p w14:paraId="7E07C24A" w14:textId="36BEF4CB" w:rsidR="00925EE5" w:rsidRDefault="00925EE5" w:rsidP="003B414F">
            <w:r w:rsidRPr="00925EE5">
              <w:t>There is no long term (five to 10 year) strategic workforce plan in place.</w:t>
            </w:r>
          </w:p>
        </w:tc>
        <w:tc>
          <w:tcPr>
            <w:tcW w:w="2126" w:type="dxa"/>
            <w:shd w:val="clear" w:color="auto" w:fill="64C3D2"/>
          </w:tcPr>
          <w:p w14:paraId="653F92C9" w14:textId="77777777" w:rsidR="00925EE5" w:rsidRDefault="00925EE5" w:rsidP="003B414F"/>
          <w:p w14:paraId="0AB57E0F" w14:textId="14678FBD" w:rsidR="00925EE5" w:rsidRDefault="00925EE5" w:rsidP="003B414F">
            <w:r w:rsidRPr="00925EE5">
              <w:t>A strategic workforce plan is in development.</w:t>
            </w:r>
          </w:p>
        </w:tc>
        <w:tc>
          <w:tcPr>
            <w:tcW w:w="2268" w:type="dxa"/>
            <w:shd w:val="clear" w:color="auto" w:fill="64C3D2"/>
          </w:tcPr>
          <w:p w14:paraId="3BE1D853" w14:textId="77777777" w:rsidR="00925EE5" w:rsidRDefault="00925EE5" w:rsidP="003B414F"/>
          <w:p w14:paraId="6FB1AB96" w14:textId="6CCF9C43" w:rsidR="00925EE5" w:rsidRDefault="00925EE5" w:rsidP="003B414F">
            <w:r w:rsidRPr="00925EE5">
              <w:t>There is a strategic workforce plan in place, with some associated activity to support longer-term recruitment and retention.</w:t>
            </w:r>
          </w:p>
        </w:tc>
        <w:tc>
          <w:tcPr>
            <w:tcW w:w="2268" w:type="dxa"/>
            <w:shd w:val="clear" w:color="auto" w:fill="64C3D2"/>
          </w:tcPr>
          <w:p w14:paraId="744FA517" w14:textId="77777777" w:rsidR="00925EE5" w:rsidRDefault="00925EE5" w:rsidP="003B414F"/>
          <w:p w14:paraId="0E1084CB" w14:textId="79C38F10" w:rsidR="00925EE5" w:rsidRDefault="00925EE5" w:rsidP="003B414F">
            <w:r w:rsidRPr="00925EE5">
              <w:t>The strategic plan is workforce-led wherever possible and is based on up-to-date evidence.</w:t>
            </w:r>
          </w:p>
        </w:tc>
        <w:tc>
          <w:tcPr>
            <w:tcW w:w="2410" w:type="dxa"/>
            <w:shd w:val="clear" w:color="auto" w:fill="64C3D2"/>
          </w:tcPr>
          <w:p w14:paraId="641E8940" w14:textId="77777777" w:rsidR="00925EE5" w:rsidRDefault="00925EE5" w:rsidP="003B414F"/>
          <w:p w14:paraId="2AC3176B" w14:textId="77902AB4" w:rsidR="00925EE5" w:rsidRDefault="00925EE5" w:rsidP="003B414F">
            <w:r w:rsidRPr="00925EE5">
              <w:t>The strategic workforce plan considers ways to challenge wasted capacity and manage demand alongside recruitment and retention.</w:t>
            </w:r>
          </w:p>
        </w:tc>
      </w:tr>
    </w:tbl>
    <w:p w14:paraId="60763298" w14:textId="77777777" w:rsidR="003B414F" w:rsidRPr="003B414F" w:rsidRDefault="003B414F" w:rsidP="003B414F"/>
    <w:sectPr w:rsidR="003B414F" w:rsidRPr="003B414F" w:rsidSect="003B414F">
      <w:footerReference w:type="even" r:id="rId11"/>
      <w:pgSz w:w="16840" w:h="11900" w:orient="landscape"/>
      <w:pgMar w:top="1440" w:right="1440" w:bottom="1440" w:left="1440" w:header="283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8788" w14:textId="77777777" w:rsidR="003B414F" w:rsidRDefault="003B414F" w:rsidP="0052129E">
      <w:r>
        <w:separator/>
      </w:r>
    </w:p>
  </w:endnote>
  <w:endnote w:type="continuationSeparator" w:id="0">
    <w:p w14:paraId="7DF55FA1" w14:textId="77777777" w:rsidR="003B414F" w:rsidRDefault="003B414F" w:rsidP="0052129E">
      <w:r>
        <w:continuationSeparator/>
      </w:r>
    </w:p>
  </w:endnote>
  <w:endnote w:type="continuationNotice" w:id="1">
    <w:p w14:paraId="68B2C919" w14:textId="77777777" w:rsidR="003B414F" w:rsidRDefault="003B414F" w:rsidP="00521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8947" w14:textId="77777777" w:rsidR="008B5701" w:rsidRDefault="008B5701" w:rsidP="0052129E"/>
  <w:p w14:paraId="548B2C61" w14:textId="77777777" w:rsidR="007D6682" w:rsidRPr="00153423" w:rsidRDefault="007D6682" w:rsidP="005212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3D65" w14:textId="77777777" w:rsidR="003B414F" w:rsidRDefault="003B414F" w:rsidP="0052129E">
      <w:r>
        <w:separator/>
      </w:r>
    </w:p>
  </w:footnote>
  <w:footnote w:type="continuationSeparator" w:id="0">
    <w:p w14:paraId="6CF41B2B" w14:textId="77777777" w:rsidR="003B414F" w:rsidRDefault="003B414F" w:rsidP="0052129E">
      <w:r>
        <w:continuationSeparator/>
      </w:r>
    </w:p>
  </w:footnote>
  <w:footnote w:type="continuationNotice" w:id="1">
    <w:p w14:paraId="3B2AC0F4" w14:textId="77777777" w:rsidR="003B414F" w:rsidRDefault="003B414F" w:rsidP="005212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46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1EF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4CF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4A5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0C9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45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AC7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CC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E7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450FE3"/>
    <w:multiLevelType w:val="hybridMultilevel"/>
    <w:tmpl w:val="60307146"/>
    <w:lvl w:ilvl="0" w:tplc="2FD6A38E">
      <w:start w:val="1"/>
      <w:numFmt w:val="bullet"/>
      <w:pStyle w:val="LGAbullets"/>
      <w:lvlText w:val="•"/>
      <w:lvlJc w:val="left"/>
      <w:pPr>
        <w:ind w:left="284" w:hanging="227"/>
      </w:pPr>
      <w:rPr>
        <w:rFonts w:ascii="Arial" w:hAnsi="Arial" w:hint="default"/>
        <w:color w:val="auto"/>
      </w:rPr>
    </w:lvl>
    <w:lvl w:ilvl="1" w:tplc="EECC98BC">
      <w:start w:val="1"/>
      <w:numFmt w:val="bullet"/>
      <w:pStyle w:val="LGAsubbullet"/>
      <w:lvlText w:val="o"/>
      <w:lvlJc w:val="left"/>
      <w:pPr>
        <w:ind w:left="1304" w:hanging="281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9C178B7"/>
    <w:multiLevelType w:val="hybridMultilevel"/>
    <w:tmpl w:val="969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1B28"/>
    <w:multiLevelType w:val="hybridMultilevel"/>
    <w:tmpl w:val="2AAA148E"/>
    <w:lvl w:ilvl="0" w:tplc="DB001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CA4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C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8BB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4A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6C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0C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A34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26B63AA"/>
    <w:multiLevelType w:val="hybridMultilevel"/>
    <w:tmpl w:val="BC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385"/>
    <w:multiLevelType w:val="hybridMultilevel"/>
    <w:tmpl w:val="96A4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8E15B9"/>
    <w:multiLevelType w:val="hybridMultilevel"/>
    <w:tmpl w:val="FA6E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3277A"/>
    <w:multiLevelType w:val="hybridMultilevel"/>
    <w:tmpl w:val="52B6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D47A18"/>
    <w:multiLevelType w:val="hybridMultilevel"/>
    <w:tmpl w:val="8422A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991"/>
    <w:multiLevelType w:val="hybridMultilevel"/>
    <w:tmpl w:val="44E8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B7DFB"/>
    <w:multiLevelType w:val="hybridMultilevel"/>
    <w:tmpl w:val="B72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85457"/>
    <w:multiLevelType w:val="hybridMultilevel"/>
    <w:tmpl w:val="DD885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77363">
    <w:abstractNumId w:val="9"/>
  </w:num>
  <w:num w:numId="2" w16cid:durableId="1249581153">
    <w:abstractNumId w:val="24"/>
  </w:num>
  <w:num w:numId="3" w16cid:durableId="1540703762">
    <w:abstractNumId w:val="23"/>
  </w:num>
  <w:num w:numId="4" w16cid:durableId="266043126">
    <w:abstractNumId w:val="20"/>
  </w:num>
  <w:num w:numId="5" w16cid:durableId="737870857">
    <w:abstractNumId w:val="15"/>
  </w:num>
  <w:num w:numId="6" w16cid:durableId="864563898">
    <w:abstractNumId w:val="14"/>
  </w:num>
  <w:num w:numId="7" w16cid:durableId="1884904477">
    <w:abstractNumId w:val="17"/>
  </w:num>
  <w:num w:numId="8" w16cid:durableId="63185790">
    <w:abstractNumId w:val="10"/>
  </w:num>
  <w:num w:numId="9" w16cid:durableId="681932692">
    <w:abstractNumId w:val="7"/>
  </w:num>
  <w:num w:numId="10" w16cid:durableId="993801851">
    <w:abstractNumId w:val="6"/>
  </w:num>
  <w:num w:numId="11" w16cid:durableId="1125586770">
    <w:abstractNumId w:val="5"/>
  </w:num>
  <w:num w:numId="12" w16cid:durableId="681708142">
    <w:abstractNumId w:val="4"/>
  </w:num>
  <w:num w:numId="13" w16cid:durableId="392973348">
    <w:abstractNumId w:val="8"/>
  </w:num>
  <w:num w:numId="14" w16cid:durableId="1839734336">
    <w:abstractNumId w:val="3"/>
  </w:num>
  <w:num w:numId="15" w16cid:durableId="1048263526">
    <w:abstractNumId w:val="2"/>
  </w:num>
  <w:num w:numId="16" w16cid:durableId="263656644">
    <w:abstractNumId w:val="1"/>
  </w:num>
  <w:num w:numId="17" w16cid:durableId="1457413645">
    <w:abstractNumId w:val="0"/>
  </w:num>
  <w:num w:numId="18" w16cid:durableId="249434005">
    <w:abstractNumId w:val="18"/>
  </w:num>
  <w:num w:numId="19" w16cid:durableId="1888104346">
    <w:abstractNumId w:val="25"/>
  </w:num>
  <w:num w:numId="20" w16cid:durableId="2125614591">
    <w:abstractNumId w:val="22"/>
  </w:num>
  <w:num w:numId="21" w16cid:durableId="707417768">
    <w:abstractNumId w:val="13"/>
  </w:num>
  <w:num w:numId="22" w16cid:durableId="1433285686">
    <w:abstractNumId w:val="26"/>
  </w:num>
  <w:num w:numId="23" w16cid:durableId="456415534">
    <w:abstractNumId w:val="16"/>
  </w:num>
  <w:num w:numId="24" w16cid:durableId="564144700">
    <w:abstractNumId w:val="19"/>
  </w:num>
  <w:num w:numId="25" w16cid:durableId="726152727">
    <w:abstractNumId w:val="21"/>
  </w:num>
  <w:num w:numId="26" w16cid:durableId="1593781688">
    <w:abstractNumId w:val="11"/>
  </w:num>
  <w:num w:numId="27" w16cid:durableId="108561612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B24" w:allStyles="0" w:customStyles="0" w:latentStyles="1" w:stylesInUse="0" w:headingStyles="1" w:numberingStyles="0" w:tableStyles="0" w:directFormattingOnRuns="1" w:directFormattingOnParagraphs="1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F"/>
    <w:rsid w:val="00003DE5"/>
    <w:rsid w:val="000040DD"/>
    <w:rsid w:val="00007035"/>
    <w:rsid w:val="00012642"/>
    <w:rsid w:val="00016C66"/>
    <w:rsid w:val="00023063"/>
    <w:rsid w:val="00040B3E"/>
    <w:rsid w:val="00042F32"/>
    <w:rsid w:val="00052698"/>
    <w:rsid w:val="00075EDA"/>
    <w:rsid w:val="00085B6E"/>
    <w:rsid w:val="000913D1"/>
    <w:rsid w:val="00095F0F"/>
    <w:rsid w:val="000A3930"/>
    <w:rsid w:val="000A6F0D"/>
    <w:rsid w:val="000B07DB"/>
    <w:rsid w:val="000B34AE"/>
    <w:rsid w:val="000C083B"/>
    <w:rsid w:val="000D27C5"/>
    <w:rsid w:val="00100350"/>
    <w:rsid w:val="0010218D"/>
    <w:rsid w:val="00125CDC"/>
    <w:rsid w:val="00125D0E"/>
    <w:rsid w:val="00143FF7"/>
    <w:rsid w:val="00144168"/>
    <w:rsid w:val="00151EED"/>
    <w:rsid w:val="00153423"/>
    <w:rsid w:val="0016146B"/>
    <w:rsid w:val="001719D2"/>
    <w:rsid w:val="001879BE"/>
    <w:rsid w:val="00191EF5"/>
    <w:rsid w:val="00195A64"/>
    <w:rsid w:val="001A6528"/>
    <w:rsid w:val="001C0B7F"/>
    <w:rsid w:val="001C403B"/>
    <w:rsid w:val="001D0E03"/>
    <w:rsid w:val="001E3B88"/>
    <w:rsid w:val="001E48CA"/>
    <w:rsid w:val="0020025E"/>
    <w:rsid w:val="002013E6"/>
    <w:rsid w:val="00201BBD"/>
    <w:rsid w:val="0020342C"/>
    <w:rsid w:val="00207C69"/>
    <w:rsid w:val="00215D15"/>
    <w:rsid w:val="0022517A"/>
    <w:rsid w:val="002255C9"/>
    <w:rsid w:val="002258B9"/>
    <w:rsid w:val="00240E17"/>
    <w:rsid w:val="00251064"/>
    <w:rsid w:val="002B36DC"/>
    <w:rsid w:val="002B6209"/>
    <w:rsid w:val="002C058D"/>
    <w:rsid w:val="002C111D"/>
    <w:rsid w:val="002D013E"/>
    <w:rsid w:val="002E1060"/>
    <w:rsid w:val="002E2053"/>
    <w:rsid w:val="002E6C8C"/>
    <w:rsid w:val="002F3C04"/>
    <w:rsid w:val="002F462E"/>
    <w:rsid w:val="002F7424"/>
    <w:rsid w:val="0030031B"/>
    <w:rsid w:val="00300A77"/>
    <w:rsid w:val="003137E0"/>
    <w:rsid w:val="00324983"/>
    <w:rsid w:val="00345410"/>
    <w:rsid w:val="00353D65"/>
    <w:rsid w:val="00357547"/>
    <w:rsid w:val="00361AEB"/>
    <w:rsid w:val="00363F09"/>
    <w:rsid w:val="003737D0"/>
    <w:rsid w:val="00375F9A"/>
    <w:rsid w:val="003801D6"/>
    <w:rsid w:val="00397CDD"/>
    <w:rsid w:val="003A15A7"/>
    <w:rsid w:val="003B414F"/>
    <w:rsid w:val="003C11FC"/>
    <w:rsid w:val="003C495E"/>
    <w:rsid w:val="003C5C16"/>
    <w:rsid w:val="003D1170"/>
    <w:rsid w:val="003D55B7"/>
    <w:rsid w:val="003E2A1C"/>
    <w:rsid w:val="003E5013"/>
    <w:rsid w:val="003F50DB"/>
    <w:rsid w:val="00400A51"/>
    <w:rsid w:val="00410D69"/>
    <w:rsid w:val="00420B32"/>
    <w:rsid w:val="0042795C"/>
    <w:rsid w:val="0044677B"/>
    <w:rsid w:val="00446C9D"/>
    <w:rsid w:val="004629CC"/>
    <w:rsid w:val="00464C5F"/>
    <w:rsid w:val="00474128"/>
    <w:rsid w:val="004812FF"/>
    <w:rsid w:val="004813F5"/>
    <w:rsid w:val="004815E4"/>
    <w:rsid w:val="00486944"/>
    <w:rsid w:val="004A550F"/>
    <w:rsid w:val="004B6480"/>
    <w:rsid w:val="004C0E85"/>
    <w:rsid w:val="004C1176"/>
    <w:rsid w:val="004C1903"/>
    <w:rsid w:val="004C4820"/>
    <w:rsid w:val="004C6AF1"/>
    <w:rsid w:val="004D736A"/>
    <w:rsid w:val="004E1B2D"/>
    <w:rsid w:val="004E337D"/>
    <w:rsid w:val="004E5BF4"/>
    <w:rsid w:val="004E6BB3"/>
    <w:rsid w:val="004F68A2"/>
    <w:rsid w:val="00500B4D"/>
    <w:rsid w:val="00503754"/>
    <w:rsid w:val="00503F09"/>
    <w:rsid w:val="0051479D"/>
    <w:rsid w:val="00515FA7"/>
    <w:rsid w:val="0052129E"/>
    <w:rsid w:val="00526D9F"/>
    <w:rsid w:val="0053346B"/>
    <w:rsid w:val="00535D6E"/>
    <w:rsid w:val="005372A7"/>
    <w:rsid w:val="005500D8"/>
    <w:rsid w:val="00551C91"/>
    <w:rsid w:val="005720CE"/>
    <w:rsid w:val="005A7236"/>
    <w:rsid w:val="005B40FE"/>
    <w:rsid w:val="005B52F8"/>
    <w:rsid w:val="005C0AA0"/>
    <w:rsid w:val="005C379A"/>
    <w:rsid w:val="005D08F8"/>
    <w:rsid w:val="005D52A9"/>
    <w:rsid w:val="005E134D"/>
    <w:rsid w:val="005F35B6"/>
    <w:rsid w:val="00613FAE"/>
    <w:rsid w:val="00616157"/>
    <w:rsid w:val="00616392"/>
    <w:rsid w:val="00627B4F"/>
    <w:rsid w:val="00643FF4"/>
    <w:rsid w:val="00645595"/>
    <w:rsid w:val="00652442"/>
    <w:rsid w:val="00652A30"/>
    <w:rsid w:val="00655DAC"/>
    <w:rsid w:val="00662B42"/>
    <w:rsid w:val="006671C2"/>
    <w:rsid w:val="00672D24"/>
    <w:rsid w:val="00690F84"/>
    <w:rsid w:val="00693086"/>
    <w:rsid w:val="006935A4"/>
    <w:rsid w:val="00695C5E"/>
    <w:rsid w:val="006A0790"/>
    <w:rsid w:val="006A789F"/>
    <w:rsid w:val="006B45FC"/>
    <w:rsid w:val="006C7FA2"/>
    <w:rsid w:val="006E432A"/>
    <w:rsid w:val="00707E98"/>
    <w:rsid w:val="00710E3D"/>
    <w:rsid w:val="00711939"/>
    <w:rsid w:val="0071649C"/>
    <w:rsid w:val="00740387"/>
    <w:rsid w:val="007430A4"/>
    <w:rsid w:val="007522A4"/>
    <w:rsid w:val="0076751A"/>
    <w:rsid w:val="0078068A"/>
    <w:rsid w:val="007918BC"/>
    <w:rsid w:val="007A3157"/>
    <w:rsid w:val="007B6174"/>
    <w:rsid w:val="007B6FFF"/>
    <w:rsid w:val="007C4B53"/>
    <w:rsid w:val="007C79EC"/>
    <w:rsid w:val="007C7B02"/>
    <w:rsid w:val="007D37E4"/>
    <w:rsid w:val="007D6682"/>
    <w:rsid w:val="007F1381"/>
    <w:rsid w:val="007F2103"/>
    <w:rsid w:val="007F28E6"/>
    <w:rsid w:val="008048EF"/>
    <w:rsid w:val="00804F72"/>
    <w:rsid w:val="00814F71"/>
    <w:rsid w:val="00821E3F"/>
    <w:rsid w:val="00822601"/>
    <w:rsid w:val="00822830"/>
    <w:rsid w:val="00823320"/>
    <w:rsid w:val="00840174"/>
    <w:rsid w:val="008417F4"/>
    <w:rsid w:val="0086789A"/>
    <w:rsid w:val="008905DD"/>
    <w:rsid w:val="00892ECB"/>
    <w:rsid w:val="008A5A73"/>
    <w:rsid w:val="008B2E69"/>
    <w:rsid w:val="008B5701"/>
    <w:rsid w:val="008C56E5"/>
    <w:rsid w:val="008C7AEC"/>
    <w:rsid w:val="008F3BA0"/>
    <w:rsid w:val="008F5F53"/>
    <w:rsid w:val="008F608D"/>
    <w:rsid w:val="008F6EB9"/>
    <w:rsid w:val="00902EFF"/>
    <w:rsid w:val="00904A3B"/>
    <w:rsid w:val="00905BB1"/>
    <w:rsid w:val="00917645"/>
    <w:rsid w:val="00920014"/>
    <w:rsid w:val="00923F56"/>
    <w:rsid w:val="00925EE5"/>
    <w:rsid w:val="00931482"/>
    <w:rsid w:val="009324C3"/>
    <w:rsid w:val="0093255E"/>
    <w:rsid w:val="00936955"/>
    <w:rsid w:val="0096624C"/>
    <w:rsid w:val="009846C6"/>
    <w:rsid w:val="0098520D"/>
    <w:rsid w:val="009878BD"/>
    <w:rsid w:val="00987CF9"/>
    <w:rsid w:val="00996BE3"/>
    <w:rsid w:val="009A2A70"/>
    <w:rsid w:val="009B36BC"/>
    <w:rsid w:val="009B45B3"/>
    <w:rsid w:val="009C5052"/>
    <w:rsid w:val="009C5246"/>
    <w:rsid w:val="009C6E89"/>
    <w:rsid w:val="009D274E"/>
    <w:rsid w:val="009D6442"/>
    <w:rsid w:val="009D744C"/>
    <w:rsid w:val="009D77EE"/>
    <w:rsid w:val="009E2623"/>
    <w:rsid w:val="009E3E52"/>
    <w:rsid w:val="009E6111"/>
    <w:rsid w:val="009F1F4A"/>
    <w:rsid w:val="009F482C"/>
    <w:rsid w:val="00A02CAC"/>
    <w:rsid w:val="00A046EC"/>
    <w:rsid w:val="00A247CC"/>
    <w:rsid w:val="00A61568"/>
    <w:rsid w:val="00A9516B"/>
    <w:rsid w:val="00AA2CA8"/>
    <w:rsid w:val="00AA5C78"/>
    <w:rsid w:val="00AB56A2"/>
    <w:rsid w:val="00AC3650"/>
    <w:rsid w:val="00AE0D4C"/>
    <w:rsid w:val="00AF33D2"/>
    <w:rsid w:val="00AF421F"/>
    <w:rsid w:val="00AF4BD4"/>
    <w:rsid w:val="00B14707"/>
    <w:rsid w:val="00B15CF5"/>
    <w:rsid w:val="00B223D9"/>
    <w:rsid w:val="00B25BE2"/>
    <w:rsid w:val="00B261C3"/>
    <w:rsid w:val="00B270C0"/>
    <w:rsid w:val="00B43FC6"/>
    <w:rsid w:val="00B45F53"/>
    <w:rsid w:val="00B50490"/>
    <w:rsid w:val="00B632F8"/>
    <w:rsid w:val="00B632FD"/>
    <w:rsid w:val="00B63AC4"/>
    <w:rsid w:val="00B8242A"/>
    <w:rsid w:val="00B8434B"/>
    <w:rsid w:val="00BA0C12"/>
    <w:rsid w:val="00BA6C6B"/>
    <w:rsid w:val="00BE2440"/>
    <w:rsid w:val="00BF1144"/>
    <w:rsid w:val="00BF4CF5"/>
    <w:rsid w:val="00C22A6C"/>
    <w:rsid w:val="00C36D71"/>
    <w:rsid w:val="00C42BC3"/>
    <w:rsid w:val="00C7006B"/>
    <w:rsid w:val="00C76125"/>
    <w:rsid w:val="00C77025"/>
    <w:rsid w:val="00C82B22"/>
    <w:rsid w:val="00C84BCF"/>
    <w:rsid w:val="00C869AD"/>
    <w:rsid w:val="00C9073A"/>
    <w:rsid w:val="00C92573"/>
    <w:rsid w:val="00C94567"/>
    <w:rsid w:val="00C94584"/>
    <w:rsid w:val="00CA05B1"/>
    <w:rsid w:val="00CA3222"/>
    <w:rsid w:val="00CA5846"/>
    <w:rsid w:val="00CA6CB6"/>
    <w:rsid w:val="00CB3530"/>
    <w:rsid w:val="00CC0113"/>
    <w:rsid w:val="00CE4C06"/>
    <w:rsid w:val="00CF0511"/>
    <w:rsid w:val="00CF22B9"/>
    <w:rsid w:val="00D244F9"/>
    <w:rsid w:val="00D24F63"/>
    <w:rsid w:val="00D30BBE"/>
    <w:rsid w:val="00D35E87"/>
    <w:rsid w:val="00D51669"/>
    <w:rsid w:val="00D57567"/>
    <w:rsid w:val="00D64C73"/>
    <w:rsid w:val="00D70FE5"/>
    <w:rsid w:val="00D77F7C"/>
    <w:rsid w:val="00D9154B"/>
    <w:rsid w:val="00D91A5B"/>
    <w:rsid w:val="00DA0EAC"/>
    <w:rsid w:val="00DA5405"/>
    <w:rsid w:val="00DE307A"/>
    <w:rsid w:val="00E0165F"/>
    <w:rsid w:val="00E141F7"/>
    <w:rsid w:val="00E32FD5"/>
    <w:rsid w:val="00E37CF8"/>
    <w:rsid w:val="00E610E1"/>
    <w:rsid w:val="00E618C5"/>
    <w:rsid w:val="00E672DD"/>
    <w:rsid w:val="00E71722"/>
    <w:rsid w:val="00E85176"/>
    <w:rsid w:val="00E8638C"/>
    <w:rsid w:val="00EC3301"/>
    <w:rsid w:val="00EE48FE"/>
    <w:rsid w:val="00F0053A"/>
    <w:rsid w:val="00F035CD"/>
    <w:rsid w:val="00F068E1"/>
    <w:rsid w:val="00F07ED8"/>
    <w:rsid w:val="00F11BF5"/>
    <w:rsid w:val="00F21E08"/>
    <w:rsid w:val="00F32CC2"/>
    <w:rsid w:val="00F5108B"/>
    <w:rsid w:val="00F54F92"/>
    <w:rsid w:val="00F6662B"/>
    <w:rsid w:val="00F67F4D"/>
    <w:rsid w:val="00F74C65"/>
    <w:rsid w:val="00F770BA"/>
    <w:rsid w:val="00F86C57"/>
    <w:rsid w:val="00F94427"/>
    <w:rsid w:val="00FA3617"/>
    <w:rsid w:val="00FB1FE4"/>
    <w:rsid w:val="00FB2952"/>
    <w:rsid w:val="00FC625A"/>
    <w:rsid w:val="00FC6F76"/>
    <w:rsid w:val="00FD30A4"/>
    <w:rsid w:val="00FD45AC"/>
    <w:rsid w:val="00FF0842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B0670"/>
  <w14:defaultImageDpi w14:val="330"/>
  <w15:chartTrackingRefBased/>
  <w15:docId w15:val="{E7FCBBC4-0298-48DF-A1E5-41A417A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,normal"/>
    <w:uiPriority w:val="1"/>
    <w:qFormat/>
    <w:rsid w:val="00503F09"/>
    <w:pPr>
      <w:widowControl w:val="0"/>
      <w:spacing w:after="120" w:line="240" w:lineRule="atLeast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503F09"/>
    <w:pPr>
      <w:keepNext/>
      <w:keepLines/>
      <w:spacing w:before="120" w:line="320" w:lineRule="atLeast"/>
      <w:outlineLvl w:val="0"/>
    </w:pPr>
    <w:rPr>
      <w:rFonts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03F09"/>
    <w:pPr>
      <w:keepNext/>
      <w:keepLines/>
      <w:spacing w:before="360" w:after="40" w:line="320" w:lineRule="atLeast"/>
      <w:outlineLvl w:val="1"/>
    </w:pPr>
    <w:rPr>
      <w:b/>
      <w:color w:val="9B2C98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03F09"/>
    <w:pPr>
      <w:keepNext/>
      <w:keepLines/>
      <w:spacing w:before="360" w:line="280" w:lineRule="atLeast"/>
      <w:outlineLvl w:val="2"/>
    </w:pPr>
    <w:rPr>
      <w:rFonts w:cs="Arial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qFormat/>
    <w:rsid w:val="00503F09"/>
    <w:pPr>
      <w:keepNext/>
      <w:keepLines/>
      <w:spacing w:before="360" w:line="280" w:lineRule="atLeast"/>
      <w:outlineLvl w:val="3"/>
    </w:pPr>
    <w:rPr>
      <w:rFonts w:cs="Arial"/>
      <w:b/>
      <w:bCs/>
      <w:color w:val="951B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paragraph" w:customStyle="1" w:styleId="LGAintrotext">
    <w:name w:val="LGA intro text"/>
    <w:basedOn w:val="Normal"/>
    <w:next w:val="Normal"/>
    <w:uiPriority w:val="2"/>
    <w:qFormat/>
    <w:rsid w:val="00C77025"/>
    <w:pPr>
      <w:adjustRightInd w:val="0"/>
      <w:snapToGrid w:val="0"/>
      <w:spacing w:after="360"/>
    </w:pPr>
    <w:rPr>
      <w:color w:val="9B2C9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uiPriority w:val="3"/>
    <w:unhideWhenUsed/>
    <w:rsid w:val="00CA6CB6"/>
    <w:pPr>
      <w:ind w:left="1560"/>
    </w:pPr>
    <w:rPr>
      <w:b/>
      <w:szCs w:val="22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503F09"/>
    <w:rPr>
      <w:rFonts w:ascii="Arial" w:hAnsi="Arial" w:cs="Arial"/>
      <w:b/>
      <w:bCs/>
      <w:color w:val="951B81"/>
    </w:rPr>
  </w:style>
  <w:style w:type="paragraph" w:customStyle="1" w:styleId="LGAbullets">
    <w:name w:val="LGA bullets"/>
    <w:basedOn w:val="Normal"/>
    <w:link w:val="LGAbulletsChar"/>
    <w:uiPriority w:val="2"/>
    <w:qFormat/>
    <w:rsid w:val="00503F09"/>
    <w:pPr>
      <w:numPr>
        <w:numId w:val="8"/>
      </w:numPr>
    </w:pPr>
  </w:style>
  <w:style w:type="paragraph" w:customStyle="1" w:styleId="Covereventname">
    <w:name w:val="Cover event name"/>
    <w:basedOn w:val="Normal"/>
    <w:next w:val="Normal"/>
    <w:uiPriority w:val="4"/>
    <w:rsid w:val="00CA3222"/>
    <w:pPr>
      <w:spacing w:before="120"/>
    </w:pPr>
    <w:rPr>
      <w:rFonts w:cs="Arial"/>
      <w:color w:val="951A80"/>
      <w:sz w:val="84"/>
      <w:szCs w:val="52"/>
    </w:rPr>
  </w:style>
  <w:style w:type="paragraph" w:customStyle="1" w:styleId="numbers">
    <w:name w:val="numbers"/>
    <w:basedOn w:val="Normal"/>
    <w:uiPriority w:val="2"/>
    <w:rsid w:val="00A02CAC"/>
    <w:pPr>
      <w:tabs>
        <w:tab w:val="right" w:pos="10490"/>
      </w:tabs>
      <w:ind w:left="1418"/>
    </w:pPr>
    <w:rPr>
      <w:b/>
      <w:color w:val="000000" w:themeColor="text1"/>
      <w:szCs w:val="22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rsid w:val="00503F09"/>
    <w:rPr>
      <w:rFonts w:ascii="Arial" w:hAnsi="Arial" w:cs="Arial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03F09"/>
    <w:rPr>
      <w:rFonts w:ascii="Arial" w:hAnsi="Arial" w:cs="Times New Roman"/>
      <w:b/>
      <w:color w:val="9B2C98"/>
      <w:sz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03F09"/>
    <w:rPr>
      <w:rFonts w:ascii="Arial" w:hAnsi="Arial" w:cs="Arial"/>
      <w:b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customStyle="1" w:styleId="Default">
    <w:name w:val="Default"/>
    <w:uiPriority w:val="4"/>
    <w:rsid w:val="00DA0EAC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26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1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D69"/>
    <w:rPr>
      <w:sz w:val="22"/>
    </w:rPr>
  </w:style>
  <w:style w:type="paragraph" w:customStyle="1" w:styleId="LGAsubbullet">
    <w:name w:val="LGA sub bullet"/>
    <w:basedOn w:val="LGAbullets"/>
    <w:link w:val="LGAsubbulletChar"/>
    <w:uiPriority w:val="2"/>
    <w:qFormat/>
    <w:rsid w:val="000A6F0D"/>
    <w:pPr>
      <w:numPr>
        <w:ilvl w:val="1"/>
      </w:numPr>
      <w:spacing w:after="240" w:line="340" w:lineRule="exact"/>
      <w:ind w:left="704" w:hanging="284"/>
      <w:contextualSpacing/>
    </w:pPr>
  </w:style>
  <w:style w:type="character" w:customStyle="1" w:styleId="LGAbulletsChar">
    <w:name w:val="LGA bullets Char"/>
    <w:basedOn w:val="DefaultParagraphFont"/>
    <w:link w:val="LGAbullets"/>
    <w:uiPriority w:val="2"/>
    <w:rsid w:val="00503F09"/>
    <w:rPr>
      <w:rFonts w:ascii="Arial" w:hAnsi="Arial" w:cs="Times New Roman"/>
    </w:rPr>
  </w:style>
  <w:style w:type="character" w:customStyle="1" w:styleId="LGAsubbulletChar">
    <w:name w:val="LGA sub bullet Char"/>
    <w:basedOn w:val="LGAbulletsChar"/>
    <w:link w:val="LGAsubbullet"/>
    <w:uiPriority w:val="2"/>
    <w:rsid w:val="0076751A"/>
    <w:rPr>
      <w:rFonts w:ascii="Arial" w:eastAsia="Times New Roman" w:hAnsi="Arial" w:cs="Times New Roman"/>
      <w:szCs w:val="28"/>
      <w:lang w:val="en-US"/>
    </w:rPr>
  </w:style>
  <w:style w:type="table" w:styleId="PlainTable2">
    <w:name w:val="Plain Table 2"/>
    <w:basedOn w:val="TableNormal"/>
    <w:uiPriority w:val="99"/>
    <w:rsid w:val="004C48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0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rsid w:val="0016146B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14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146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6146B"/>
    <w:pPr>
      <w:spacing w:after="100"/>
      <w:ind w:left="480"/>
    </w:pPr>
  </w:style>
  <w:style w:type="character" w:styleId="HTMLCode">
    <w:name w:val="HTML Code"/>
    <w:basedOn w:val="DefaultParagraphFont"/>
    <w:uiPriority w:val="99"/>
    <w:semiHidden/>
    <w:unhideWhenUsed/>
    <w:rsid w:val="0069308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7E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7" ma:contentTypeDescription="Create a new document." ma:contentTypeScope="" ma:versionID="c16ecfe5488a7f39cbc8be554e73d8e4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3b28cffa266f55f04f1134f34fd199f2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01934e03-57f1-41f0-ad8f-894faf207c7d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008F4D-45E3-45B3-8F0F-75FF2EF8F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1</cp:revision>
  <cp:lastPrinted>2022-07-21T08:46:00Z</cp:lastPrinted>
  <dcterms:created xsi:type="dcterms:W3CDTF">2024-01-18T10:29:00Z</dcterms:created>
  <dcterms:modified xsi:type="dcterms:W3CDTF">2024-01-18T10:57:00Z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</Properties>
</file>