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00164" w14:textId="477262D2" w:rsidR="006A58B8" w:rsidRDefault="00704637" w:rsidP="0094092E">
      <w:pPr>
        <w:rPr>
          <w:b/>
          <w:sz w:val="32"/>
        </w:rPr>
      </w:pPr>
      <w:r w:rsidRPr="00F14385">
        <w:rPr>
          <w:rFonts w:ascii="Times New Roman" w:eastAsia="Times New Roman" w:hAnsi="Times New Roman" w:cs="Times New Roman"/>
          <w:noProof/>
          <w:lang w:eastAsia="en-GB"/>
        </w:rPr>
        <w:drawing>
          <wp:inline distT="0" distB="0" distL="0" distR="0" wp14:anchorId="3F28BCFF" wp14:editId="18BAD4B5">
            <wp:extent cx="1143000" cy="64148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782" cy="644164"/>
                    </a:xfrm>
                    <a:prstGeom prst="rect">
                      <a:avLst/>
                    </a:prstGeom>
                    <a:noFill/>
                    <a:ln>
                      <a:noFill/>
                    </a:ln>
                  </pic:spPr>
                </pic:pic>
              </a:graphicData>
            </a:graphic>
          </wp:inline>
        </w:drawing>
      </w:r>
      <w:r w:rsidR="002228D9">
        <w:rPr>
          <w:b/>
          <w:sz w:val="32"/>
        </w:rPr>
        <w:t xml:space="preserve">                                  </w:t>
      </w:r>
      <w:r w:rsidR="004F6710">
        <w:rPr>
          <w:b/>
          <w:sz w:val="32"/>
        </w:rPr>
        <w:t xml:space="preserve">                        </w:t>
      </w:r>
      <w:r w:rsidR="004F6710">
        <w:rPr>
          <w:noProof/>
          <w:sz w:val="44"/>
          <w:szCs w:val="44"/>
          <w:lang w:eastAsia="en-GB"/>
        </w:rPr>
        <w:drawing>
          <wp:inline distT="0" distB="0" distL="0" distR="0" wp14:anchorId="0A45FEF0" wp14:editId="3A51FF33">
            <wp:extent cx="1080770" cy="653415"/>
            <wp:effectExtent l="0" t="0" r="5080" b="0"/>
            <wp:docPr id="1" name="Picture 1" descr="LG_Associati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G_Association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770" cy="653415"/>
                    </a:xfrm>
                    <a:prstGeom prst="rect">
                      <a:avLst/>
                    </a:prstGeom>
                    <a:noFill/>
                    <a:ln>
                      <a:noFill/>
                    </a:ln>
                  </pic:spPr>
                </pic:pic>
              </a:graphicData>
            </a:graphic>
          </wp:inline>
        </w:drawing>
      </w:r>
      <w:r w:rsidR="004F6710">
        <w:rPr>
          <w:b/>
          <w:sz w:val="32"/>
        </w:rPr>
        <w:t xml:space="preserve">      </w:t>
      </w:r>
    </w:p>
    <w:p w14:paraId="30290424" w14:textId="661277F2" w:rsidR="006A58B8" w:rsidRPr="00591A1C" w:rsidRDefault="00C842A8" w:rsidP="005300D4">
      <w:pPr>
        <w:pBdr>
          <w:bottom w:val="single" w:sz="12" w:space="1" w:color="auto"/>
        </w:pBdr>
        <w:jc w:val="center"/>
        <w:rPr>
          <w:b/>
          <w:sz w:val="32"/>
        </w:rPr>
      </w:pPr>
      <w:r w:rsidRPr="00201C3C">
        <w:rPr>
          <w:b/>
          <w:sz w:val="32"/>
        </w:rPr>
        <w:t xml:space="preserve">(NR TWG </w:t>
      </w:r>
      <w:r w:rsidR="00EE31A9">
        <w:rPr>
          <w:b/>
          <w:sz w:val="32"/>
        </w:rPr>
        <w:t>2</w:t>
      </w:r>
      <w:r>
        <w:rPr>
          <w:b/>
          <w:sz w:val="32"/>
        </w:rPr>
        <w:t>9/0</w:t>
      </w:r>
      <w:r w:rsidR="00EE31A9">
        <w:rPr>
          <w:b/>
          <w:sz w:val="32"/>
        </w:rPr>
        <w:t>9</w:t>
      </w:r>
      <w:r>
        <w:rPr>
          <w:b/>
          <w:sz w:val="32"/>
        </w:rPr>
        <w:t>/17</w:t>
      </w:r>
      <w:r w:rsidRPr="00201C3C">
        <w:rPr>
          <w:b/>
          <w:sz w:val="32"/>
        </w:rPr>
        <w:t xml:space="preserve">) </w:t>
      </w:r>
      <w:r w:rsidR="00355D5A" w:rsidRPr="00591A1C">
        <w:rPr>
          <w:b/>
          <w:sz w:val="32"/>
        </w:rPr>
        <w:t>Minutes</w:t>
      </w:r>
      <w:r w:rsidR="005931CE">
        <w:rPr>
          <w:b/>
          <w:sz w:val="32"/>
        </w:rPr>
        <w:t xml:space="preserve">: </w:t>
      </w:r>
      <w:r w:rsidR="006A58B8" w:rsidRPr="00591A1C">
        <w:rPr>
          <w:b/>
          <w:sz w:val="32"/>
        </w:rPr>
        <w:t>Meeting of</w:t>
      </w:r>
      <w:r w:rsidR="00EE31A9">
        <w:rPr>
          <w:b/>
          <w:sz w:val="32"/>
        </w:rPr>
        <w:t xml:space="preserve"> the Fair Funding Review</w:t>
      </w:r>
      <w:r w:rsidR="006A58B8" w:rsidRPr="00591A1C">
        <w:rPr>
          <w:b/>
          <w:sz w:val="32"/>
        </w:rPr>
        <w:t xml:space="preserve"> Technical Working Group </w:t>
      </w:r>
    </w:p>
    <w:p w14:paraId="6B621215" w14:textId="10B087FA" w:rsidR="00A50F7A" w:rsidRPr="00622256" w:rsidRDefault="00A50F7A" w:rsidP="005B1B13">
      <w:pPr>
        <w:spacing w:line="240" w:lineRule="auto"/>
        <w:ind w:left="-720" w:firstLine="720"/>
        <w:rPr>
          <w:b/>
        </w:rPr>
      </w:pPr>
      <w:r w:rsidRPr="00622256">
        <w:t>Title:</w:t>
      </w:r>
      <w:r w:rsidRPr="00622256">
        <w:rPr>
          <w:b/>
        </w:rPr>
        <w:t xml:space="preserve">  </w:t>
      </w:r>
      <w:r w:rsidRPr="00622256">
        <w:rPr>
          <w:b/>
        </w:rPr>
        <w:tab/>
      </w:r>
      <w:r w:rsidRPr="00622256">
        <w:rPr>
          <w:b/>
        </w:rPr>
        <w:tab/>
      </w:r>
      <w:r w:rsidR="00D63F86">
        <w:rPr>
          <w:b/>
        </w:rPr>
        <w:t xml:space="preserve">Fair Funding Review </w:t>
      </w:r>
      <w:r w:rsidRPr="00622256">
        <w:rPr>
          <w:b/>
        </w:rPr>
        <w:t>Technical Working Group</w:t>
      </w:r>
      <w:r w:rsidR="009C7959">
        <w:rPr>
          <w:b/>
        </w:rPr>
        <w:t xml:space="preserve"> (</w:t>
      </w:r>
      <w:r w:rsidR="00A52C33" w:rsidRPr="00A52C33">
        <w:rPr>
          <w:b/>
        </w:rPr>
        <w:t>13</w:t>
      </w:r>
      <w:r w:rsidR="00173406" w:rsidRPr="00A52C33">
        <w:rPr>
          <w:b/>
        </w:rPr>
        <w:t>:</w:t>
      </w:r>
      <w:r w:rsidR="00EF564B" w:rsidRPr="00A52C33">
        <w:rPr>
          <w:b/>
        </w:rPr>
        <w:t>00</w:t>
      </w:r>
      <w:r w:rsidR="00A52C33" w:rsidRPr="00A52C33">
        <w:rPr>
          <w:b/>
        </w:rPr>
        <w:t>-15</w:t>
      </w:r>
      <w:r w:rsidR="00A52C33">
        <w:rPr>
          <w:b/>
        </w:rPr>
        <w:t>:00</w:t>
      </w:r>
      <w:r w:rsidR="00306948">
        <w:rPr>
          <w:b/>
        </w:rPr>
        <w:t>)</w:t>
      </w:r>
    </w:p>
    <w:p w14:paraId="36C87DAD" w14:textId="33264107" w:rsidR="00A50F7A" w:rsidRPr="00622256" w:rsidRDefault="00A50F7A" w:rsidP="005B1B13">
      <w:pPr>
        <w:tabs>
          <w:tab w:val="left" w:pos="720"/>
          <w:tab w:val="left" w:pos="1440"/>
          <w:tab w:val="left" w:pos="2160"/>
          <w:tab w:val="left" w:pos="2880"/>
          <w:tab w:val="left" w:pos="3600"/>
          <w:tab w:val="left" w:pos="4200"/>
        </w:tabs>
        <w:spacing w:line="240" w:lineRule="auto"/>
        <w:ind w:left="-720" w:firstLine="720"/>
        <w:rPr>
          <w:b/>
        </w:rPr>
      </w:pPr>
      <w:r w:rsidRPr="00622256">
        <w:t>Date:</w:t>
      </w:r>
      <w:r w:rsidR="004355A3" w:rsidRPr="00622256">
        <w:rPr>
          <w:b/>
        </w:rPr>
        <w:t xml:space="preserve"> </w:t>
      </w:r>
      <w:r w:rsidR="004355A3" w:rsidRPr="00622256">
        <w:rPr>
          <w:b/>
        </w:rPr>
        <w:tab/>
      </w:r>
      <w:r w:rsidR="005300D4" w:rsidRPr="00622256">
        <w:rPr>
          <w:b/>
        </w:rPr>
        <w:tab/>
      </w:r>
      <w:r w:rsidR="00EE31A9">
        <w:rPr>
          <w:b/>
        </w:rPr>
        <w:t>Fri</w:t>
      </w:r>
      <w:r w:rsidR="00FE3F65" w:rsidRPr="00622256">
        <w:rPr>
          <w:b/>
        </w:rPr>
        <w:t>day</w:t>
      </w:r>
      <w:r w:rsidR="00414B62" w:rsidRPr="00622256">
        <w:rPr>
          <w:b/>
        </w:rPr>
        <w:t xml:space="preserve"> </w:t>
      </w:r>
      <w:r w:rsidR="00EE31A9">
        <w:rPr>
          <w:b/>
        </w:rPr>
        <w:t>2</w:t>
      </w:r>
      <w:r w:rsidR="003D6C3C" w:rsidRPr="00622256">
        <w:rPr>
          <w:b/>
        </w:rPr>
        <w:t>9</w:t>
      </w:r>
      <w:r w:rsidR="004355A3" w:rsidRPr="00622256">
        <w:rPr>
          <w:b/>
        </w:rPr>
        <w:t xml:space="preserve"> </w:t>
      </w:r>
      <w:r w:rsidR="00EE31A9">
        <w:rPr>
          <w:b/>
        </w:rPr>
        <w:t>September</w:t>
      </w:r>
      <w:r w:rsidR="00E01C1A" w:rsidRPr="00622256">
        <w:rPr>
          <w:b/>
        </w:rPr>
        <w:t xml:space="preserve"> 2017</w:t>
      </w:r>
    </w:p>
    <w:p w14:paraId="65717715" w14:textId="2FDE59AF" w:rsidR="004F6710" w:rsidRPr="00622256" w:rsidRDefault="00A50F7A" w:rsidP="005F473B">
      <w:pPr>
        <w:pBdr>
          <w:bottom w:val="single" w:sz="12" w:space="1" w:color="auto"/>
        </w:pBdr>
        <w:ind w:left="720" w:hanging="720"/>
        <w:rPr>
          <w:b/>
        </w:rPr>
      </w:pPr>
      <w:r w:rsidRPr="00622256">
        <w:t>Venue</w:t>
      </w:r>
      <w:r w:rsidRPr="00622256">
        <w:rPr>
          <w:b/>
        </w:rPr>
        <w:t xml:space="preserve">: </w:t>
      </w:r>
      <w:r w:rsidRPr="00622256">
        <w:rPr>
          <w:b/>
        </w:rPr>
        <w:tab/>
      </w:r>
      <w:r w:rsidR="00E01C1A" w:rsidRPr="00622256">
        <w:rPr>
          <w:b/>
        </w:rPr>
        <w:t xml:space="preserve">Southwark Council, </w:t>
      </w:r>
      <w:proofErr w:type="spellStart"/>
      <w:r w:rsidR="00E01C1A" w:rsidRPr="00622256">
        <w:rPr>
          <w:b/>
        </w:rPr>
        <w:t>Tooley</w:t>
      </w:r>
      <w:proofErr w:type="spellEnd"/>
      <w:r w:rsidR="00E01C1A" w:rsidRPr="00622256">
        <w:rPr>
          <w:b/>
        </w:rPr>
        <w:t xml:space="preserve"> Street</w:t>
      </w:r>
      <w:r w:rsidR="003D6C3C" w:rsidRPr="00622256">
        <w:rPr>
          <w:b/>
        </w:rPr>
        <w:t>, London,</w:t>
      </w:r>
      <w:r w:rsidR="00E01C1A" w:rsidRPr="00622256">
        <w:rPr>
          <w:b/>
        </w:rPr>
        <w:t xml:space="preserve"> SE1 2QH</w:t>
      </w:r>
    </w:p>
    <w:tbl>
      <w:tblPr>
        <w:tblStyle w:val="TableGrid"/>
        <w:tblW w:w="0" w:type="auto"/>
        <w:tblLook w:val="04A0" w:firstRow="1" w:lastRow="0" w:firstColumn="1" w:lastColumn="0" w:noHBand="0" w:noVBand="1"/>
      </w:tblPr>
      <w:tblGrid>
        <w:gridCol w:w="9996"/>
      </w:tblGrid>
      <w:tr w:rsidR="00ED3DDF" w:rsidRPr="00622256" w14:paraId="4CE2CC4D" w14:textId="77777777" w:rsidTr="000472AA">
        <w:trPr>
          <w:trHeight w:val="496"/>
        </w:trPr>
        <w:tc>
          <w:tcPr>
            <w:tcW w:w="9996" w:type="dxa"/>
            <w:shd w:val="clear" w:color="auto" w:fill="D9D9D9" w:themeFill="background1" w:themeFillShade="D9"/>
            <w:vAlign w:val="center"/>
          </w:tcPr>
          <w:p w14:paraId="5A1403CE" w14:textId="6E2590E0" w:rsidR="00ED3DDF" w:rsidRPr="00622256" w:rsidRDefault="00ED3DDF" w:rsidP="005931CE">
            <w:pPr>
              <w:pStyle w:val="Heading1"/>
              <w:numPr>
                <w:ilvl w:val="0"/>
                <w:numId w:val="2"/>
              </w:numPr>
              <w:spacing w:before="0"/>
              <w:outlineLvl w:val="0"/>
              <w:rPr>
                <w:rFonts w:ascii="Arial" w:hAnsi="Arial" w:cs="Arial"/>
                <w:color w:val="000000" w:themeColor="text1"/>
                <w:sz w:val="24"/>
                <w:szCs w:val="24"/>
              </w:rPr>
            </w:pPr>
            <w:r w:rsidRPr="00622256">
              <w:rPr>
                <w:rFonts w:ascii="Arial" w:hAnsi="Arial" w:cs="Arial"/>
                <w:color w:val="000000" w:themeColor="text1"/>
                <w:sz w:val="24"/>
                <w:szCs w:val="24"/>
              </w:rPr>
              <w:t>Attendance</w:t>
            </w:r>
          </w:p>
        </w:tc>
      </w:tr>
      <w:tr w:rsidR="00ED3DDF" w:rsidRPr="00622256" w14:paraId="17EEB7A1" w14:textId="77777777" w:rsidTr="00ED3DDF">
        <w:tc>
          <w:tcPr>
            <w:tcW w:w="9996" w:type="dxa"/>
          </w:tcPr>
          <w:p w14:paraId="3FD0B609" w14:textId="74931341" w:rsidR="00ED3DDF" w:rsidRPr="00622256" w:rsidRDefault="00ED3DDF" w:rsidP="003743DC">
            <w:pPr>
              <w:pStyle w:val="ListParagraph"/>
              <w:numPr>
                <w:ilvl w:val="1"/>
                <w:numId w:val="2"/>
              </w:numPr>
              <w:ind w:left="709" w:hanging="709"/>
              <w:rPr>
                <w:color w:val="000000" w:themeColor="text1"/>
              </w:rPr>
            </w:pPr>
            <w:r w:rsidRPr="00622256">
              <w:rPr>
                <w:color w:val="000000" w:themeColor="text1"/>
              </w:rPr>
              <w:t>A</w:t>
            </w:r>
            <w:r w:rsidR="00477F6F" w:rsidRPr="00622256">
              <w:rPr>
                <w:color w:val="000000" w:themeColor="text1"/>
              </w:rPr>
              <w:t xml:space="preserve"> full</w:t>
            </w:r>
            <w:r w:rsidRPr="00622256">
              <w:rPr>
                <w:color w:val="000000" w:themeColor="text1"/>
              </w:rPr>
              <w:t xml:space="preserve"> attendance list is attached as </w:t>
            </w:r>
            <w:r w:rsidR="00477F6F" w:rsidRPr="00622256">
              <w:rPr>
                <w:color w:val="000000" w:themeColor="text1"/>
              </w:rPr>
              <w:t xml:space="preserve">an </w:t>
            </w:r>
            <w:r w:rsidRPr="00622256">
              <w:rPr>
                <w:color w:val="000000" w:themeColor="text1"/>
              </w:rPr>
              <w:t xml:space="preserve">Annex to this note. </w:t>
            </w:r>
          </w:p>
          <w:p w14:paraId="33C49757" w14:textId="2B720C9A" w:rsidR="005931CE" w:rsidRPr="00622256" w:rsidRDefault="005931CE" w:rsidP="005931CE">
            <w:pPr>
              <w:pStyle w:val="ListParagraph"/>
              <w:ind w:left="709"/>
              <w:rPr>
                <w:color w:val="000000" w:themeColor="text1"/>
              </w:rPr>
            </w:pPr>
          </w:p>
        </w:tc>
      </w:tr>
      <w:tr w:rsidR="00ED3DDF" w:rsidRPr="00622256" w14:paraId="00E89A56" w14:textId="77777777" w:rsidTr="000472AA">
        <w:trPr>
          <w:trHeight w:val="568"/>
        </w:trPr>
        <w:tc>
          <w:tcPr>
            <w:tcW w:w="9996" w:type="dxa"/>
            <w:shd w:val="clear" w:color="auto" w:fill="D9D9D9" w:themeFill="background1" w:themeFillShade="D9"/>
            <w:vAlign w:val="center"/>
          </w:tcPr>
          <w:p w14:paraId="3C0758DB" w14:textId="177C7EBC" w:rsidR="00ED3DDF" w:rsidRPr="00622256" w:rsidRDefault="005931CE" w:rsidP="005931CE">
            <w:pPr>
              <w:pStyle w:val="Heading1"/>
              <w:numPr>
                <w:ilvl w:val="0"/>
                <w:numId w:val="2"/>
              </w:numPr>
              <w:spacing w:before="0"/>
              <w:outlineLvl w:val="0"/>
              <w:rPr>
                <w:rFonts w:ascii="Arial" w:hAnsi="Arial" w:cs="Arial"/>
                <w:color w:val="000000" w:themeColor="text1"/>
                <w:sz w:val="24"/>
                <w:szCs w:val="24"/>
              </w:rPr>
            </w:pPr>
            <w:r w:rsidRPr="00622256">
              <w:rPr>
                <w:rFonts w:ascii="Arial" w:hAnsi="Arial" w:cs="Arial"/>
                <w:color w:val="000000" w:themeColor="text1"/>
                <w:sz w:val="24"/>
                <w:szCs w:val="24"/>
              </w:rPr>
              <w:t>Welcome and Introductions</w:t>
            </w:r>
          </w:p>
        </w:tc>
      </w:tr>
      <w:tr w:rsidR="00ED3DDF" w:rsidRPr="00622256" w14:paraId="14F11932" w14:textId="77777777" w:rsidTr="00ED3DDF">
        <w:tc>
          <w:tcPr>
            <w:tcW w:w="9996" w:type="dxa"/>
          </w:tcPr>
          <w:p w14:paraId="012576DA" w14:textId="5896905C" w:rsidR="005B1B13" w:rsidRPr="00622256" w:rsidRDefault="005409FC" w:rsidP="003B4BDC">
            <w:pPr>
              <w:pStyle w:val="ListParagraph"/>
              <w:numPr>
                <w:ilvl w:val="1"/>
                <w:numId w:val="34"/>
              </w:numPr>
              <w:ind w:left="709" w:hanging="709"/>
              <w:rPr>
                <w:b/>
                <w:color w:val="000000" w:themeColor="text1"/>
              </w:rPr>
            </w:pPr>
            <w:r>
              <w:rPr>
                <w:color w:val="000000" w:themeColor="text1"/>
              </w:rPr>
              <w:t xml:space="preserve">Members agreed that the group would be </w:t>
            </w:r>
            <w:r w:rsidR="003B4BDC">
              <w:rPr>
                <w:color w:val="000000" w:themeColor="text1"/>
              </w:rPr>
              <w:t>renam</w:t>
            </w:r>
            <w:r>
              <w:rPr>
                <w:color w:val="000000" w:themeColor="text1"/>
              </w:rPr>
              <w:t xml:space="preserve">ed as </w:t>
            </w:r>
            <w:r w:rsidR="003B4BDC">
              <w:rPr>
                <w:color w:val="000000" w:themeColor="text1"/>
              </w:rPr>
              <w:t>the Fair Funding Review Technical Working Group.</w:t>
            </w:r>
          </w:p>
          <w:p w14:paraId="400F1D23" w14:textId="77777777" w:rsidR="00E02B00" w:rsidRDefault="00E02B00" w:rsidP="00622256"/>
          <w:p w14:paraId="39E45B3B" w14:textId="16C0330A" w:rsidR="000472AA" w:rsidRPr="000472AA" w:rsidRDefault="000472AA" w:rsidP="00C44006">
            <w:pPr>
              <w:tabs>
                <w:tab w:val="left" w:pos="1985"/>
                <w:tab w:val="left" w:pos="2268"/>
              </w:tabs>
              <w:ind w:left="709"/>
              <w:rPr>
                <w:b/>
                <w:color w:val="FF0000"/>
              </w:rPr>
            </w:pPr>
            <w:r w:rsidRPr="000472AA">
              <w:rPr>
                <w:b/>
                <w:color w:val="FF0000"/>
              </w:rPr>
              <w:t>Action 1):</w:t>
            </w:r>
            <w:r>
              <w:rPr>
                <w:b/>
                <w:color w:val="FF0000"/>
              </w:rPr>
              <w:t xml:space="preserve"> </w:t>
            </w:r>
            <w:r w:rsidRPr="000472AA">
              <w:rPr>
                <w:b/>
                <w:color w:val="FF0000"/>
              </w:rPr>
              <w:t>DCLG to update</w:t>
            </w:r>
            <w:r>
              <w:rPr>
                <w:b/>
                <w:color w:val="FF0000"/>
              </w:rPr>
              <w:t xml:space="preserve"> and recirculate </w:t>
            </w:r>
            <w:r w:rsidRPr="000472AA">
              <w:rPr>
                <w:b/>
                <w:color w:val="FF0000"/>
              </w:rPr>
              <w:t xml:space="preserve">minutes of last meeting to reflect </w:t>
            </w:r>
            <w:r>
              <w:rPr>
                <w:b/>
                <w:color w:val="FF0000"/>
              </w:rPr>
              <w:t xml:space="preserve">amendments provided by </w:t>
            </w:r>
            <w:r w:rsidR="00306948">
              <w:rPr>
                <w:b/>
                <w:color w:val="FF0000"/>
              </w:rPr>
              <w:t>Geoff Winterbottom (4.12), Paul Woods</w:t>
            </w:r>
            <w:r>
              <w:rPr>
                <w:b/>
                <w:color w:val="FF0000"/>
              </w:rPr>
              <w:t xml:space="preserve"> and Alan Cross</w:t>
            </w:r>
            <w:r w:rsidR="00306948">
              <w:rPr>
                <w:b/>
                <w:color w:val="FF0000"/>
              </w:rPr>
              <w:t xml:space="preserve"> (4.13)</w:t>
            </w:r>
            <w:r>
              <w:rPr>
                <w:b/>
                <w:color w:val="FF0000"/>
              </w:rPr>
              <w:t>.</w:t>
            </w:r>
          </w:p>
          <w:p w14:paraId="7675815F" w14:textId="1EDDB137" w:rsidR="000472AA" w:rsidRPr="00622256" w:rsidRDefault="000472AA" w:rsidP="00622256"/>
        </w:tc>
      </w:tr>
      <w:tr w:rsidR="00ED3DDF" w:rsidRPr="00622256" w14:paraId="07749F69" w14:textId="77777777" w:rsidTr="000472AA">
        <w:trPr>
          <w:trHeight w:val="574"/>
        </w:trPr>
        <w:tc>
          <w:tcPr>
            <w:tcW w:w="9996" w:type="dxa"/>
            <w:shd w:val="clear" w:color="auto" w:fill="D9D9D9" w:themeFill="background1" w:themeFillShade="D9"/>
            <w:vAlign w:val="center"/>
          </w:tcPr>
          <w:p w14:paraId="00603F9A" w14:textId="7BCE041D" w:rsidR="00ED3DDF" w:rsidRPr="00622256" w:rsidRDefault="000472AA" w:rsidP="000472AA">
            <w:pPr>
              <w:pStyle w:val="ListParagraph"/>
              <w:numPr>
                <w:ilvl w:val="0"/>
                <w:numId w:val="34"/>
              </w:numPr>
              <w:rPr>
                <w:color w:val="000000" w:themeColor="text1"/>
              </w:rPr>
            </w:pPr>
            <w:r w:rsidRPr="000472AA">
              <w:rPr>
                <w:b/>
                <w:color w:val="000000" w:themeColor="text1"/>
              </w:rPr>
              <w:t>F</w:t>
            </w:r>
            <w:r>
              <w:rPr>
                <w:b/>
                <w:color w:val="000000" w:themeColor="text1"/>
              </w:rPr>
              <w:t xml:space="preserve">air Funding Review </w:t>
            </w:r>
            <w:r w:rsidRPr="000472AA">
              <w:rPr>
                <w:b/>
                <w:color w:val="000000" w:themeColor="text1"/>
              </w:rPr>
              <w:t>update and overview</w:t>
            </w:r>
            <w:r w:rsidRPr="0098523F">
              <w:rPr>
                <w:color w:val="000000" w:themeColor="text1"/>
              </w:rPr>
              <w:t xml:space="preserve"> - </w:t>
            </w:r>
            <w:r w:rsidRPr="009A3773">
              <w:rPr>
                <w:color w:val="000000" w:themeColor="text1"/>
              </w:rPr>
              <w:t>DCLG</w:t>
            </w:r>
          </w:p>
        </w:tc>
      </w:tr>
      <w:tr w:rsidR="005931CE" w:rsidRPr="00622256" w14:paraId="2087532A" w14:textId="77777777" w:rsidTr="00ED3DDF">
        <w:tc>
          <w:tcPr>
            <w:tcW w:w="9996" w:type="dxa"/>
          </w:tcPr>
          <w:p w14:paraId="603109F2" w14:textId="32974F92" w:rsidR="009A3773" w:rsidRDefault="005931CE" w:rsidP="00C275B7">
            <w:pPr>
              <w:pStyle w:val="ListParagraph"/>
              <w:numPr>
                <w:ilvl w:val="1"/>
                <w:numId w:val="34"/>
              </w:numPr>
              <w:spacing w:line="276" w:lineRule="auto"/>
              <w:ind w:left="720" w:hanging="720"/>
              <w:rPr>
                <w:color w:val="000000" w:themeColor="text1"/>
              </w:rPr>
            </w:pPr>
            <w:r w:rsidRPr="00622256">
              <w:rPr>
                <w:color w:val="000000" w:themeColor="text1"/>
              </w:rPr>
              <w:t xml:space="preserve">DCLG </w:t>
            </w:r>
            <w:r w:rsidR="009A3773">
              <w:rPr>
                <w:color w:val="000000" w:themeColor="text1"/>
              </w:rPr>
              <w:t xml:space="preserve">presented </w:t>
            </w:r>
            <w:r w:rsidRPr="00622256">
              <w:rPr>
                <w:color w:val="000000" w:themeColor="text1"/>
              </w:rPr>
              <w:t>a</w:t>
            </w:r>
            <w:r w:rsidR="00306948">
              <w:rPr>
                <w:color w:val="000000" w:themeColor="text1"/>
              </w:rPr>
              <w:t xml:space="preserve"> programme update</w:t>
            </w:r>
            <w:r w:rsidR="009A3773">
              <w:rPr>
                <w:color w:val="000000" w:themeColor="text1"/>
              </w:rPr>
              <w:t>:</w:t>
            </w:r>
          </w:p>
          <w:p w14:paraId="5BA959F5" w14:textId="77777777" w:rsidR="00261EB2" w:rsidRDefault="00261EB2" w:rsidP="006073F4">
            <w:pPr>
              <w:rPr>
                <w:color w:val="000000" w:themeColor="text1"/>
              </w:rPr>
            </w:pPr>
          </w:p>
          <w:p w14:paraId="2158DC20" w14:textId="1E4FEB09" w:rsidR="002E4D09" w:rsidRPr="006073F4" w:rsidRDefault="00261EB2" w:rsidP="006073F4">
            <w:pPr>
              <w:pStyle w:val="ListParagraph"/>
              <w:numPr>
                <w:ilvl w:val="0"/>
                <w:numId w:val="38"/>
              </w:numPr>
              <w:rPr>
                <w:b/>
                <w:color w:val="000000" w:themeColor="text1"/>
              </w:rPr>
            </w:pPr>
            <w:r w:rsidRPr="006073F4">
              <w:rPr>
                <w:b/>
                <w:color w:val="000000" w:themeColor="text1"/>
                <w:u w:val="single"/>
              </w:rPr>
              <w:t>An overview of on-going work with Ministers to explore the implications of  a Fair Funding Review timeline that potentially works towards implementation in 2020/21</w:t>
            </w:r>
          </w:p>
          <w:p w14:paraId="2E0079A9" w14:textId="77777777" w:rsidR="00261EB2" w:rsidRPr="006073F4" w:rsidRDefault="00261EB2" w:rsidP="006073F4">
            <w:pPr>
              <w:rPr>
                <w:color w:val="000000" w:themeColor="text1"/>
              </w:rPr>
            </w:pPr>
          </w:p>
          <w:p w14:paraId="223AE6F1" w14:textId="295750D1" w:rsidR="002E4D09" w:rsidRDefault="00A52C33" w:rsidP="006073F4">
            <w:pPr>
              <w:pStyle w:val="ListParagraph"/>
              <w:numPr>
                <w:ilvl w:val="1"/>
                <w:numId w:val="34"/>
              </w:numPr>
              <w:ind w:left="720" w:hanging="720"/>
            </w:pPr>
            <w:r>
              <w:rPr>
                <w:color w:val="000000" w:themeColor="text1"/>
              </w:rPr>
              <w:t>Alan Cross pointed out that</w:t>
            </w:r>
            <w:r w:rsidR="00261EB2">
              <w:rPr>
                <w:color w:val="000000" w:themeColor="text1"/>
              </w:rPr>
              <w:t xml:space="preserve"> 2020/21 was less challenging than </w:t>
            </w:r>
            <w:r w:rsidR="002E4D09">
              <w:rPr>
                <w:color w:val="000000" w:themeColor="text1"/>
              </w:rPr>
              <w:t>2019</w:t>
            </w:r>
            <w:r w:rsidR="00306948">
              <w:rPr>
                <w:color w:val="000000" w:themeColor="text1"/>
              </w:rPr>
              <w:t>/</w:t>
            </w:r>
            <w:r w:rsidR="002E4D09">
              <w:rPr>
                <w:color w:val="000000" w:themeColor="text1"/>
              </w:rPr>
              <w:t xml:space="preserve">20 </w:t>
            </w:r>
            <w:r w:rsidR="00261EB2">
              <w:rPr>
                <w:color w:val="000000" w:themeColor="text1"/>
              </w:rPr>
              <w:t xml:space="preserve">and that having access to more up-to-date data </w:t>
            </w:r>
            <w:r w:rsidR="002E4D09">
              <w:rPr>
                <w:color w:val="000000" w:themeColor="text1"/>
              </w:rPr>
              <w:t xml:space="preserve">would be </w:t>
            </w:r>
            <w:r w:rsidR="00261EB2">
              <w:rPr>
                <w:color w:val="000000" w:themeColor="text1"/>
              </w:rPr>
              <w:t xml:space="preserve">an advantage. A question posed by this timeline was at what point </w:t>
            </w:r>
            <w:r w:rsidR="005D79EE">
              <w:rPr>
                <w:color w:val="000000" w:themeColor="text1"/>
              </w:rPr>
              <w:t>2021 C</w:t>
            </w:r>
            <w:r w:rsidR="002E4D09">
              <w:rPr>
                <w:color w:val="000000" w:themeColor="text1"/>
              </w:rPr>
              <w:t>ensus</w:t>
            </w:r>
            <w:r w:rsidR="00261EB2">
              <w:rPr>
                <w:color w:val="000000" w:themeColor="text1"/>
              </w:rPr>
              <w:t xml:space="preserve"> data could begin to be incorporated. </w:t>
            </w:r>
            <w:r w:rsidR="002E4D09">
              <w:rPr>
                <w:color w:val="000000" w:themeColor="text1"/>
              </w:rPr>
              <w:t>He also commented that some data would be up to ten years old.</w:t>
            </w:r>
            <w:r w:rsidR="00A9634F">
              <w:rPr>
                <w:color w:val="000000" w:themeColor="text1"/>
              </w:rPr>
              <w:t xml:space="preserve"> </w:t>
            </w:r>
            <w:r w:rsidR="00261EB2">
              <w:t>D</w:t>
            </w:r>
            <w:r w:rsidR="002E4D09" w:rsidRPr="00261EB2">
              <w:t>CLG re</w:t>
            </w:r>
            <w:r w:rsidR="00261EB2" w:rsidRPr="00261EB2">
              <w:t>sponded that the</w:t>
            </w:r>
            <w:r w:rsidR="005D79EE">
              <w:t xml:space="preserve"> C</w:t>
            </w:r>
            <w:r w:rsidR="00261EB2">
              <w:t xml:space="preserve">ensus did provide an opportunity to incorporate up-to-date population data, and that there </w:t>
            </w:r>
            <w:r w:rsidR="00261EB2" w:rsidRPr="00261EB2">
              <w:t xml:space="preserve">was likely to be a balance </w:t>
            </w:r>
            <w:r w:rsidR="00261EB2">
              <w:t xml:space="preserve">to be struck </w:t>
            </w:r>
            <w:r w:rsidR="00261EB2" w:rsidRPr="00261EB2">
              <w:t xml:space="preserve">between incorporating the most up-to-data possible and </w:t>
            </w:r>
            <w:r w:rsidR="005D79EE">
              <w:t>completing the Review as soon as practicable</w:t>
            </w:r>
            <w:r w:rsidR="00261EB2" w:rsidRPr="00261EB2">
              <w:t xml:space="preserve">. </w:t>
            </w:r>
          </w:p>
          <w:p w14:paraId="458F5EC9" w14:textId="77777777" w:rsidR="00261EB2" w:rsidRPr="00261EB2" w:rsidRDefault="00261EB2" w:rsidP="002E4D09">
            <w:pPr>
              <w:pStyle w:val="ListParagraph"/>
              <w:rPr>
                <w:color w:val="000000" w:themeColor="text1"/>
              </w:rPr>
            </w:pPr>
          </w:p>
          <w:p w14:paraId="654EFC88" w14:textId="21515FE5" w:rsidR="002E4D09" w:rsidRDefault="002E4D09" w:rsidP="003743DC">
            <w:pPr>
              <w:pStyle w:val="ListParagraph"/>
              <w:numPr>
                <w:ilvl w:val="1"/>
                <w:numId w:val="34"/>
              </w:numPr>
              <w:ind w:left="720" w:hanging="720"/>
              <w:rPr>
                <w:color w:val="000000" w:themeColor="text1"/>
              </w:rPr>
            </w:pPr>
            <w:r>
              <w:rPr>
                <w:color w:val="000000" w:themeColor="text1"/>
              </w:rPr>
              <w:t xml:space="preserve">Chris Tambini commented that it </w:t>
            </w:r>
            <w:r w:rsidR="00261EB2">
              <w:rPr>
                <w:color w:val="000000" w:themeColor="text1"/>
              </w:rPr>
              <w:t xml:space="preserve">was important for the Review to be done properly and the new timeline presented a greater opportunity to do so. He also made the point that </w:t>
            </w:r>
            <w:r>
              <w:rPr>
                <w:color w:val="000000" w:themeColor="text1"/>
              </w:rPr>
              <w:t>some local authorities</w:t>
            </w:r>
            <w:r w:rsidR="00787B86">
              <w:rPr>
                <w:color w:val="000000" w:themeColor="text1"/>
              </w:rPr>
              <w:t xml:space="preserve"> may require </w:t>
            </w:r>
            <w:r w:rsidR="005D79EE">
              <w:rPr>
                <w:color w:val="000000" w:themeColor="text1"/>
              </w:rPr>
              <w:t>additional</w:t>
            </w:r>
            <w:r w:rsidR="00787B86">
              <w:rPr>
                <w:color w:val="000000" w:themeColor="text1"/>
              </w:rPr>
              <w:t xml:space="preserve"> funding</w:t>
            </w:r>
            <w:r w:rsidR="00262961">
              <w:rPr>
                <w:color w:val="000000" w:themeColor="text1"/>
              </w:rPr>
              <w:t xml:space="preserve"> before 2020/21.</w:t>
            </w:r>
          </w:p>
          <w:p w14:paraId="7FEA4E25" w14:textId="77777777" w:rsidR="006B0B81" w:rsidRPr="006B0B81" w:rsidRDefault="006B0B81" w:rsidP="006B0B81">
            <w:pPr>
              <w:pStyle w:val="ListParagraph"/>
              <w:rPr>
                <w:color w:val="000000" w:themeColor="text1"/>
              </w:rPr>
            </w:pPr>
          </w:p>
          <w:p w14:paraId="7D50ADCE" w14:textId="72BDC0E7" w:rsidR="000615BC" w:rsidRDefault="006B0B81" w:rsidP="003743DC">
            <w:pPr>
              <w:pStyle w:val="ListParagraph"/>
              <w:numPr>
                <w:ilvl w:val="1"/>
                <w:numId w:val="34"/>
              </w:numPr>
              <w:ind w:left="720" w:hanging="720"/>
              <w:rPr>
                <w:color w:val="000000" w:themeColor="text1"/>
              </w:rPr>
            </w:pPr>
            <w:r w:rsidRPr="008B6021">
              <w:rPr>
                <w:color w:val="000000" w:themeColor="text1"/>
              </w:rPr>
              <w:t>Adrian</w:t>
            </w:r>
            <w:r w:rsidR="00173406" w:rsidRPr="008B6021">
              <w:rPr>
                <w:color w:val="000000" w:themeColor="text1"/>
              </w:rPr>
              <w:t xml:space="preserve"> Jenkins</w:t>
            </w:r>
            <w:r w:rsidRPr="008B6021">
              <w:rPr>
                <w:color w:val="000000" w:themeColor="text1"/>
              </w:rPr>
              <w:t xml:space="preserve"> pointed out that the </w:t>
            </w:r>
            <w:r w:rsidR="00A9634F" w:rsidRPr="008B6021">
              <w:rPr>
                <w:color w:val="000000" w:themeColor="text1"/>
              </w:rPr>
              <w:t>constraints in the timeline meant final allocations</w:t>
            </w:r>
            <w:r w:rsidR="00A9634F" w:rsidRPr="00A9634F">
              <w:rPr>
                <w:color w:val="000000" w:themeColor="text1"/>
              </w:rPr>
              <w:t xml:space="preserve"> would not be a</w:t>
            </w:r>
            <w:r w:rsidR="005D79EE">
              <w:rPr>
                <w:color w:val="000000" w:themeColor="text1"/>
              </w:rPr>
              <w:t xml:space="preserve">vailable to authorities until relatively soon before implementation, </w:t>
            </w:r>
            <w:r w:rsidR="00A9634F" w:rsidRPr="00A9634F">
              <w:rPr>
                <w:color w:val="000000" w:themeColor="text1"/>
              </w:rPr>
              <w:t xml:space="preserve">which could affect their ability to plan for any changes. </w:t>
            </w:r>
            <w:r w:rsidR="00715B0C">
              <w:rPr>
                <w:color w:val="000000" w:themeColor="text1"/>
              </w:rPr>
              <w:t>DCLG responded that there were different ways to exemplify</w:t>
            </w:r>
            <w:r w:rsidR="00A9634F">
              <w:rPr>
                <w:color w:val="000000" w:themeColor="text1"/>
              </w:rPr>
              <w:t xml:space="preserve"> indicative allocations and provide certainty to authorities, which would be considered. DCLG also confirmed that the Government </w:t>
            </w:r>
            <w:r w:rsidR="00A9634F">
              <w:rPr>
                <w:color w:val="000000" w:themeColor="text1"/>
              </w:rPr>
              <w:lastRenderedPageBreak/>
              <w:t xml:space="preserve">are committed to managing </w:t>
            </w:r>
            <w:r w:rsidR="00CD758E">
              <w:rPr>
                <w:color w:val="000000" w:themeColor="text1"/>
              </w:rPr>
              <w:t>transition</w:t>
            </w:r>
            <w:r w:rsidR="00A9634F">
              <w:rPr>
                <w:color w:val="000000" w:themeColor="text1"/>
              </w:rPr>
              <w:t xml:space="preserve"> in such a way that authorities reach their target allocation over a sustainable period of time.</w:t>
            </w:r>
          </w:p>
          <w:p w14:paraId="336FD48D" w14:textId="77777777" w:rsidR="00F467AB" w:rsidRPr="00F467AB" w:rsidRDefault="00F467AB" w:rsidP="00F467AB">
            <w:pPr>
              <w:pStyle w:val="ListParagraph"/>
              <w:rPr>
                <w:color w:val="000000" w:themeColor="text1"/>
              </w:rPr>
            </w:pPr>
          </w:p>
          <w:p w14:paraId="024377B3" w14:textId="42410ED7" w:rsidR="00F467AB" w:rsidRDefault="00F467AB" w:rsidP="003743DC">
            <w:pPr>
              <w:pStyle w:val="ListParagraph"/>
              <w:numPr>
                <w:ilvl w:val="1"/>
                <w:numId w:val="34"/>
              </w:numPr>
              <w:ind w:left="720" w:hanging="720"/>
              <w:rPr>
                <w:color w:val="000000" w:themeColor="text1"/>
              </w:rPr>
            </w:pPr>
            <w:r>
              <w:rPr>
                <w:color w:val="000000" w:themeColor="text1"/>
              </w:rPr>
              <w:t xml:space="preserve">Geoff Winterbottom </w:t>
            </w:r>
            <w:r w:rsidR="00946E50">
              <w:rPr>
                <w:color w:val="000000" w:themeColor="text1"/>
              </w:rPr>
              <w:t xml:space="preserve">agreed that authorities needed to know the outcome of the Review as early as possible and urged DCLG </w:t>
            </w:r>
            <w:r w:rsidR="00A52C33">
              <w:rPr>
                <w:color w:val="000000" w:themeColor="text1"/>
              </w:rPr>
              <w:t>to consider what options exist</w:t>
            </w:r>
            <w:r w:rsidR="00946E50">
              <w:rPr>
                <w:color w:val="000000" w:themeColor="text1"/>
              </w:rPr>
              <w:t xml:space="preserve"> for sharing indicative allocations ahead of final data sources becoming available.</w:t>
            </w:r>
          </w:p>
          <w:p w14:paraId="258CE644" w14:textId="77777777" w:rsidR="00D734A5" w:rsidRPr="00D734A5" w:rsidRDefault="00D734A5" w:rsidP="00D734A5">
            <w:pPr>
              <w:pStyle w:val="ListParagraph"/>
              <w:rPr>
                <w:color w:val="000000" w:themeColor="text1"/>
              </w:rPr>
            </w:pPr>
          </w:p>
          <w:p w14:paraId="44EBCFBA" w14:textId="506B7002" w:rsidR="00D734A5" w:rsidRDefault="00D734A5" w:rsidP="003743DC">
            <w:pPr>
              <w:pStyle w:val="ListParagraph"/>
              <w:numPr>
                <w:ilvl w:val="1"/>
                <w:numId w:val="34"/>
              </w:numPr>
              <w:ind w:left="720" w:hanging="720"/>
              <w:rPr>
                <w:color w:val="000000" w:themeColor="text1"/>
              </w:rPr>
            </w:pPr>
            <w:r>
              <w:rPr>
                <w:color w:val="000000" w:themeColor="text1"/>
              </w:rPr>
              <w:t xml:space="preserve">Alan Cross </w:t>
            </w:r>
            <w:r w:rsidR="00946E50">
              <w:rPr>
                <w:color w:val="000000" w:themeColor="text1"/>
              </w:rPr>
              <w:t>agreed that it would be preferable to issue heavily caveated indicative allocations using the available data rather than wait for new data sources to become available.</w:t>
            </w:r>
          </w:p>
          <w:p w14:paraId="73449B9E" w14:textId="77777777" w:rsidR="00FC1E56" w:rsidRPr="006073F4" w:rsidRDefault="00FC1E56" w:rsidP="006073F4">
            <w:pPr>
              <w:rPr>
                <w:color w:val="000000" w:themeColor="text1"/>
              </w:rPr>
            </w:pPr>
          </w:p>
          <w:p w14:paraId="2090EF9A" w14:textId="24BFA63B" w:rsidR="00FC1E56" w:rsidRDefault="00FC1E56" w:rsidP="003743DC">
            <w:pPr>
              <w:pStyle w:val="ListParagraph"/>
              <w:numPr>
                <w:ilvl w:val="1"/>
                <w:numId w:val="34"/>
              </w:numPr>
              <w:ind w:left="720" w:hanging="720"/>
              <w:rPr>
                <w:color w:val="000000" w:themeColor="text1"/>
              </w:rPr>
            </w:pPr>
            <w:r>
              <w:rPr>
                <w:color w:val="000000" w:themeColor="text1"/>
              </w:rPr>
              <w:t xml:space="preserve">Nicola Morton pointed out that in the past DCLG have published exemplifications </w:t>
            </w:r>
            <w:r w:rsidR="009D2A9F">
              <w:rPr>
                <w:color w:val="000000" w:themeColor="text1"/>
              </w:rPr>
              <w:t xml:space="preserve">during a </w:t>
            </w:r>
            <w:r>
              <w:rPr>
                <w:color w:val="000000" w:themeColor="text1"/>
              </w:rPr>
              <w:t>consultation p</w:t>
            </w:r>
            <w:r w:rsidR="009D2A9F">
              <w:rPr>
                <w:color w:val="000000" w:themeColor="text1"/>
              </w:rPr>
              <w:t xml:space="preserve">rocess, which </w:t>
            </w:r>
            <w:r>
              <w:rPr>
                <w:color w:val="000000" w:themeColor="text1"/>
              </w:rPr>
              <w:t xml:space="preserve">could </w:t>
            </w:r>
            <w:r w:rsidR="00CB5B66">
              <w:rPr>
                <w:color w:val="000000" w:themeColor="text1"/>
              </w:rPr>
              <w:t xml:space="preserve">also </w:t>
            </w:r>
            <w:r>
              <w:rPr>
                <w:color w:val="000000" w:themeColor="text1"/>
              </w:rPr>
              <w:t xml:space="preserve">be an option. </w:t>
            </w:r>
          </w:p>
          <w:p w14:paraId="3028BEA3" w14:textId="77777777" w:rsidR="00F467AB" w:rsidRPr="00F467AB" w:rsidRDefault="00F467AB" w:rsidP="00F467AB">
            <w:pPr>
              <w:pStyle w:val="ListParagraph"/>
              <w:rPr>
                <w:color w:val="000000" w:themeColor="text1"/>
              </w:rPr>
            </w:pPr>
          </w:p>
          <w:p w14:paraId="4FEB6BA8" w14:textId="6758EB31" w:rsidR="008A35FC" w:rsidRPr="008A35FC" w:rsidRDefault="002140B7" w:rsidP="006073F4">
            <w:pPr>
              <w:pStyle w:val="ListParagraph"/>
              <w:numPr>
                <w:ilvl w:val="1"/>
                <w:numId w:val="34"/>
              </w:numPr>
              <w:ind w:left="720" w:hanging="720"/>
              <w:rPr>
                <w:color w:val="000000" w:themeColor="text1"/>
              </w:rPr>
            </w:pPr>
            <w:r w:rsidRPr="009D2A9F">
              <w:rPr>
                <w:color w:val="000000" w:themeColor="text1"/>
              </w:rPr>
              <w:t xml:space="preserve">Paul </w:t>
            </w:r>
            <w:proofErr w:type="spellStart"/>
            <w:r w:rsidRPr="008A35FC">
              <w:rPr>
                <w:color w:val="000000" w:themeColor="text1"/>
              </w:rPr>
              <w:t>Honeyben</w:t>
            </w:r>
            <w:proofErr w:type="spellEnd"/>
            <w:r w:rsidRPr="008A35FC">
              <w:rPr>
                <w:color w:val="000000" w:themeColor="text1"/>
              </w:rPr>
              <w:t xml:space="preserve"> pointed out that </w:t>
            </w:r>
            <w:r w:rsidR="009D2A9F" w:rsidRPr="008A35FC">
              <w:rPr>
                <w:color w:val="000000" w:themeColor="text1"/>
              </w:rPr>
              <w:t xml:space="preserve">given the level of </w:t>
            </w:r>
            <w:r w:rsidRPr="008A35FC">
              <w:rPr>
                <w:color w:val="000000" w:themeColor="text1"/>
              </w:rPr>
              <w:t xml:space="preserve">uncertainty, </w:t>
            </w:r>
            <w:r w:rsidR="009D2A9F" w:rsidRPr="008A35FC">
              <w:rPr>
                <w:color w:val="000000" w:themeColor="text1"/>
              </w:rPr>
              <w:t xml:space="preserve">he felt that </w:t>
            </w:r>
            <w:r w:rsidRPr="006073F4">
              <w:rPr>
                <w:color w:val="000000" w:themeColor="text1"/>
              </w:rPr>
              <w:t>transition</w:t>
            </w:r>
            <w:r w:rsidR="009D2A9F" w:rsidRPr="006073F4">
              <w:rPr>
                <w:color w:val="000000" w:themeColor="text1"/>
              </w:rPr>
              <w:t>al arrangements w</w:t>
            </w:r>
            <w:r w:rsidR="009D2A9F" w:rsidRPr="008A35FC">
              <w:rPr>
                <w:color w:val="000000" w:themeColor="text1"/>
              </w:rPr>
              <w:t xml:space="preserve">ould be </w:t>
            </w:r>
            <w:r w:rsidR="009D2A9F" w:rsidRPr="006073F4">
              <w:rPr>
                <w:color w:val="000000" w:themeColor="text1"/>
              </w:rPr>
              <w:t xml:space="preserve">more important </w:t>
            </w:r>
            <w:r w:rsidRPr="006073F4">
              <w:rPr>
                <w:color w:val="000000" w:themeColor="text1"/>
              </w:rPr>
              <w:t xml:space="preserve">than under </w:t>
            </w:r>
            <w:r w:rsidR="009D2A9F" w:rsidRPr="006073F4">
              <w:rPr>
                <w:color w:val="000000" w:themeColor="text1"/>
              </w:rPr>
              <w:t xml:space="preserve">normal </w:t>
            </w:r>
            <w:r w:rsidRPr="006073F4">
              <w:rPr>
                <w:color w:val="000000" w:themeColor="text1"/>
              </w:rPr>
              <w:t>circumstances</w:t>
            </w:r>
            <w:r w:rsidR="008A35FC" w:rsidRPr="008A35FC">
              <w:rPr>
                <w:color w:val="000000" w:themeColor="text1"/>
              </w:rPr>
              <w:t>.</w:t>
            </w:r>
          </w:p>
          <w:p w14:paraId="00918246" w14:textId="77777777" w:rsidR="008A35FC" w:rsidRPr="006073F4" w:rsidRDefault="008A35FC" w:rsidP="006073F4">
            <w:pPr>
              <w:pStyle w:val="ListParagraph"/>
              <w:rPr>
                <w:color w:val="000000" w:themeColor="text1"/>
              </w:rPr>
            </w:pPr>
          </w:p>
          <w:p w14:paraId="0A5C4C24" w14:textId="0F9AB0C2" w:rsidR="003828F1" w:rsidRPr="006073F4" w:rsidRDefault="008A35FC" w:rsidP="006073F4">
            <w:pPr>
              <w:pStyle w:val="ListParagraph"/>
              <w:numPr>
                <w:ilvl w:val="1"/>
                <w:numId w:val="34"/>
              </w:numPr>
              <w:ind w:left="709" w:hanging="709"/>
            </w:pPr>
            <w:r w:rsidRPr="008A35FC">
              <w:t>D</w:t>
            </w:r>
            <w:r w:rsidR="003828F1" w:rsidRPr="008A35FC">
              <w:t xml:space="preserve">an Bates </w:t>
            </w:r>
            <w:r w:rsidRPr="008A35FC">
              <w:t xml:space="preserve">asked whether there would be any visibility prior to late 2019 on the </w:t>
            </w:r>
            <w:r>
              <w:t xml:space="preserve">outcome of the Review. </w:t>
            </w:r>
            <w:r w:rsidR="003828F1" w:rsidRPr="006073F4">
              <w:t>DCLG responded that</w:t>
            </w:r>
            <w:r w:rsidR="00CB5B66">
              <w:t xml:space="preserve"> it would try to provide increasing clarity over the period.</w:t>
            </w:r>
            <w:r w:rsidRPr="006073F4">
              <w:t xml:space="preserve"> </w:t>
            </w:r>
          </w:p>
          <w:p w14:paraId="3805F1DB" w14:textId="77777777" w:rsidR="008A35FC" w:rsidRPr="006073F4" w:rsidRDefault="008A35FC" w:rsidP="003828F1">
            <w:pPr>
              <w:pStyle w:val="ListParagraph"/>
              <w:spacing w:after="200" w:line="276" w:lineRule="auto"/>
              <w:rPr>
                <w:color w:val="000000" w:themeColor="text1"/>
              </w:rPr>
            </w:pPr>
          </w:p>
          <w:p w14:paraId="3883B133" w14:textId="3BAC6D6C" w:rsidR="003828F1" w:rsidRDefault="003828F1" w:rsidP="003743DC">
            <w:pPr>
              <w:pStyle w:val="ListParagraph"/>
              <w:numPr>
                <w:ilvl w:val="1"/>
                <w:numId w:val="34"/>
              </w:numPr>
              <w:ind w:left="720" w:hanging="720"/>
              <w:rPr>
                <w:color w:val="000000" w:themeColor="text1"/>
              </w:rPr>
            </w:pPr>
            <w:r w:rsidRPr="00B728F7">
              <w:rPr>
                <w:color w:val="000000" w:themeColor="text1"/>
              </w:rPr>
              <w:t xml:space="preserve">Paul Woods </w:t>
            </w:r>
            <w:r w:rsidR="00CB5B66">
              <w:rPr>
                <w:color w:val="000000" w:themeColor="text1"/>
              </w:rPr>
              <w:t xml:space="preserve">said that commissioning new research on </w:t>
            </w:r>
            <w:r w:rsidRPr="00B728F7">
              <w:rPr>
                <w:color w:val="000000" w:themeColor="text1"/>
              </w:rPr>
              <w:t xml:space="preserve">Children’s Services was sensible, </w:t>
            </w:r>
            <w:r w:rsidR="00B728F7" w:rsidRPr="00B728F7">
              <w:rPr>
                <w:color w:val="000000" w:themeColor="text1"/>
              </w:rPr>
              <w:t xml:space="preserve">and asked whether the Department for Health’s work on developing a </w:t>
            </w:r>
            <w:r w:rsidR="00B728F7">
              <w:rPr>
                <w:color w:val="000000" w:themeColor="text1"/>
              </w:rPr>
              <w:t xml:space="preserve">new </w:t>
            </w:r>
            <w:r w:rsidR="00B728F7" w:rsidRPr="00B728F7">
              <w:rPr>
                <w:color w:val="000000" w:themeColor="text1"/>
              </w:rPr>
              <w:t xml:space="preserve">formula for </w:t>
            </w:r>
            <w:r w:rsidRPr="00B728F7">
              <w:rPr>
                <w:color w:val="000000" w:themeColor="text1"/>
              </w:rPr>
              <w:t>Adult Social Care</w:t>
            </w:r>
            <w:r w:rsidR="00B728F7" w:rsidRPr="00B728F7">
              <w:rPr>
                <w:color w:val="000000" w:themeColor="text1"/>
              </w:rPr>
              <w:t xml:space="preserve"> would be considered </w:t>
            </w:r>
            <w:r w:rsidR="00B728F7">
              <w:rPr>
                <w:color w:val="000000" w:themeColor="text1"/>
              </w:rPr>
              <w:t>by the Review</w:t>
            </w:r>
            <w:r w:rsidR="00B728F7" w:rsidRPr="00B728F7">
              <w:rPr>
                <w:color w:val="000000" w:themeColor="text1"/>
              </w:rPr>
              <w:t xml:space="preserve">. </w:t>
            </w:r>
            <w:r>
              <w:rPr>
                <w:color w:val="000000" w:themeColor="text1"/>
              </w:rPr>
              <w:t xml:space="preserve">DCLG responded </w:t>
            </w:r>
            <w:r w:rsidR="00B728F7">
              <w:rPr>
                <w:color w:val="000000" w:themeColor="text1"/>
              </w:rPr>
              <w:t>that this was an option for a potential service specific approach to this area.</w:t>
            </w:r>
            <w:r w:rsidR="00B728F7" w:rsidDel="00B728F7">
              <w:rPr>
                <w:color w:val="000000" w:themeColor="text1"/>
              </w:rPr>
              <w:t xml:space="preserve"> </w:t>
            </w:r>
          </w:p>
          <w:p w14:paraId="50BC0E46" w14:textId="77777777" w:rsidR="003828F1" w:rsidRPr="003828F1" w:rsidRDefault="003828F1" w:rsidP="003828F1">
            <w:pPr>
              <w:pStyle w:val="ListParagraph"/>
              <w:rPr>
                <w:color w:val="000000" w:themeColor="text1"/>
              </w:rPr>
            </w:pPr>
          </w:p>
          <w:p w14:paraId="59AAD61B" w14:textId="0FA5D7BA" w:rsidR="001E7B98" w:rsidRDefault="001E7B98" w:rsidP="003743DC">
            <w:pPr>
              <w:pStyle w:val="ListParagraph"/>
              <w:numPr>
                <w:ilvl w:val="1"/>
                <w:numId w:val="34"/>
              </w:numPr>
              <w:ind w:left="720" w:hanging="720"/>
              <w:rPr>
                <w:color w:val="000000" w:themeColor="text1"/>
              </w:rPr>
            </w:pPr>
            <w:r w:rsidRPr="00B728F7">
              <w:rPr>
                <w:color w:val="000000" w:themeColor="text1"/>
              </w:rPr>
              <w:t xml:space="preserve">Paul Woods </w:t>
            </w:r>
            <w:r w:rsidR="00B728F7" w:rsidRPr="00B728F7">
              <w:rPr>
                <w:color w:val="000000" w:themeColor="text1"/>
              </w:rPr>
              <w:t>noted that t</w:t>
            </w:r>
            <w:r w:rsidRPr="00B728F7">
              <w:rPr>
                <w:color w:val="000000" w:themeColor="text1"/>
              </w:rPr>
              <w:t xml:space="preserve">he Review </w:t>
            </w:r>
            <w:r w:rsidR="00B728F7" w:rsidRPr="00B728F7">
              <w:rPr>
                <w:color w:val="000000" w:themeColor="text1"/>
              </w:rPr>
              <w:t>c</w:t>
            </w:r>
            <w:r w:rsidRPr="00B728F7">
              <w:rPr>
                <w:color w:val="000000" w:themeColor="text1"/>
              </w:rPr>
              <w:t>ould happen without further business rates retention</w:t>
            </w:r>
            <w:r w:rsidR="005538CE" w:rsidRPr="00B728F7">
              <w:rPr>
                <w:color w:val="000000" w:themeColor="text1"/>
              </w:rPr>
              <w:t>.</w:t>
            </w:r>
            <w:r w:rsidR="00B728F7" w:rsidRPr="00B728F7">
              <w:rPr>
                <w:color w:val="000000" w:themeColor="text1"/>
              </w:rPr>
              <w:t xml:space="preserve"> </w:t>
            </w:r>
            <w:r>
              <w:rPr>
                <w:color w:val="000000" w:themeColor="text1"/>
              </w:rPr>
              <w:t xml:space="preserve">DCLG responded </w:t>
            </w:r>
            <w:r w:rsidR="005538CE">
              <w:rPr>
                <w:color w:val="000000" w:themeColor="text1"/>
              </w:rPr>
              <w:t>if ministers agree</w:t>
            </w:r>
            <w:r w:rsidR="00B728F7">
              <w:rPr>
                <w:color w:val="000000" w:themeColor="text1"/>
              </w:rPr>
              <w:t xml:space="preserve"> we would wor</w:t>
            </w:r>
            <w:r w:rsidR="000D1776">
              <w:rPr>
                <w:color w:val="000000" w:themeColor="text1"/>
              </w:rPr>
              <w:t>k towards implementation in 2020/2</w:t>
            </w:r>
            <w:r w:rsidR="00B728F7">
              <w:rPr>
                <w:color w:val="000000" w:themeColor="text1"/>
              </w:rPr>
              <w:t xml:space="preserve">1 and keep </w:t>
            </w:r>
            <w:r w:rsidR="00CB5B66">
              <w:rPr>
                <w:color w:val="000000" w:themeColor="text1"/>
              </w:rPr>
              <w:t>t</w:t>
            </w:r>
            <w:r w:rsidR="00B728F7">
              <w:rPr>
                <w:color w:val="000000" w:themeColor="text1"/>
              </w:rPr>
              <w:t xml:space="preserve">his under review as work progresses. Important considerations would include wider progress on </w:t>
            </w:r>
            <w:r>
              <w:rPr>
                <w:color w:val="000000" w:themeColor="text1"/>
              </w:rPr>
              <w:t>business rate</w:t>
            </w:r>
            <w:r w:rsidR="005538CE">
              <w:rPr>
                <w:color w:val="000000" w:themeColor="text1"/>
              </w:rPr>
              <w:t>s</w:t>
            </w:r>
            <w:r>
              <w:rPr>
                <w:color w:val="000000" w:themeColor="text1"/>
              </w:rPr>
              <w:t xml:space="preserve"> re</w:t>
            </w:r>
            <w:r w:rsidR="00B728F7">
              <w:rPr>
                <w:color w:val="000000" w:themeColor="text1"/>
              </w:rPr>
              <w:t>tention,</w:t>
            </w:r>
            <w:r>
              <w:rPr>
                <w:color w:val="000000" w:themeColor="text1"/>
              </w:rPr>
              <w:t xml:space="preserve"> adult social care reform, and alignment with a</w:t>
            </w:r>
            <w:r w:rsidR="00B728F7">
              <w:rPr>
                <w:color w:val="000000" w:themeColor="text1"/>
              </w:rPr>
              <w:t>ny</w:t>
            </w:r>
            <w:r>
              <w:rPr>
                <w:color w:val="000000" w:themeColor="text1"/>
              </w:rPr>
              <w:t xml:space="preserve"> </w:t>
            </w:r>
            <w:r w:rsidR="005538CE">
              <w:rPr>
                <w:color w:val="000000" w:themeColor="text1"/>
              </w:rPr>
              <w:t xml:space="preserve">future </w:t>
            </w:r>
            <w:r w:rsidR="00CB5B66">
              <w:rPr>
                <w:color w:val="000000" w:themeColor="text1"/>
              </w:rPr>
              <w:t>Spending R</w:t>
            </w:r>
            <w:r>
              <w:rPr>
                <w:color w:val="000000" w:themeColor="text1"/>
              </w:rPr>
              <w:t>eview.</w:t>
            </w:r>
          </w:p>
          <w:p w14:paraId="7AB0DA43" w14:textId="77777777" w:rsidR="00621396" w:rsidRDefault="00621396" w:rsidP="001E7B98">
            <w:pPr>
              <w:pStyle w:val="ListParagraph"/>
              <w:rPr>
                <w:color w:val="000000" w:themeColor="text1"/>
              </w:rPr>
            </w:pPr>
          </w:p>
          <w:p w14:paraId="4EB755E0" w14:textId="6DFF1CC1" w:rsidR="00621396" w:rsidRPr="006073F4" w:rsidRDefault="00621396" w:rsidP="006073F4">
            <w:pPr>
              <w:pStyle w:val="ListParagraph"/>
              <w:numPr>
                <w:ilvl w:val="0"/>
                <w:numId w:val="38"/>
              </w:numPr>
              <w:rPr>
                <w:b/>
                <w:color w:val="000000" w:themeColor="text1"/>
                <w:u w:val="single"/>
              </w:rPr>
            </w:pPr>
            <w:r w:rsidRPr="006073F4">
              <w:rPr>
                <w:b/>
                <w:color w:val="000000" w:themeColor="text1"/>
                <w:u w:val="single"/>
              </w:rPr>
              <w:t>A planned technical co</w:t>
            </w:r>
            <w:r w:rsidRPr="00621396">
              <w:rPr>
                <w:b/>
                <w:color w:val="000000" w:themeColor="text1"/>
                <w:u w:val="single"/>
              </w:rPr>
              <w:t>nsultation on relative need</w:t>
            </w:r>
          </w:p>
          <w:p w14:paraId="0AEC1D3F" w14:textId="77777777" w:rsidR="00DB0293" w:rsidRPr="006073F4" w:rsidRDefault="00DB0293" w:rsidP="006073F4">
            <w:pPr>
              <w:rPr>
                <w:color w:val="000000" w:themeColor="text1"/>
              </w:rPr>
            </w:pPr>
          </w:p>
          <w:p w14:paraId="1279083E" w14:textId="3073FB63" w:rsidR="00DB0293" w:rsidRDefault="00DB0293" w:rsidP="003743DC">
            <w:pPr>
              <w:pStyle w:val="ListParagraph"/>
              <w:numPr>
                <w:ilvl w:val="1"/>
                <w:numId w:val="34"/>
              </w:numPr>
              <w:ind w:left="720" w:hanging="720"/>
              <w:rPr>
                <w:color w:val="000000" w:themeColor="text1"/>
              </w:rPr>
            </w:pPr>
            <w:r w:rsidRPr="00621396">
              <w:rPr>
                <w:color w:val="000000" w:themeColor="text1"/>
              </w:rPr>
              <w:t>Dan Bates asked if DCLG would be consulting on the resources block as well</w:t>
            </w:r>
            <w:r w:rsidR="00621396" w:rsidRPr="00621396">
              <w:rPr>
                <w:color w:val="000000" w:themeColor="text1"/>
              </w:rPr>
              <w:t xml:space="preserve">. </w:t>
            </w:r>
            <w:r>
              <w:rPr>
                <w:color w:val="000000" w:themeColor="text1"/>
              </w:rPr>
              <w:t>DCLG responded that</w:t>
            </w:r>
            <w:r w:rsidR="00621396">
              <w:rPr>
                <w:color w:val="000000" w:themeColor="text1"/>
              </w:rPr>
              <w:t xml:space="preserve"> this </w:t>
            </w:r>
            <w:r>
              <w:rPr>
                <w:color w:val="000000" w:themeColor="text1"/>
              </w:rPr>
              <w:t>consultation</w:t>
            </w:r>
            <w:r w:rsidR="00621396">
              <w:rPr>
                <w:color w:val="000000" w:themeColor="text1"/>
              </w:rPr>
              <w:t xml:space="preserve"> would focus </w:t>
            </w:r>
            <w:r w:rsidR="00CB5B66">
              <w:rPr>
                <w:color w:val="000000" w:themeColor="text1"/>
              </w:rPr>
              <w:t>primarily</w:t>
            </w:r>
            <w:r w:rsidR="00621396">
              <w:rPr>
                <w:color w:val="000000" w:themeColor="text1"/>
              </w:rPr>
              <w:t xml:space="preserve"> on relative needs, and that relative resources </w:t>
            </w:r>
            <w:r>
              <w:rPr>
                <w:color w:val="000000" w:themeColor="text1"/>
              </w:rPr>
              <w:t xml:space="preserve">would be explored </w:t>
            </w:r>
            <w:r w:rsidR="00621396">
              <w:rPr>
                <w:color w:val="000000" w:themeColor="text1"/>
              </w:rPr>
              <w:t xml:space="preserve">by the group </w:t>
            </w:r>
            <w:r>
              <w:rPr>
                <w:color w:val="000000" w:themeColor="text1"/>
              </w:rPr>
              <w:t>in due course.</w:t>
            </w:r>
          </w:p>
          <w:p w14:paraId="1FAB48E3" w14:textId="77777777" w:rsidR="00F07937" w:rsidRDefault="00F07937" w:rsidP="00F07937">
            <w:pPr>
              <w:pStyle w:val="ListParagraph"/>
              <w:rPr>
                <w:color w:val="000000" w:themeColor="text1"/>
              </w:rPr>
            </w:pPr>
          </w:p>
          <w:p w14:paraId="44E354FD" w14:textId="7ED3BB86" w:rsidR="00B728F7" w:rsidRPr="006073F4" w:rsidRDefault="00B728F7" w:rsidP="006073F4">
            <w:pPr>
              <w:pStyle w:val="ListParagraph"/>
              <w:numPr>
                <w:ilvl w:val="0"/>
                <w:numId w:val="38"/>
              </w:numPr>
              <w:rPr>
                <w:b/>
                <w:color w:val="000000" w:themeColor="text1"/>
                <w:u w:val="single"/>
              </w:rPr>
            </w:pPr>
            <w:r w:rsidRPr="006073F4">
              <w:rPr>
                <w:b/>
                <w:color w:val="000000" w:themeColor="text1"/>
                <w:u w:val="single"/>
              </w:rPr>
              <w:t>The commissioning of a Children’s Services resear</w:t>
            </w:r>
            <w:r w:rsidRPr="00B728F7">
              <w:rPr>
                <w:b/>
                <w:color w:val="000000" w:themeColor="text1"/>
                <w:u w:val="single"/>
              </w:rPr>
              <w:t>ch and data collection project</w:t>
            </w:r>
          </w:p>
          <w:p w14:paraId="081CAD04" w14:textId="77777777" w:rsidR="00F07937" w:rsidRPr="00F07937" w:rsidRDefault="00F07937" w:rsidP="00F07937">
            <w:pPr>
              <w:pStyle w:val="ListParagraph"/>
              <w:rPr>
                <w:color w:val="000000" w:themeColor="text1"/>
              </w:rPr>
            </w:pPr>
          </w:p>
          <w:p w14:paraId="592A2365" w14:textId="7CD62192" w:rsidR="00F07937" w:rsidRPr="00D6607C" w:rsidRDefault="00F07937" w:rsidP="003743DC">
            <w:pPr>
              <w:pStyle w:val="ListParagraph"/>
              <w:numPr>
                <w:ilvl w:val="1"/>
                <w:numId w:val="34"/>
              </w:numPr>
              <w:spacing w:after="200" w:line="276" w:lineRule="auto"/>
              <w:ind w:left="720" w:hanging="720"/>
              <w:rPr>
                <w:color w:val="000000" w:themeColor="text1"/>
              </w:rPr>
            </w:pPr>
            <w:r w:rsidRPr="00D6607C">
              <w:rPr>
                <w:color w:val="000000" w:themeColor="text1"/>
              </w:rPr>
              <w:t xml:space="preserve">Chris Tambini asked whether </w:t>
            </w:r>
            <w:r w:rsidR="00CB5B66">
              <w:rPr>
                <w:color w:val="000000" w:themeColor="text1"/>
              </w:rPr>
              <w:t xml:space="preserve">this aspect of </w:t>
            </w:r>
            <w:r w:rsidR="00AD3960">
              <w:rPr>
                <w:color w:val="000000" w:themeColor="text1"/>
              </w:rPr>
              <w:t xml:space="preserve">the Fair Funding Review would feed into DSG allocations. </w:t>
            </w:r>
            <w:r w:rsidRPr="00D6607C">
              <w:rPr>
                <w:color w:val="000000" w:themeColor="text1"/>
              </w:rPr>
              <w:t>DCLG replied that it would not</w:t>
            </w:r>
            <w:r w:rsidR="00AD3960">
              <w:rPr>
                <w:color w:val="000000" w:themeColor="text1"/>
              </w:rPr>
              <w:t xml:space="preserve"> as this </w:t>
            </w:r>
            <w:r w:rsidR="00CB5B66">
              <w:rPr>
                <w:color w:val="000000" w:themeColor="text1"/>
              </w:rPr>
              <w:t xml:space="preserve">research </w:t>
            </w:r>
            <w:r w:rsidR="00AD3960">
              <w:rPr>
                <w:color w:val="000000" w:themeColor="text1"/>
              </w:rPr>
              <w:t xml:space="preserve">was focussed on social care. </w:t>
            </w:r>
          </w:p>
          <w:p w14:paraId="4DF2E60A" w14:textId="77777777" w:rsidR="00F07937" w:rsidRPr="00F07937" w:rsidRDefault="00F07937" w:rsidP="00F07937">
            <w:pPr>
              <w:pStyle w:val="ListParagraph"/>
              <w:rPr>
                <w:color w:val="000000" w:themeColor="text1"/>
              </w:rPr>
            </w:pPr>
          </w:p>
          <w:p w14:paraId="7650EA0A" w14:textId="072F3AC4" w:rsidR="001664E8" w:rsidRPr="00CA5C4A" w:rsidRDefault="00CA5C4A" w:rsidP="008B6021">
            <w:pPr>
              <w:pStyle w:val="ListParagraph"/>
              <w:numPr>
                <w:ilvl w:val="1"/>
                <w:numId w:val="34"/>
              </w:numPr>
              <w:ind w:left="720" w:hanging="720"/>
              <w:rPr>
                <w:color w:val="000000" w:themeColor="text1"/>
              </w:rPr>
            </w:pPr>
            <w:r w:rsidRPr="00CA5C4A">
              <w:rPr>
                <w:color w:val="000000" w:themeColor="text1"/>
              </w:rPr>
              <w:t>Alan Cross asked whether there was any intention of establishing an LA reference group to inform the work. DCLG responded that the con</w:t>
            </w:r>
            <w:r>
              <w:rPr>
                <w:color w:val="000000" w:themeColor="text1"/>
              </w:rPr>
              <w:t>t</w:t>
            </w:r>
            <w:r w:rsidRPr="00CA5C4A">
              <w:rPr>
                <w:color w:val="000000" w:themeColor="text1"/>
              </w:rPr>
              <w:t xml:space="preserve">ract would specify that </w:t>
            </w:r>
            <w:r>
              <w:rPr>
                <w:color w:val="000000" w:themeColor="text1"/>
              </w:rPr>
              <w:t xml:space="preserve">potential </w:t>
            </w:r>
            <w:r w:rsidRPr="00CA5C4A">
              <w:rPr>
                <w:color w:val="000000" w:themeColor="text1"/>
              </w:rPr>
              <w:t xml:space="preserve">providers will need to set out </w:t>
            </w:r>
            <w:r>
              <w:rPr>
                <w:color w:val="000000" w:themeColor="text1"/>
              </w:rPr>
              <w:t xml:space="preserve">their </w:t>
            </w:r>
            <w:r w:rsidRPr="00CA5C4A">
              <w:rPr>
                <w:color w:val="000000" w:themeColor="text1"/>
              </w:rPr>
              <w:t>communication p</w:t>
            </w:r>
            <w:r>
              <w:rPr>
                <w:color w:val="000000" w:themeColor="text1"/>
              </w:rPr>
              <w:t>l</w:t>
            </w:r>
            <w:r w:rsidRPr="00CA5C4A">
              <w:rPr>
                <w:color w:val="000000" w:themeColor="text1"/>
              </w:rPr>
              <w:t xml:space="preserve">an </w:t>
            </w:r>
            <w:r>
              <w:rPr>
                <w:color w:val="000000" w:themeColor="text1"/>
              </w:rPr>
              <w:t>to help</w:t>
            </w:r>
            <w:r w:rsidR="00CB5B66">
              <w:rPr>
                <w:color w:val="000000" w:themeColor="text1"/>
              </w:rPr>
              <w:t xml:space="preserve"> manage the sector relationship, including with local authorities who had volunteered to help.</w:t>
            </w:r>
          </w:p>
          <w:p w14:paraId="67FE3E8C" w14:textId="77777777" w:rsidR="0026283A" w:rsidRDefault="0026283A" w:rsidP="0026283A">
            <w:pPr>
              <w:pStyle w:val="ListParagraph"/>
              <w:rPr>
                <w:color w:val="000000" w:themeColor="text1"/>
              </w:rPr>
            </w:pPr>
          </w:p>
          <w:p w14:paraId="27B652B2" w14:textId="2DF3A56E" w:rsidR="00D6607C" w:rsidRPr="000472AA" w:rsidRDefault="00D6607C" w:rsidP="00D6607C">
            <w:pPr>
              <w:tabs>
                <w:tab w:val="left" w:pos="1985"/>
                <w:tab w:val="left" w:pos="2268"/>
              </w:tabs>
              <w:ind w:left="709"/>
              <w:rPr>
                <w:b/>
                <w:color w:val="FF0000"/>
              </w:rPr>
            </w:pPr>
            <w:r w:rsidRPr="000472AA">
              <w:rPr>
                <w:b/>
                <w:color w:val="FF0000"/>
              </w:rPr>
              <w:t xml:space="preserve">Action </w:t>
            </w:r>
            <w:r>
              <w:rPr>
                <w:b/>
                <w:color w:val="FF0000"/>
              </w:rPr>
              <w:t>2</w:t>
            </w:r>
            <w:r w:rsidRPr="000472AA">
              <w:rPr>
                <w:b/>
                <w:color w:val="FF0000"/>
              </w:rPr>
              <w:t>):</w:t>
            </w:r>
            <w:r>
              <w:rPr>
                <w:b/>
                <w:color w:val="FF0000"/>
              </w:rPr>
              <w:t xml:space="preserve"> </w:t>
            </w:r>
            <w:r w:rsidR="00CA5C4A">
              <w:rPr>
                <w:b/>
                <w:color w:val="FF0000"/>
              </w:rPr>
              <w:t>DCLG will c</w:t>
            </w:r>
            <w:r w:rsidRPr="00D6607C">
              <w:rPr>
                <w:b/>
                <w:color w:val="FF0000"/>
              </w:rPr>
              <w:t xml:space="preserve">irculate a summary note to the group once </w:t>
            </w:r>
            <w:r w:rsidR="00CA5C4A">
              <w:rPr>
                <w:b/>
                <w:color w:val="FF0000"/>
              </w:rPr>
              <w:t xml:space="preserve">the </w:t>
            </w:r>
            <w:r w:rsidRPr="00D6607C">
              <w:rPr>
                <w:b/>
                <w:color w:val="FF0000"/>
              </w:rPr>
              <w:t xml:space="preserve">procurement </w:t>
            </w:r>
            <w:r w:rsidR="00CA5C4A">
              <w:rPr>
                <w:b/>
                <w:color w:val="FF0000"/>
              </w:rPr>
              <w:t xml:space="preserve">process </w:t>
            </w:r>
            <w:r w:rsidRPr="00D6607C">
              <w:rPr>
                <w:b/>
                <w:color w:val="FF0000"/>
              </w:rPr>
              <w:t>commences.</w:t>
            </w:r>
          </w:p>
          <w:p w14:paraId="26A1C95A" w14:textId="77777777" w:rsidR="00D6607C" w:rsidRDefault="00D6607C" w:rsidP="0026283A">
            <w:pPr>
              <w:pStyle w:val="ListParagraph"/>
              <w:rPr>
                <w:color w:val="000000" w:themeColor="text1"/>
              </w:rPr>
            </w:pPr>
          </w:p>
          <w:p w14:paraId="4720A0E7" w14:textId="5C649D94" w:rsidR="00621396" w:rsidRPr="006073F4" w:rsidRDefault="00621396" w:rsidP="006073F4">
            <w:pPr>
              <w:pStyle w:val="ListParagraph"/>
              <w:numPr>
                <w:ilvl w:val="0"/>
                <w:numId w:val="38"/>
              </w:numPr>
              <w:rPr>
                <w:b/>
                <w:color w:val="000000" w:themeColor="text1"/>
                <w:u w:val="single"/>
              </w:rPr>
            </w:pPr>
            <w:r w:rsidRPr="006073F4">
              <w:rPr>
                <w:b/>
                <w:color w:val="000000" w:themeColor="text1"/>
                <w:u w:val="single"/>
              </w:rPr>
              <w:t>Proposed areas of focus for future technical working group meetings.</w:t>
            </w:r>
          </w:p>
          <w:p w14:paraId="03A5F9D5" w14:textId="77777777" w:rsidR="00621396" w:rsidRPr="0026283A" w:rsidRDefault="00621396" w:rsidP="0026283A">
            <w:pPr>
              <w:pStyle w:val="ListParagraph"/>
              <w:rPr>
                <w:color w:val="000000" w:themeColor="text1"/>
              </w:rPr>
            </w:pPr>
          </w:p>
          <w:p w14:paraId="08AF9542" w14:textId="02AF367D" w:rsidR="00767815" w:rsidRDefault="00767815" w:rsidP="003743DC">
            <w:pPr>
              <w:pStyle w:val="ListParagraph"/>
              <w:numPr>
                <w:ilvl w:val="1"/>
                <w:numId w:val="34"/>
              </w:numPr>
              <w:ind w:left="720" w:hanging="720"/>
              <w:rPr>
                <w:color w:val="000000" w:themeColor="text1"/>
              </w:rPr>
            </w:pPr>
            <w:r w:rsidRPr="00CA5C4A">
              <w:rPr>
                <w:color w:val="000000" w:themeColor="text1"/>
              </w:rPr>
              <w:t xml:space="preserve">DCLG </w:t>
            </w:r>
            <w:r w:rsidR="00621396" w:rsidRPr="00CA5C4A">
              <w:rPr>
                <w:color w:val="000000" w:themeColor="text1"/>
              </w:rPr>
              <w:t xml:space="preserve">issued </w:t>
            </w:r>
            <w:r w:rsidRPr="00CA5C4A">
              <w:rPr>
                <w:color w:val="000000" w:themeColor="text1"/>
              </w:rPr>
              <w:t xml:space="preserve">an invitation </w:t>
            </w:r>
            <w:r w:rsidR="00621396" w:rsidRPr="00CA5C4A">
              <w:rPr>
                <w:color w:val="000000" w:themeColor="text1"/>
              </w:rPr>
              <w:t xml:space="preserve">for members </w:t>
            </w:r>
            <w:r w:rsidRPr="00CA5C4A">
              <w:rPr>
                <w:color w:val="000000" w:themeColor="text1"/>
              </w:rPr>
              <w:t xml:space="preserve">to </w:t>
            </w:r>
            <w:r w:rsidR="00621396" w:rsidRPr="00CA5C4A">
              <w:rPr>
                <w:color w:val="000000" w:themeColor="text1"/>
              </w:rPr>
              <w:t>submit papers relating to future planned agenda items.</w:t>
            </w:r>
            <w:r w:rsidR="00621396" w:rsidRPr="00CA5C4A" w:rsidDel="00621396">
              <w:rPr>
                <w:color w:val="000000" w:themeColor="text1"/>
              </w:rPr>
              <w:t xml:space="preserve"> </w:t>
            </w:r>
            <w:r>
              <w:rPr>
                <w:color w:val="000000" w:themeColor="text1"/>
              </w:rPr>
              <w:t xml:space="preserve">Dan Bates </w:t>
            </w:r>
            <w:r w:rsidR="007D07AB">
              <w:rPr>
                <w:color w:val="000000" w:themeColor="text1"/>
              </w:rPr>
              <w:t xml:space="preserve">asked </w:t>
            </w:r>
            <w:r w:rsidR="00CA5C4A">
              <w:rPr>
                <w:color w:val="000000" w:themeColor="text1"/>
              </w:rPr>
              <w:t xml:space="preserve">whether the LGA / </w:t>
            </w:r>
            <w:r>
              <w:rPr>
                <w:color w:val="000000" w:themeColor="text1"/>
              </w:rPr>
              <w:t xml:space="preserve">DCLG </w:t>
            </w:r>
            <w:r w:rsidR="00CA5C4A">
              <w:rPr>
                <w:color w:val="000000" w:themeColor="text1"/>
              </w:rPr>
              <w:t xml:space="preserve">would </w:t>
            </w:r>
            <w:r>
              <w:rPr>
                <w:color w:val="000000" w:themeColor="text1"/>
              </w:rPr>
              <w:t>welcome representations from individual local authorities</w:t>
            </w:r>
            <w:r w:rsidR="007D07AB">
              <w:rPr>
                <w:color w:val="000000" w:themeColor="text1"/>
              </w:rPr>
              <w:t>.</w:t>
            </w:r>
            <w:r w:rsidR="00CA5C4A">
              <w:rPr>
                <w:color w:val="000000" w:themeColor="text1"/>
              </w:rPr>
              <w:t xml:space="preserve"> </w:t>
            </w:r>
            <w:r w:rsidR="00621DA1">
              <w:rPr>
                <w:color w:val="000000" w:themeColor="text1"/>
              </w:rPr>
              <w:t xml:space="preserve">DCLG </w:t>
            </w:r>
            <w:r w:rsidR="00D108B5">
              <w:rPr>
                <w:color w:val="000000" w:themeColor="text1"/>
              </w:rPr>
              <w:t>said that whilst it was open it was often more effective to go through the LGA or other representation.</w:t>
            </w:r>
          </w:p>
          <w:p w14:paraId="00CBE2EC" w14:textId="77777777" w:rsidR="00767815" w:rsidRPr="00767815" w:rsidRDefault="00767815" w:rsidP="00767815">
            <w:pPr>
              <w:pStyle w:val="ListParagraph"/>
              <w:rPr>
                <w:color w:val="000000" w:themeColor="text1"/>
              </w:rPr>
            </w:pPr>
          </w:p>
          <w:p w14:paraId="26B2C0B3" w14:textId="17847FDB" w:rsidR="00CA5C4A" w:rsidRDefault="00767815" w:rsidP="003743DC">
            <w:pPr>
              <w:pStyle w:val="ListParagraph"/>
              <w:numPr>
                <w:ilvl w:val="1"/>
                <w:numId w:val="34"/>
              </w:numPr>
              <w:ind w:left="720" w:hanging="720"/>
              <w:rPr>
                <w:color w:val="000000" w:themeColor="text1"/>
              </w:rPr>
            </w:pPr>
            <w:r>
              <w:rPr>
                <w:color w:val="000000" w:themeColor="text1"/>
              </w:rPr>
              <w:t>DCL</w:t>
            </w:r>
            <w:r w:rsidR="00CA5C4A">
              <w:rPr>
                <w:color w:val="000000" w:themeColor="text1"/>
              </w:rPr>
              <w:t>G confirmed that they would also welcome separate written responses to any of the questions posed in recent and future discussion papers presented to the group.</w:t>
            </w:r>
          </w:p>
          <w:p w14:paraId="71D464E2" w14:textId="77777777" w:rsidR="00CA5C4A" w:rsidRPr="008B6021" w:rsidRDefault="00CA5C4A" w:rsidP="008B6021">
            <w:pPr>
              <w:pStyle w:val="ListParagraph"/>
              <w:rPr>
                <w:color w:val="000000" w:themeColor="text1"/>
              </w:rPr>
            </w:pPr>
          </w:p>
          <w:p w14:paraId="7BAD619C" w14:textId="59E20503" w:rsidR="00767815" w:rsidRDefault="004D0D96" w:rsidP="003743DC">
            <w:pPr>
              <w:pStyle w:val="ListParagraph"/>
              <w:numPr>
                <w:ilvl w:val="1"/>
                <w:numId w:val="34"/>
              </w:numPr>
              <w:ind w:left="720" w:hanging="720"/>
              <w:rPr>
                <w:color w:val="000000" w:themeColor="text1"/>
              </w:rPr>
            </w:pPr>
            <w:r>
              <w:rPr>
                <w:color w:val="000000" w:themeColor="text1"/>
              </w:rPr>
              <w:t xml:space="preserve">Nicola Morton </w:t>
            </w:r>
            <w:r w:rsidR="00621DA1">
              <w:rPr>
                <w:color w:val="000000" w:themeColor="text1"/>
              </w:rPr>
              <w:t xml:space="preserve">noted </w:t>
            </w:r>
            <w:r w:rsidR="00D108B5">
              <w:rPr>
                <w:color w:val="000000" w:themeColor="text1"/>
              </w:rPr>
              <w:t xml:space="preserve">the </w:t>
            </w:r>
            <w:r>
              <w:rPr>
                <w:color w:val="000000" w:themeColor="text1"/>
              </w:rPr>
              <w:t>agenda</w:t>
            </w:r>
            <w:r w:rsidR="00D108B5">
              <w:rPr>
                <w:color w:val="000000" w:themeColor="text1"/>
              </w:rPr>
              <w:t xml:space="preserve"> would presumably develop as work proceeded,</w:t>
            </w:r>
            <w:r w:rsidR="00621DA1">
              <w:rPr>
                <w:color w:val="000000" w:themeColor="text1"/>
              </w:rPr>
              <w:t xml:space="preserve"> and DCLG confirmed tha</w:t>
            </w:r>
            <w:r w:rsidR="008B6021">
              <w:rPr>
                <w:color w:val="000000" w:themeColor="text1"/>
              </w:rPr>
              <w:t>t</w:t>
            </w:r>
            <w:r w:rsidR="00621DA1">
              <w:rPr>
                <w:color w:val="000000" w:themeColor="text1"/>
              </w:rPr>
              <w:t xml:space="preserve"> the forward plan would be revisited on an ongoing basis.</w:t>
            </w:r>
          </w:p>
          <w:p w14:paraId="4E37DCAA" w14:textId="77777777" w:rsidR="004D0D96" w:rsidRPr="004D0D96" w:rsidRDefault="004D0D96" w:rsidP="004D0D96">
            <w:pPr>
              <w:pStyle w:val="ListParagraph"/>
              <w:rPr>
                <w:color w:val="000000" w:themeColor="text1"/>
              </w:rPr>
            </w:pPr>
          </w:p>
          <w:p w14:paraId="61AC478A" w14:textId="5074DB84" w:rsidR="004D0D96" w:rsidRDefault="00C70E4C" w:rsidP="003743DC">
            <w:pPr>
              <w:pStyle w:val="ListParagraph"/>
              <w:numPr>
                <w:ilvl w:val="1"/>
                <w:numId w:val="34"/>
              </w:numPr>
              <w:ind w:left="720" w:hanging="720"/>
              <w:rPr>
                <w:color w:val="000000" w:themeColor="text1"/>
              </w:rPr>
            </w:pPr>
            <w:r>
              <w:rPr>
                <w:color w:val="000000" w:themeColor="text1"/>
              </w:rPr>
              <w:t>Paul Woods</w:t>
            </w:r>
            <w:r w:rsidR="004D0D96">
              <w:rPr>
                <w:color w:val="000000" w:themeColor="text1"/>
              </w:rPr>
              <w:t xml:space="preserve"> mentioned that it was helpful to return to issues and consider them in more depth</w:t>
            </w:r>
            <w:r w:rsidR="00621DA1">
              <w:rPr>
                <w:color w:val="000000" w:themeColor="text1"/>
              </w:rPr>
              <w:t xml:space="preserve"> and </w:t>
            </w:r>
            <w:r w:rsidR="008C2033">
              <w:rPr>
                <w:color w:val="000000" w:themeColor="text1"/>
              </w:rPr>
              <w:t xml:space="preserve">offered to feed into </w:t>
            </w:r>
            <w:r w:rsidR="00621DA1">
              <w:rPr>
                <w:color w:val="000000" w:themeColor="text1"/>
              </w:rPr>
              <w:t xml:space="preserve">a future </w:t>
            </w:r>
            <w:r w:rsidR="008C2033">
              <w:rPr>
                <w:color w:val="000000" w:themeColor="text1"/>
              </w:rPr>
              <w:t>DCLG paper on council tax</w:t>
            </w:r>
            <w:r w:rsidR="007D07AB">
              <w:rPr>
                <w:color w:val="000000" w:themeColor="text1"/>
              </w:rPr>
              <w:t>.</w:t>
            </w:r>
          </w:p>
          <w:p w14:paraId="42EF92E0" w14:textId="77777777" w:rsidR="008C2033" w:rsidRPr="008C2033" w:rsidRDefault="008C2033" w:rsidP="008C2033">
            <w:pPr>
              <w:pStyle w:val="ListParagraph"/>
              <w:rPr>
                <w:color w:val="000000" w:themeColor="text1"/>
              </w:rPr>
            </w:pPr>
          </w:p>
          <w:p w14:paraId="1822DB7F" w14:textId="25DBDC17" w:rsidR="008C2033" w:rsidRPr="000472AA" w:rsidRDefault="008C2033" w:rsidP="008C2033">
            <w:pPr>
              <w:tabs>
                <w:tab w:val="left" w:pos="1985"/>
                <w:tab w:val="left" w:pos="2268"/>
              </w:tabs>
              <w:ind w:left="709"/>
              <w:rPr>
                <w:b/>
                <w:color w:val="FF0000"/>
              </w:rPr>
            </w:pPr>
            <w:r w:rsidRPr="000472AA">
              <w:rPr>
                <w:b/>
                <w:color w:val="FF0000"/>
              </w:rPr>
              <w:t xml:space="preserve">Action </w:t>
            </w:r>
            <w:r w:rsidR="00D6607C">
              <w:rPr>
                <w:b/>
                <w:color w:val="FF0000"/>
              </w:rPr>
              <w:t>3</w:t>
            </w:r>
            <w:r w:rsidRPr="000472AA">
              <w:rPr>
                <w:b/>
                <w:color w:val="FF0000"/>
              </w:rPr>
              <w:t>):</w:t>
            </w:r>
            <w:r>
              <w:rPr>
                <w:b/>
                <w:color w:val="FF0000"/>
              </w:rPr>
              <w:t xml:space="preserve"> </w:t>
            </w:r>
            <w:r w:rsidRPr="008C2033">
              <w:rPr>
                <w:b/>
                <w:color w:val="FF0000"/>
              </w:rPr>
              <w:t xml:space="preserve">DCLG </w:t>
            </w:r>
            <w:r w:rsidR="00621DA1">
              <w:rPr>
                <w:b/>
                <w:color w:val="FF0000"/>
              </w:rPr>
              <w:t xml:space="preserve">will </w:t>
            </w:r>
            <w:r>
              <w:rPr>
                <w:b/>
                <w:color w:val="FF0000"/>
              </w:rPr>
              <w:t xml:space="preserve">put Paul Woods in touch with </w:t>
            </w:r>
            <w:r w:rsidR="00C70E4C">
              <w:rPr>
                <w:b/>
                <w:color w:val="FF0000"/>
              </w:rPr>
              <w:t xml:space="preserve">the </w:t>
            </w:r>
            <w:r>
              <w:rPr>
                <w:b/>
                <w:color w:val="FF0000"/>
              </w:rPr>
              <w:t xml:space="preserve">lead on </w:t>
            </w:r>
            <w:r w:rsidR="00C70E4C">
              <w:rPr>
                <w:b/>
                <w:color w:val="FF0000"/>
              </w:rPr>
              <w:t xml:space="preserve">the </w:t>
            </w:r>
            <w:r>
              <w:rPr>
                <w:b/>
                <w:color w:val="FF0000"/>
              </w:rPr>
              <w:t>council tax paper for November.</w:t>
            </w:r>
          </w:p>
          <w:p w14:paraId="33E62E34" w14:textId="77777777" w:rsidR="005931CE" w:rsidRPr="00622256" w:rsidRDefault="005931CE" w:rsidP="00C70E4C">
            <w:pPr>
              <w:pStyle w:val="ListParagraph"/>
              <w:rPr>
                <w:color w:val="000000" w:themeColor="text1"/>
              </w:rPr>
            </w:pPr>
          </w:p>
        </w:tc>
      </w:tr>
      <w:tr w:rsidR="005931CE" w:rsidRPr="00622256" w14:paraId="76B974C6" w14:textId="77777777" w:rsidTr="005931CE">
        <w:trPr>
          <w:trHeight w:val="730"/>
        </w:trPr>
        <w:tc>
          <w:tcPr>
            <w:tcW w:w="9996" w:type="dxa"/>
            <w:shd w:val="clear" w:color="auto" w:fill="D9D9D9" w:themeFill="background1" w:themeFillShade="D9"/>
            <w:vAlign w:val="center"/>
          </w:tcPr>
          <w:p w14:paraId="3C91BA43" w14:textId="3DF1AFE4" w:rsidR="00824B3D" w:rsidRPr="00824B3D" w:rsidRDefault="00824B3D" w:rsidP="00824B3D">
            <w:pPr>
              <w:pStyle w:val="ListParagraph"/>
              <w:numPr>
                <w:ilvl w:val="0"/>
                <w:numId w:val="34"/>
              </w:numPr>
              <w:rPr>
                <w:b/>
                <w:color w:val="000000" w:themeColor="text1"/>
              </w:rPr>
            </w:pPr>
            <w:r w:rsidRPr="00824B3D">
              <w:rPr>
                <w:b/>
                <w:color w:val="000000" w:themeColor="text1"/>
              </w:rPr>
              <w:lastRenderedPageBreak/>
              <w:t>Funding for higher unit costs associated with sparsity and rurality</w:t>
            </w:r>
            <w:r>
              <w:rPr>
                <w:b/>
                <w:color w:val="000000" w:themeColor="text1"/>
              </w:rPr>
              <w:t xml:space="preserve"> (</w:t>
            </w:r>
            <w:r w:rsidRPr="00824B3D">
              <w:rPr>
                <w:b/>
                <w:color w:val="000000" w:themeColor="text1"/>
              </w:rPr>
              <w:t>NR TWG 17-07</w:t>
            </w:r>
            <w:r>
              <w:rPr>
                <w:b/>
                <w:color w:val="000000" w:themeColor="text1"/>
              </w:rPr>
              <w:t>)</w:t>
            </w:r>
            <w:r w:rsidRPr="00824B3D">
              <w:rPr>
                <w:b/>
                <w:color w:val="000000" w:themeColor="text1"/>
              </w:rPr>
              <w:t xml:space="preserve"> </w:t>
            </w:r>
            <w:r>
              <w:rPr>
                <w:b/>
                <w:color w:val="000000" w:themeColor="text1"/>
              </w:rPr>
              <w:t>-</w:t>
            </w:r>
            <w:r w:rsidRPr="00824B3D">
              <w:rPr>
                <w:b/>
                <w:color w:val="000000" w:themeColor="text1"/>
              </w:rPr>
              <w:t xml:space="preserve"> </w:t>
            </w:r>
            <w:r w:rsidRPr="00824B3D">
              <w:rPr>
                <w:color w:val="000000" w:themeColor="text1"/>
              </w:rPr>
              <w:t>RSN</w:t>
            </w:r>
          </w:p>
          <w:p w14:paraId="24D411BE" w14:textId="620C5465" w:rsidR="00F61CE0" w:rsidRPr="00622256" w:rsidRDefault="00824B3D" w:rsidP="001069DB">
            <w:pPr>
              <w:pStyle w:val="ListParagraph"/>
              <w:ind w:left="360"/>
              <w:rPr>
                <w:color w:val="000000" w:themeColor="text1"/>
              </w:rPr>
            </w:pPr>
            <w:r w:rsidRPr="00824B3D">
              <w:rPr>
                <w:b/>
                <w:color w:val="000000" w:themeColor="text1"/>
              </w:rPr>
              <w:t>Discussion paper regarding the approach to Area Cost Adjustment and rurality in the Fair Funding Review</w:t>
            </w:r>
            <w:r>
              <w:rPr>
                <w:b/>
                <w:color w:val="000000" w:themeColor="text1"/>
              </w:rPr>
              <w:t xml:space="preserve"> (</w:t>
            </w:r>
            <w:r w:rsidRPr="00824B3D">
              <w:rPr>
                <w:b/>
                <w:color w:val="000000" w:themeColor="text1"/>
              </w:rPr>
              <w:t>NR TWG 17-04</w:t>
            </w:r>
            <w:r>
              <w:rPr>
                <w:b/>
                <w:color w:val="000000" w:themeColor="text1"/>
              </w:rPr>
              <w:t>)</w:t>
            </w:r>
            <w:r>
              <w:rPr>
                <w:color w:val="000000" w:themeColor="text1"/>
              </w:rPr>
              <w:t xml:space="preserve"> - DCLG</w:t>
            </w:r>
          </w:p>
        </w:tc>
      </w:tr>
      <w:tr w:rsidR="00DC5D88" w:rsidRPr="00622256" w14:paraId="56D1094C" w14:textId="77777777" w:rsidTr="00DC5D88">
        <w:trPr>
          <w:trHeight w:val="730"/>
        </w:trPr>
        <w:tc>
          <w:tcPr>
            <w:tcW w:w="9996" w:type="dxa"/>
            <w:shd w:val="clear" w:color="auto" w:fill="auto"/>
            <w:vAlign w:val="center"/>
          </w:tcPr>
          <w:p w14:paraId="1E5A80E7" w14:textId="059957CE" w:rsidR="00DC5D88" w:rsidRDefault="00DC5D88" w:rsidP="00DC5D88">
            <w:pPr>
              <w:pStyle w:val="ListParagraph"/>
              <w:numPr>
                <w:ilvl w:val="1"/>
                <w:numId w:val="34"/>
              </w:numPr>
              <w:ind w:left="709" w:hanging="709"/>
              <w:rPr>
                <w:color w:val="000000" w:themeColor="text1"/>
              </w:rPr>
            </w:pPr>
            <w:r>
              <w:rPr>
                <w:color w:val="000000" w:themeColor="text1"/>
              </w:rPr>
              <w:t xml:space="preserve">The RSN presented a paper on rurality, describing the historical tendency to use sparsity to account for the costs of delivering services in rural areas, pointing out that whilst this is easy to calculate, it has limitations as it does not account for all factors associated with rurality. They asked the question of how </w:t>
            </w:r>
            <w:proofErr w:type="spellStart"/>
            <w:r>
              <w:rPr>
                <w:color w:val="000000" w:themeColor="text1"/>
              </w:rPr>
              <w:t>peripherality</w:t>
            </w:r>
            <w:proofErr w:type="spellEnd"/>
            <w:r>
              <w:rPr>
                <w:color w:val="000000" w:themeColor="text1"/>
              </w:rPr>
              <w:t xml:space="preserve"> could be incorporated in a rurality adjustment, and the link with the most deprived areas. The RSN’s view was that sparsity was probably still the best measure of rurality however greater consistency was needed and they </w:t>
            </w:r>
            <w:r w:rsidR="00CD6C85">
              <w:rPr>
                <w:color w:val="000000" w:themeColor="text1"/>
              </w:rPr>
              <w:t>had reservations over</w:t>
            </w:r>
            <w:r>
              <w:rPr>
                <w:color w:val="000000" w:themeColor="text1"/>
              </w:rPr>
              <w:t xml:space="preserve"> incorporat</w:t>
            </w:r>
            <w:r w:rsidR="00CD6C85">
              <w:rPr>
                <w:color w:val="000000" w:themeColor="text1"/>
              </w:rPr>
              <w:t>ing</w:t>
            </w:r>
            <w:r>
              <w:rPr>
                <w:color w:val="000000" w:themeColor="text1"/>
              </w:rPr>
              <w:t xml:space="preserve"> it into the area cost adjustment (ACA).</w:t>
            </w:r>
          </w:p>
          <w:p w14:paraId="110FE58D" w14:textId="77777777" w:rsidR="00DC5D88" w:rsidRDefault="00DC5D88" w:rsidP="00DC5D88">
            <w:pPr>
              <w:pStyle w:val="ListParagraph"/>
              <w:ind w:left="709"/>
              <w:rPr>
                <w:color w:val="000000" w:themeColor="text1"/>
              </w:rPr>
            </w:pPr>
          </w:p>
          <w:p w14:paraId="29E61E94" w14:textId="66CA3F71" w:rsidR="00DC5D88" w:rsidRPr="00470631" w:rsidRDefault="00DC5D88" w:rsidP="00DC5D88">
            <w:pPr>
              <w:pStyle w:val="ListParagraph"/>
              <w:numPr>
                <w:ilvl w:val="1"/>
                <w:numId w:val="34"/>
              </w:numPr>
              <w:ind w:left="709" w:hanging="709"/>
              <w:rPr>
                <w:color w:val="000000" w:themeColor="text1"/>
              </w:rPr>
            </w:pPr>
            <w:r w:rsidRPr="00470631">
              <w:rPr>
                <w:color w:val="000000" w:themeColor="text1"/>
              </w:rPr>
              <w:t>DCLG presented a pape</w:t>
            </w:r>
            <w:r>
              <w:rPr>
                <w:color w:val="000000" w:themeColor="text1"/>
              </w:rPr>
              <w:t>r on the ACA, asking the question of what should or should not be included</w:t>
            </w:r>
            <w:r w:rsidR="00173406">
              <w:rPr>
                <w:color w:val="000000" w:themeColor="text1"/>
              </w:rPr>
              <w:t xml:space="preserve"> in this</w:t>
            </w:r>
            <w:r>
              <w:rPr>
                <w:color w:val="000000" w:themeColor="text1"/>
              </w:rPr>
              <w:t xml:space="preserve">, and the place of rurality </w:t>
            </w:r>
            <w:r w:rsidR="00CD6C85">
              <w:rPr>
                <w:color w:val="000000" w:themeColor="text1"/>
              </w:rPr>
              <w:t xml:space="preserve">in the overall formula </w:t>
            </w:r>
            <w:r>
              <w:rPr>
                <w:color w:val="000000" w:themeColor="text1"/>
              </w:rPr>
              <w:t>– whether this was within the ACA or outside, and the approach that should be taken to accounting for rurality. DCLG emphasised the need for an evidence based approach.</w:t>
            </w:r>
          </w:p>
          <w:p w14:paraId="7C2FCAC2" w14:textId="77777777" w:rsidR="00DC5D88" w:rsidRPr="00470631" w:rsidRDefault="00DC5D88" w:rsidP="00DC5D88">
            <w:pPr>
              <w:pStyle w:val="ListParagraph"/>
              <w:ind w:left="709" w:hanging="709"/>
              <w:rPr>
                <w:color w:val="000000" w:themeColor="text1"/>
              </w:rPr>
            </w:pPr>
          </w:p>
          <w:p w14:paraId="5082811E" w14:textId="6C152A3E" w:rsidR="00DC5D88" w:rsidRDefault="00DC5D88" w:rsidP="00DC5D88">
            <w:pPr>
              <w:pStyle w:val="ListParagraph"/>
              <w:numPr>
                <w:ilvl w:val="1"/>
                <w:numId w:val="34"/>
              </w:numPr>
              <w:ind w:left="709" w:hanging="709"/>
              <w:rPr>
                <w:color w:val="000000" w:themeColor="text1"/>
              </w:rPr>
            </w:pPr>
            <w:r>
              <w:rPr>
                <w:color w:val="000000" w:themeColor="text1"/>
              </w:rPr>
              <w:t xml:space="preserve">Paul </w:t>
            </w:r>
            <w:proofErr w:type="spellStart"/>
            <w:r>
              <w:rPr>
                <w:color w:val="000000" w:themeColor="text1"/>
              </w:rPr>
              <w:t>Honeyben</w:t>
            </w:r>
            <w:proofErr w:type="spellEnd"/>
            <w:r>
              <w:rPr>
                <w:color w:val="000000" w:themeColor="text1"/>
              </w:rPr>
              <w:t xml:space="preserve"> commented that this was a comprehensive approach from DCLG on the ACA, and that further analysis co</w:t>
            </w:r>
            <w:r w:rsidR="00CD6C85">
              <w:rPr>
                <w:color w:val="000000" w:themeColor="text1"/>
              </w:rPr>
              <w:t>uld show how much funding</w:t>
            </w:r>
            <w:r>
              <w:rPr>
                <w:color w:val="000000" w:themeColor="text1"/>
              </w:rPr>
              <w:t xml:space="preserve"> is determined by the ACA</w:t>
            </w:r>
            <w:r w:rsidR="00B35BFF">
              <w:rPr>
                <w:color w:val="000000" w:themeColor="text1"/>
              </w:rPr>
              <w:t>.</w:t>
            </w:r>
          </w:p>
          <w:p w14:paraId="39A0337E" w14:textId="77777777" w:rsidR="00DC5D88" w:rsidRPr="00E76249" w:rsidRDefault="00DC5D88" w:rsidP="00DC5D88">
            <w:pPr>
              <w:pStyle w:val="ListParagraph"/>
              <w:rPr>
                <w:color w:val="000000" w:themeColor="text1"/>
              </w:rPr>
            </w:pPr>
          </w:p>
          <w:p w14:paraId="08E83DB6" w14:textId="07FDC2BD" w:rsidR="001337FE" w:rsidRDefault="00DC5D88" w:rsidP="00DC5D88">
            <w:pPr>
              <w:pStyle w:val="ListParagraph"/>
              <w:numPr>
                <w:ilvl w:val="1"/>
                <w:numId w:val="34"/>
              </w:numPr>
              <w:ind w:left="709" w:hanging="709"/>
              <w:rPr>
                <w:color w:val="000000" w:themeColor="text1"/>
              </w:rPr>
            </w:pPr>
            <w:r>
              <w:rPr>
                <w:color w:val="000000" w:themeColor="text1"/>
              </w:rPr>
              <w:t>Geoff Winterbottom pointed out that weighting was important and that it would be useful to see regressions and how these may vary</w:t>
            </w:r>
            <w:r w:rsidR="00B35BFF">
              <w:rPr>
                <w:color w:val="000000" w:themeColor="text1"/>
              </w:rPr>
              <w:t>.</w:t>
            </w:r>
          </w:p>
          <w:p w14:paraId="0D9D2D2A" w14:textId="77777777" w:rsidR="001337FE" w:rsidRPr="008B6021" w:rsidRDefault="001337FE" w:rsidP="008B6021">
            <w:pPr>
              <w:rPr>
                <w:color w:val="000000" w:themeColor="text1"/>
              </w:rPr>
            </w:pPr>
          </w:p>
          <w:p w14:paraId="659EA9C8" w14:textId="6D1CB485" w:rsidR="00DC5D88" w:rsidRPr="008B6021" w:rsidRDefault="00DC5D88" w:rsidP="008B6021">
            <w:pPr>
              <w:pStyle w:val="ListParagraph"/>
              <w:numPr>
                <w:ilvl w:val="1"/>
                <w:numId w:val="34"/>
              </w:numPr>
              <w:ind w:left="709" w:hanging="709"/>
            </w:pPr>
            <w:r w:rsidRPr="008B6021">
              <w:t xml:space="preserve">Nicola Morton </w:t>
            </w:r>
            <w:r w:rsidR="00CD6C85">
              <w:t>referred to</w:t>
            </w:r>
            <w:r w:rsidRPr="008B6021">
              <w:t xml:space="preserve"> the work done by DH</w:t>
            </w:r>
            <w:r w:rsidR="00CD6C85">
              <w:t xml:space="preserve"> </w:t>
            </w:r>
            <w:r w:rsidR="00677046">
              <w:t xml:space="preserve">on NHS allocations, </w:t>
            </w:r>
            <w:r w:rsidRPr="008B6021">
              <w:t xml:space="preserve">on the </w:t>
            </w:r>
            <w:r w:rsidR="001337FE" w:rsidRPr="008B6021">
              <w:t xml:space="preserve">labour </w:t>
            </w:r>
            <w:r w:rsidRPr="008B6021">
              <w:t xml:space="preserve">market forces factor (MFF) and rurality, and asked whether DCLG </w:t>
            </w:r>
            <w:r w:rsidR="00CD6C85">
              <w:t>were aware of</w:t>
            </w:r>
            <w:r w:rsidRPr="008B6021">
              <w:t xml:space="preserve"> DH’s work</w:t>
            </w:r>
            <w:r w:rsidR="001337FE" w:rsidRPr="008B6021">
              <w:t xml:space="preserve">. DCLG confirmed </w:t>
            </w:r>
            <w:r w:rsidRPr="008B6021">
              <w:t>that its officials were part of a cross-Whitehall officials’ group which draws on lessons learn</w:t>
            </w:r>
            <w:r w:rsidR="001337FE">
              <w:t xml:space="preserve">ed from </w:t>
            </w:r>
            <w:r w:rsidRPr="008B6021">
              <w:t>other departments over funding, and that they had spoken to DH on this</w:t>
            </w:r>
            <w:r w:rsidR="00B35BFF" w:rsidRPr="008B6021">
              <w:t>.</w:t>
            </w:r>
          </w:p>
          <w:p w14:paraId="12E45312" w14:textId="77777777" w:rsidR="00DC5D88" w:rsidRPr="00E76249" w:rsidRDefault="00DC5D88" w:rsidP="00DC5D88">
            <w:pPr>
              <w:pStyle w:val="ListParagraph"/>
              <w:rPr>
                <w:color w:val="000000" w:themeColor="text1"/>
              </w:rPr>
            </w:pPr>
          </w:p>
          <w:p w14:paraId="5C53A537" w14:textId="6583FA65" w:rsidR="00DC5D88" w:rsidRDefault="008B6021" w:rsidP="00DC5D88">
            <w:pPr>
              <w:pStyle w:val="ListParagraph"/>
              <w:numPr>
                <w:ilvl w:val="1"/>
                <w:numId w:val="34"/>
              </w:numPr>
              <w:ind w:left="709" w:hanging="709"/>
              <w:rPr>
                <w:color w:val="000000" w:themeColor="text1"/>
              </w:rPr>
            </w:pPr>
            <w:r>
              <w:rPr>
                <w:color w:val="000000" w:themeColor="text1"/>
              </w:rPr>
              <w:t xml:space="preserve">Geoff Winterbottom mentioned </w:t>
            </w:r>
            <w:r w:rsidR="00DC5D88">
              <w:rPr>
                <w:color w:val="000000" w:themeColor="text1"/>
              </w:rPr>
              <w:t xml:space="preserve">possible </w:t>
            </w:r>
            <w:r>
              <w:rPr>
                <w:color w:val="000000" w:themeColor="text1"/>
              </w:rPr>
              <w:t>wage con</w:t>
            </w:r>
            <w:r w:rsidR="00DC5D88">
              <w:rPr>
                <w:color w:val="000000" w:themeColor="text1"/>
              </w:rPr>
              <w:t>vergence</w:t>
            </w:r>
            <w:r>
              <w:rPr>
                <w:color w:val="000000" w:themeColor="text1"/>
              </w:rPr>
              <w:t xml:space="preserve"> due to the </w:t>
            </w:r>
            <w:r w:rsidR="00DC5D88">
              <w:rPr>
                <w:color w:val="000000" w:themeColor="text1"/>
              </w:rPr>
              <w:t xml:space="preserve">rise in </w:t>
            </w:r>
            <w:r>
              <w:rPr>
                <w:color w:val="000000" w:themeColor="text1"/>
              </w:rPr>
              <w:t xml:space="preserve">national </w:t>
            </w:r>
            <w:r>
              <w:rPr>
                <w:color w:val="000000" w:themeColor="text1"/>
              </w:rPr>
              <w:lastRenderedPageBreak/>
              <w:t xml:space="preserve">minimum </w:t>
            </w:r>
            <w:r w:rsidR="00DC5D88">
              <w:rPr>
                <w:color w:val="000000" w:themeColor="text1"/>
              </w:rPr>
              <w:t>wage</w:t>
            </w:r>
            <w:r>
              <w:rPr>
                <w:color w:val="000000" w:themeColor="text1"/>
              </w:rPr>
              <w:t xml:space="preserve">. </w:t>
            </w:r>
            <w:r w:rsidR="00DC5D88">
              <w:rPr>
                <w:color w:val="000000" w:themeColor="text1"/>
              </w:rPr>
              <w:t>Alan Cross stated that on this trajectory up to a third of the pay</w:t>
            </w:r>
            <w:r>
              <w:rPr>
                <w:color w:val="000000" w:themeColor="text1"/>
              </w:rPr>
              <w:t xml:space="preserve"> </w:t>
            </w:r>
            <w:r w:rsidR="00DC5D88">
              <w:rPr>
                <w:color w:val="000000" w:themeColor="text1"/>
              </w:rPr>
              <w:t>scale will be overtaken by the minimum wage.</w:t>
            </w:r>
            <w:r>
              <w:rPr>
                <w:color w:val="000000" w:themeColor="text1"/>
              </w:rPr>
              <w:t xml:space="preserve"> </w:t>
            </w:r>
          </w:p>
          <w:p w14:paraId="0FF61A5B" w14:textId="77777777" w:rsidR="00DC5D88" w:rsidRPr="000B40D7" w:rsidRDefault="00DC5D88" w:rsidP="00DC5D88">
            <w:pPr>
              <w:pStyle w:val="ListParagraph"/>
              <w:rPr>
                <w:color w:val="000000" w:themeColor="text1"/>
              </w:rPr>
            </w:pPr>
          </w:p>
          <w:p w14:paraId="6F5DD3B2" w14:textId="1329DF18" w:rsidR="00DC5D88" w:rsidRDefault="00DC5D88" w:rsidP="00DC5D88">
            <w:pPr>
              <w:pStyle w:val="ListParagraph"/>
              <w:numPr>
                <w:ilvl w:val="1"/>
                <w:numId w:val="34"/>
              </w:numPr>
              <w:ind w:left="709" w:hanging="709"/>
              <w:rPr>
                <w:color w:val="000000" w:themeColor="text1"/>
              </w:rPr>
            </w:pPr>
            <w:r>
              <w:rPr>
                <w:color w:val="000000" w:themeColor="text1"/>
              </w:rPr>
              <w:t xml:space="preserve">Paul </w:t>
            </w:r>
            <w:proofErr w:type="spellStart"/>
            <w:r>
              <w:rPr>
                <w:color w:val="000000" w:themeColor="text1"/>
              </w:rPr>
              <w:t>Honeyben</w:t>
            </w:r>
            <w:proofErr w:type="spellEnd"/>
            <w:r>
              <w:rPr>
                <w:color w:val="000000" w:themeColor="text1"/>
              </w:rPr>
              <w:t xml:space="preserve"> </w:t>
            </w:r>
            <w:r w:rsidR="008B6021">
              <w:rPr>
                <w:color w:val="000000" w:themeColor="text1"/>
              </w:rPr>
              <w:t xml:space="preserve">mentioned the </w:t>
            </w:r>
            <w:r>
              <w:rPr>
                <w:color w:val="000000" w:themeColor="text1"/>
              </w:rPr>
              <w:t>inconsistency over public and private sector wages, as the MFF took into account only private sector.</w:t>
            </w:r>
            <w:r w:rsidR="008B6021">
              <w:rPr>
                <w:color w:val="000000" w:themeColor="text1"/>
              </w:rPr>
              <w:t xml:space="preserve"> </w:t>
            </w:r>
          </w:p>
          <w:p w14:paraId="01ABC2DD" w14:textId="77777777" w:rsidR="00DC5D88" w:rsidRPr="007A24D2" w:rsidRDefault="00DC5D88" w:rsidP="00DC5D88">
            <w:pPr>
              <w:pStyle w:val="ListParagraph"/>
              <w:rPr>
                <w:color w:val="000000" w:themeColor="text1"/>
              </w:rPr>
            </w:pPr>
          </w:p>
          <w:p w14:paraId="355F561A" w14:textId="183B79D6" w:rsidR="00DC5D88" w:rsidRPr="007A24D2" w:rsidRDefault="00DC5D88" w:rsidP="00DC5D88">
            <w:pPr>
              <w:pStyle w:val="ListParagraph"/>
              <w:numPr>
                <w:ilvl w:val="1"/>
                <w:numId w:val="34"/>
              </w:numPr>
              <w:ind w:left="709" w:hanging="709"/>
              <w:rPr>
                <w:color w:val="000000" w:themeColor="text1"/>
              </w:rPr>
            </w:pPr>
            <w:r w:rsidRPr="007A24D2">
              <w:rPr>
                <w:color w:val="000000" w:themeColor="text1"/>
              </w:rPr>
              <w:t xml:space="preserve">Nick </w:t>
            </w:r>
            <w:proofErr w:type="spellStart"/>
            <w:r w:rsidRPr="007A24D2">
              <w:rPr>
                <w:color w:val="000000" w:themeColor="text1"/>
              </w:rPr>
              <w:t>Everleigh</w:t>
            </w:r>
            <w:proofErr w:type="spellEnd"/>
            <w:r w:rsidRPr="007A24D2">
              <w:rPr>
                <w:color w:val="000000" w:themeColor="text1"/>
              </w:rPr>
              <w:t xml:space="preserve"> commented that he agreed the non-labour</w:t>
            </w:r>
            <w:r w:rsidR="008B6D39" w:rsidRPr="007A24D2">
              <w:rPr>
                <w:color w:val="000000" w:themeColor="text1"/>
              </w:rPr>
              <w:t xml:space="preserve"> expenditure should </w:t>
            </w:r>
            <w:r w:rsidR="00CD6C85">
              <w:rPr>
                <w:color w:val="000000" w:themeColor="text1"/>
              </w:rPr>
              <w:t>only be included where it made a significant difference to the ACA</w:t>
            </w:r>
            <w:r w:rsidRPr="007A24D2">
              <w:rPr>
                <w:color w:val="000000" w:themeColor="text1"/>
              </w:rPr>
              <w:t xml:space="preserve">. </w:t>
            </w:r>
          </w:p>
          <w:p w14:paraId="2576F7AB" w14:textId="77777777" w:rsidR="00DC5D88" w:rsidRPr="00885A8C" w:rsidRDefault="00DC5D88" w:rsidP="00DC5D88">
            <w:pPr>
              <w:pStyle w:val="ListParagraph"/>
              <w:rPr>
                <w:color w:val="000000" w:themeColor="text1"/>
              </w:rPr>
            </w:pPr>
          </w:p>
          <w:p w14:paraId="60082BE4" w14:textId="260F4942" w:rsidR="00DC5D88" w:rsidRDefault="00DC5D88" w:rsidP="00DC5D88">
            <w:pPr>
              <w:pStyle w:val="ListParagraph"/>
              <w:numPr>
                <w:ilvl w:val="1"/>
                <w:numId w:val="34"/>
              </w:numPr>
              <w:ind w:left="709" w:hanging="709"/>
              <w:rPr>
                <w:color w:val="000000" w:themeColor="text1"/>
              </w:rPr>
            </w:pPr>
            <w:r w:rsidRPr="00AF104C">
              <w:rPr>
                <w:color w:val="000000" w:themeColor="text1"/>
              </w:rPr>
              <w:t>Paul Woods suggested taking a fresh look at the ACA</w:t>
            </w:r>
            <w:r>
              <w:rPr>
                <w:color w:val="000000" w:themeColor="text1"/>
              </w:rPr>
              <w:t>. He mentioned authorities’ new requirement to provide information on wages, and that this could be looked at</w:t>
            </w:r>
            <w:r w:rsidR="00AE22A9">
              <w:rPr>
                <w:color w:val="000000" w:themeColor="text1"/>
              </w:rPr>
              <w:t xml:space="preserve"> -</w:t>
            </w:r>
            <w:r>
              <w:rPr>
                <w:color w:val="000000" w:themeColor="text1"/>
              </w:rPr>
              <w:t xml:space="preserve"> as the data is adjusted and updated each year</w:t>
            </w:r>
            <w:r w:rsidR="00AE22A9">
              <w:rPr>
                <w:color w:val="000000" w:themeColor="text1"/>
              </w:rPr>
              <w:t xml:space="preserve"> -</w:t>
            </w:r>
            <w:r>
              <w:rPr>
                <w:color w:val="000000" w:themeColor="text1"/>
              </w:rPr>
              <w:t xml:space="preserve">and asked whether ASHE data should continue to be used. He also pointed out that council tax should be broadly similar </w:t>
            </w:r>
            <w:r w:rsidR="0026436E">
              <w:rPr>
                <w:color w:val="000000" w:themeColor="text1"/>
              </w:rPr>
              <w:t xml:space="preserve">across the country </w:t>
            </w:r>
            <w:r>
              <w:rPr>
                <w:color w:val="000000" w:themeColor="text1"/>
              </w:rPr>
              <w:t>if the ACA was working, and suggested looking into the actual effect of the ACA. Paul also asked about the use of income (e.g. from parking) and whether this should be included</w:t>
            </w:r>
            <w:r w:rsidR="00666684">
              <w:rPr>
                <w:color w:val="000000" w:themeColor="text1"/>
              </w:rPr>
              <w:t xml:space="preserve"> in the ACA</w:t>
            </w:r>
            <w:r>
              <w:rPr>
                <w:color w:val="000000" w:themeColor="text1"/>
              </w:rPr>
              <w:t>.</w:t>
            </w:r>
          </w:p>
          <w:p w14:paraId="3488C2B0" w14:textId="77777777" w:rsidR="00DC5D88" w:rsidRPr="00C41B34" w:rsidRDefault="00DC5D88" w:rsidP="00DC5D88">
            <w:pPr>
              <w:pStyle w:val="ListParagraph"/>
              <w:rPr>
                <w:color w:val="000000" w:themeColor="text1"/>
              </w:rPr>
            </w:pPr>
          </w:p>
          <w:p w14:paraId="7DA1B340" w14:textId="4935E389" w:rsidR="00DC5D88" w:rsidRDefault="00DC5D88" w:rsidP="00DC5D88">
            <w:pPr>
              <w:pStyle w:val="ListParagraph"/>
              <w:numPr>
                <w:ilvl w:val="1"/>
                <w:numId w:val="34"/>
              </w:numPr>
              <w:ind w:left="709" w:hanging="709"/>
              <w:rPr>
                <w:color w:val="000000" w:themeColor="text1"/>
              </w:rPr>
            </w:pPr>
            <w:r>
              <w:rPr>
                <w:color w:val="000000" w:themeColor="text1"/>
              </w:rPr>
              <w:t>DCLG responded that two questions were being asked here – whether new data should be taken into account, and whether relative resources should be taken into account in the ACA. They pointed out that ASHE data is commissioned by the ONS each year at no extra c</w:t>
            </w:r>
            <w:r w:rsidR="0026436E">
              <w:rPr>
                <w:color w:val="000000" w:themeColor="text1"/>
              </w:rPr>
              <w:t>ost to authorities, and that the</w:t>
            </w:r>
            <w:r>
              <w:rPr>
                <w:color w:val="000000" w:themeColor="text1"/>
              </w:rPr>
              <w:t xml:space="preserve"> data reflects different </w:t>
            </w:r>
            <w:r w:rsidR="0026436E">
              <w:rPr>
                <w:color w:val="000000" w:themeColor="text1"/>
              </w:rPr>
              <w:t>factors</w:t>
            </w:r>
            <w:r>
              <w:rPr>
                <w:color w:val="000000" w:themeColor="text1"/>
              </w:rPr>
              <w:t>. DCLG also pointed out that relative resources such as income were being considered separately to needs as part of the review, and that there should not be duplication. In addition DCLG mentioned that the creation of perverse incentives was to be avoided, and that there were potential risks involved due to authorities’ ability to change pay scales.</w:t>
            </w:r>
          </w:p>
          <w:p w14:paraId="3F668BDF" w14:textId="77777777" w:rsidR="00DC5D88" w:rsidRPr="00374CF9" w:rsidRDefault="00DC5D88" w:rsidP="00DC5D88">
            <w:pPr>
              <w:pStyle w:val="ListParagraph"/>
              <w:rPr>
                <w:color w:val="000000" w:themeColor="text1"/>
              </w:rPr>
            </w:pPr>
          </w:p>
          <w:p w14:paraId="7621DCF7" w14:textId="03C5A325" w:rsidR="00DC5D88" w:rsidRDefault="00DC5D88" w:rsidP="00DC5D88">
            <w:pPr>
              <w:pStyle w:val="ListParagraph"/>
              <w:numPr>
                <w:ilvl w:val="1"/>
                <w:numId w:val="34"/>
              </w:numPr>
              <w:ind w:left="709" w:hanging="709"/>
              <w:rPr>
                <w:color w:val="000000" w:themeColor="text1"/>
              </w:rPr>
            </w:pPr>
            <w:r>
              <w:rPr>
                <w:color w:val="000000" w:themeColor="text1"/>
              </w:rPr>
              <w:t xml:space="preserve">There was a discussion over the correct size of geography of the ACA areas </w:t>
            </w:r>
            <w:r w:rsidR="0026436E">
              <w:rPr>
                <w:color w:val="000000" w:themeColor="text1"/>
              </w:rPr>
              <w:t>to be used</w:t>
            </w:r>
            <w:r>
              <w:rPr>
                <w:color w:val="000000" w:themeColor="text1"/>
              </w:rPr>
              <w:t xml:space="preserve">. Alan </w:t>
            </w:r>
            <w:r w:rsidR="00DD2EF3">
              <w:rPr>
                <w:color w:val="000000" w:themeColor="text1"/>
              </w:rPr>
              <w:t xml:space="preserve">Cross </w:t>
            </w:r>
            <w:r>
              <w:rPr>
                <w:color w:val="000000" w:themeColor="text1"/>
              </w:rPr>
              <w:t xml:space="preserve">pointed out that if upper tier authorities were being used, care was needed when it came to unitary authorities which may be the same size as a district </w:t>
            </w:r>
            <w:r w:rsidR="00DD2EF3">
              <w:rPr>
                <w:color w:val="000000" w:themeColor="text1"/>
              </w:rPr>
              <w:t xml:space="preserve">whilst </w:t>
            </w:r>
            <w:r w:rsidR="0026436E">
              <w:rPr>
                <w:color w:val="000000" w:themeColor="text1"/>
              </w:rPr>
              <w:t>t</w:t>
            </w:r>
            <w:r w:rsidR="00DD2EF3">
              <w:rPr>
                <w:color w:val="000000" w:themeColor="text1"/>
              </w:rPr>
              <w:t xml:space="preserve">here </w:t>
            </w:r>
            <w:r>
              <w:rPr>
                <w:color w:val="000000" w:themeColor="text1"/>
              </w:rPr>
              <w:t xml:space="preserve">were </w:t>
            </w:r>
            <w:r w:rsidR="00DD2EF3">
              <w:rPr>
                <w:color w:val="000000" w:themeColor="text1"/>
              </w:rPr>
              <w:t xml:space="preserve">other </w:t>
            </w:r>
            <w:r>
              <w:rPr>
                <w:color w:val="000000" w:themeColor="text1"/>
              </w:rPr>
              <w:t>authorities that were very large. He pointed out that there should be a cons</w:t>
            </w:r>
            <w:r w:rsidR="0026436E">
              <w:rPr>
                <w:color w:val="000000" w:themeColor="text1"/>
              </w:rPr>
              <w:t xml:space="preserve">istent </w:t>
            </w:r>
            <w:r>
              <w:rPr>
                <w:color w:val="000000" w:themeColor="text1"/>
              </w:rPr>
              <w:t xml:space="preserve">approach to this. </w:t>
            </w:r>
          </w:p>
          <w:p w14:paraId="36AB5A71" w14:textId="77777777" w:rsidR="00DC5D88" w:rsidRPr="001069DB" w:rsidRDefault="00DC5D88" w:rsidP="00DC5D88">
            <w:pPr>
              <w:pStyle w:val="ListParagraph"/>
              <w:rPr>
                <w:color w:val="000000" w:themeColor="text1"/>
              </w:rPr>
            </w:pPr>
          </w:p>
          <w:p w14:paraId="66B96336" w14:textId="5BEE1DC1" w:rsidR="00DC5D88" w:rsidRDefault="00DC5D88" w:rsidP="00DC5D88">
            <w:pPr>
              <w:pStyle w:val="ListParagraph"/>
              <w:numPr>
                <w:ilvl w:val="1"/>
                <w:numId w:val="34"/>
              </w:numPr>
              <w:ind w:left="709" w:hanging="709"/>
              <w:rPr>
                <w:color w:val="000000" w:themeColor="text1"/>
              </w:rPr>
            </w:pPr>
            <w:r>
              <w:rPr>
                <w:color w:val="000000" w:themeColor="text1"/>
              </w:rPr>
              <w:t>Paul Woods mentioned that a measure of rurality needed to be evidence</w:t>
            </w:r>
            <w:r w:rsidR="00FE7603">
              <w:rPr>
                <w:color w:val="000000" w:themeColor="text1"/>
              </w:rPr>
              <w:t>-</w:t>
            </w:r>
            <w:r>
              <w:rPr>
                <w:color w:val="000000" w:themeColor="text1"/>
              </w:rPr>
              <w:t xml:space="preserve">based, and that there was a need to understand how to deal with unmet expenditure. </w:t>
            </w:r>
          </w:p>
          <w:p w14:paraId="515B6B3B" w14:textId="77777777" w:rsidR="00DC5D88" w:rsidRDefault="00DC5D88" w:rsidP="00DC5D88">
            <w:pPr>
              <w:pStyle w:val="ListParagraph"/>
              <w:ind w:left="360"/>
              <w:rPr>
                <w:b/>
                <w:color w:val="000000" w:themeColor="text1"/>
              </w:rPr>
            </w:pPr>
          </w:p>
          <w:p w14:paraId="336F3C31" w14:textId="372105B7" w:rsidR="0084637F" w:rsidRDefault="0084637F" w:rsidP="00682897">
            <w:pPr>
              <w:pStyle w:val="ListParagraph"/>
              <w:ind w:left="709"/>
              <w:rPr>
                <w:b/>
                <w:color w:val="FF0000"/>
              </w:rPr>
            </w:pPr>
            <w:r w:rsidRPr="000472AA">
              <w:rPr>
                <w:b/>
                <w:color w:val="FF0000"/>
              </w:rPr>
              <w:t xml:space="preserve">Action </w:t>
            </w:r>
            <w:r>
              <w:rPr>
                <w:b/>
                <w:color w:val="FF0000"/>
              </w:rPr>
              <w:t>4</w:t>
            </w:r>
            <w:r w:rsidRPr="000472AA">
              <w:rPr>
                <w:b/>
                <w:color w:val="FF0000"/>
              </w:rPr>
              <w:t>):</w:t>
            </w:r>
            <w:r>
              <w:rPr>
                <w:b/>
                <w:color w:val="FF0000"/>
              </w:rPr>
              <w:t xml:space="preserve"> </w:t>
            </w:r>
            <w:r w:rsidRPr="0084637F">
              <w:rPr>
                <w:b/>
                <w:color w:val="FF0000"/>
              </w:rPr>
              <w:t>Group members were asked to provide any further responses to the questions posed in the ACA paper presented at the meeting.</w:t>
            </w:r>
          </w:p>
          <w:p w14:paraId="69860DEC" w14:textId="6DD5857F" w:rsidR="0084637F" w:rsidRPr="00824B3D" w:rsidRDefault="0084637F" w:rsidP="00DC5D88">
            <w:pPr>
              <w:pStyle w:val="ListParagraph"/>
              <w:ind w:left="360"/>
              <w:rPr>
                <w:b/>
                <w:color w:val="000000" w:themeColor="text1"/>
              </w:rPr>
            </w:pPr>
          </w:p>
        </w:tc>
      </w:tr>
      <w:tr w:rsidR="00DC5D88" w:rsidRPr="00622256" w14:paraId="31BD2963" w14:textId="77777777" w:rsidTr="005931CE">
        <w:trPr>
          <w:trHeight w:val="730"/>
        </w:trPr>
        <w:tc>
          <w:tcPr>
            <w:tcW w:w="9996" w:type="dxa"/>
            <w:shd w:val="clear" w:color="auto" w:fill="D9D9D9" w:themeFill="background1" w:themeFillShade="D9"/>
            <w:vAlign w:val="center"/>
          </w:tcPr>
          <w:p w14:paraId="02A11A8B" w14:textId="57E88DD2" w:rsidR="00DC5D88" w:rsidRPr="00DC5D88" w:rsidRDefault="00DC5D88" w:rsidP="00DC5D88">
            <w:pPr>
              <w:pStyle w:val="ListParagraph"/>
              <w:numPr>
                <w:ilvl w:val="0"/>
                <w:numId w:val="34"/>
              </w:numPr>
              <w:rPr>
                <w:b/>
                <w:color w:val="000000" w:themeColor="text1"/>
              </w:rPr>
            </w:pPr>
            <w:r w:rsidRPr="00DC5D88">
              <w:rPr>
                <w:b/>
                <w:color w:val="000000" w:themeColor="text1"/>
              </w:rPr>
              <w:lastRenderedPageBreak/>
              <w:t>Discussion paper regarding the approach to Deprivation in the Fair Funding Review</w:t>
            </w:r>
            <w:r>
              <w:rPr>
                <w:b/>
                <w:color w:val="000000" w:themeColor="text1"/>
              </w:rPr>
              <w:t xml:space="preserve"> (</w:t>
            </w:r>
            <w:r w:rsidRPr="00DC5D88">
              <w:rPr>
                <w:b/>
                <w:color w:val="000000" w:themeColor="text1"/>
              </w:rPr>
              <w:t>NR TWG 17-05</w:t>
            </w:r>
            <w:r>
              <w:rPr>
                <w:b/>
                <w:color w:val="000000" w:themeColor="text1"/>
              </w:rPr>
              <w:t>)</w:t>
            </w:r>
            <w:r w:rsidRPr="00DC5D88">
              <w:rPr>
                <w:b/>
                <w:color w:val="000000" w:themeColor="text1"/>
              </w:rPr>
              <w:t xml:space="preserve"> </w:t>
            </w:r>
            <w:r>
              <w:rPr>
                <w:color w:val="000000" w:themeColor="text1"/>
              </w:rPr>
              <w:t>–</w:t>
            </w:r>
            <w:r w:rsidRPr="00DC5D88">
              <w:rPr>
                <w:color w:val="000000" w:themeColor="text1"/>
              </w:rPr>
              <w:t xml:space="preserve"> DCLG</w:t>
            </w:r>
          </w:p>
          <w:p w14:paraId="44EF7736" w14:textId="16BDE7D1" w:rsidR="00DC5D88" w:rsidRPr="00824B3D" w:rsidRDefault="00DC5D88" w:rsidP="00DC5D88">
            <w:pPr>
              <w:pStyle w:val="ListParagraph"/>
              <w:ind w:left="360"/>
              <w:rPr>
                <w:b/>
                <w:color w:val="000000" w:themeColor="text1"/>
              </w:rPr>
            </w:pPr>
            <w:r w:rsidRPr="00DC5D88">
              <w:rPr>
                <w:b/>
                <w:color w:val="000000" w:themeColor="text1"/>
              </w:rPr>
              <w:t xml:space="preserve">Deprivation in the Needs Allocation Formula </w:t>
            </w:r>
            <w:r>
              <w:rPr>
                <w:b/>
                <w:color w:val="000000" w:themeColor="text1"/>
              </w:rPr>
              <w:t>(</w:t>
            </w:r>
            <w:r w:rsidRPr="00DC5D88">
              <w:rPr>
                <w:b/>
                <w:color w:val="000000" w:themeColor="text1"/>
              </w:rPr>
              <w:t>NR TWG 17-06</w:t>
            </w:r>
            <w:r>
              <w:rPr>
                <w:b/>
                <w:color w:val="000000" w:themeColor="text1"/>
              </w:rPr>
              <w:t xml:space="preserve">) </w:t>
            </w:r>
            <w:r w:rsidRPr="00DC5D88">
              <w:rPr>
                <w:color w:val="000000" w:themeColor="text1"/>
              </w:rPr>
              <w:t>- Society of County Treasurers (SCT)</w:t>
            </w:r>
          </w:p>
        </w:tc>
      </w:tr>
      <w:tr w:rsidR="005931CE" w:rsidRPr="00622256" w14:paraId="292DE137" w14:textId="77777777" w:rsidTr="00DC5D88">
        <w:trPr>
          <w:trHeight w:val="1140"/>
        </w:trPr>
        <w:tc>
          <w:tcPr>
            <w:tcW w:w="9996" w:type="dxa"/>
          </w:tcPr>
          <w:p w14:paraId="5A85CCC8" w14:textId="29F2F524" w:rsidR="00066155" w:rsidRDefault="00A01DDE" w:rsidP="00F86609">
            <w:pPr>
              <w:pStyle w:val="ListParagraph"/>
              <w:numPr>
                <w:ilvl w:val="1"/>
                <w:numId w:val="34"/>
              </w:numPr>
              <w:ind w:left="709" w:hanging="709"/>
              <w:rPr>
                <w:color w:val="000000" w:themeColor="text1"/>
              </w:rPr>
            </w:pPr>
            <w:r>
              <w:rPr>
                <w:color w:val="000000" w:themeColor="text1"/>
              </w:rPr>
              <w:t>DCLG presented a paper on deprivation, describing the possible methods that could be used to incorporate depri</w:t>
            </w:r>
            <w:r w:rsidR="0026436E">
              <w:rPr>
                <w:color w:val="000000" w:themeColor="text1"/>
              </w:rPr>
              <w:t>vation into the funding formula</w:t>
            </w:r>
            <w:r>
              <w:rPr>
                <w:color w:val="000000" w:themeColor="text1"/>
              </w:rPr>
              <w:t xml:space="preserve">. The Indices of Multiple Deprivation </w:t>
            </w:r>
            <w:r w:rsidR="00ED23B1">
              <w:rPr>
                <w:color w:val="000000" w:themeColor="text1"/>
              </w:rPr>
              <w:t xml:space="preserve">(IMD) </w:t>
            </w:r>
            <w:r>
              <w:rPr>
                <w:color w:val="000000" w:themeColor="text1"/>
              </w:rPr>
              <w:t>w</w:t>
            </w:r>
            <w:r w:rsidR="00FE7603">
              <w:rPr>
                <w:color w:val="000000" w:themeColor="text1"/>
              </w:rPr>
              <w:t>as</w:t>
            </w:r>
            <w:r>
              <w:rPr>
                <w:color w:val="000000" w:themeColor="text1"/>
              </w:rPr>
              <w:t xml:space="preserve"> proposed as a possible approach to including deprivation</w:t>
            </w:r>
            <w:r w:rsidR="009143AC">
              <w:rPr>
                <w:color w:val="000000" w:themeColor="text1"/>
              </w:rPr>
              <w:t>. For the greatest analytical robustness,</w:t>
            </w:r>
            <w:r w:rsidR="00FE7603">
              <w:rPr>
                <w:color w:val="000000" w:themeColor="text1"/>
              </w:rPr>
              <w:t xml:space="preserve"> </w:t>
            </w:r>
            <w:r>
              <w:rPr>
                <w:color w:val="000000" w:themeColor="text1"/>
              </w:rPr>
              <w:t>DCLG suggested that this should be on a cost-driver (additive) basis, not within the ACA (multiplicative)</w:t>
            </w:r>
            <w:r w:rsidR="00ED23B1">
              <w:rPr>
                <w:color w:val="000000" w:themeColor="text1"/>
              </w:rPr>
              <w:t xml:space="preserve"> because deprivation has more impact on the quantity of services to be delivered rather than the unit cost of service delivery</w:t>
            </w:r>
            <w:r>
              <w:rPr>
                <w:color w:val="000000" w:themeColor="text1"/>
              </w:rPr>
              <w:t>. DCLG stated that the next update of the IMD w</w:t>
            </w:r>
            <w:r w:rsidR="00FE7603">
              <w:rPr>
                <w:color w:val="000000" w:themeColor="text1"/>
              </w:rPr>
              <w:t xml:space="preserve">as expected in summer </w:t>
            </w:r>
            <w:r>
              <w:rPr>
                <w:color w:val="000000" w:themeColor="text1"/>
              </w:rPr>
              <w:t>2019.</w:t>
            </w:r>
          </w:p>
          <w:p w14:paraId="4C497590" w14:textId="77777777" w:rsidR="00EB0259" w:rsidRPr="00AF104C" w:rsidRDefault="00EB0259" w:rsidP="00EB0259">
            <w:pPr>
              <w:pStyle w:val="ListParagraph"/>
              <w:ind w:left="709"/>
              <w:rPr>
                <w:color w:val="000000" w:themeColor="text1"/>
              </w:rPr>
            </w:pPr>
          </w:p>
          <w:p w14:paraId="1CF51664" w14:textId="71D99CBD" w:rsidR="00F86609" w:rsidRDefault="00EB0259" w:rsidP="000B40D7">
            <w:pPr>
              <w:pStyle w:val="ListParagraph"/>
              <w:numPr>
                <w:ilvl w:val="1"/>
                <w:numId w:val="34"/>
              </w:numPr>
              <w:ind w:left="709" w:hanging="709"/>
              <w:rPr>
                <w:color w:val="000000" w:themeColor="text1"/>
              </w:rPr>
            </w:pPr>
            <w:r>
              <w:rPr>
                <w:color w:val="000000" w:themeColor="text1"/>
              </w:rPr>
              <w:lastRenderedPageBreak/>
              <w:t>The Society of County Treasurers (SCT)</w:t>
            </w:r>
            <w:r w:rsidR="00786E72">
              <w:rPr>
                <w:color w:val="000000" w:themeColor="text1"/>
              </w:rPr>
              <w:t xml:space="preserve"> presented a paper on deprivation, which gave an overall literature review of the current impact of deprivation in the formula. The SCT d</w:t>
            </w:r>
            <w:r w:rsidR="00715BC1">
              <w:rPr>
                <w:color w:val="000000" w:themeColor="text1"/>
              </w:rPr>
              <w:t xml:space="preserve">iscussed </w:t>
            </w:r>
            <w:r w:rsidR="00786E72">
              <w:rPr>
                <w:color w:val="000000" w:themeColor="text1"/>
              </w:rPr>
              <w:t>the relationship between deprivation and core spending power (CSP) and what deprivation means for the cost of provi</w:t>
            </w:r>
            <w:r w:rsidR="009143AC">
              <w:rPr>
                <w:color w:val="000000" w:themeColor="text1"/>
              </w:rPr>
              <w:t>d</w:t>
            </w:r>
            <w:r w:rsidR="00786E72">
              <w:rPr>
                <w:color w:val="000000" w:themeColor="text1"/>
              </w:rPr>
              <w:t>ing services. SCT mentioned that there was no evidence they could find for weight</w:t>
            </w:r>
            <w:r w:rsidR="00A83D68">
              <w:rPr>
                <w:color w:val="000000" w:themeColor="text1"/>
              </w:rPr>
              <w:t>ing</w:t>
            </w:r>
            <w:r w:rsidR="00786E72">
              <w:rPr>
                <w:color w:val="000000" w:themeColor="text1"/>
              </w:rPr>
              <w:t xml:space="preserve"> deprivation factors, and that weightings</w:t>
            </w:r>
            <w:r w:rsidR="00A83D68">
              <w:rPr>
                <w:color w:val="000000" w:themeColor="text1"/>
              </w:rPr>
              <w:t xml:space="preserve"> c</w:t>
            </w:r>
            <w:r w:rsidR="004B2628">
              <w:rPr>
                <w:color w:val="000000" w:themeColor="text1"/>
              </w:rPr>
              <w:t>ould be more important than the measure of deprivation used</w:t>
            </w:r>
            <w:r w:rsidR="00786E72">
              <w:rPr>
                <w:color w:val="000000" w:themeColor="text1"/>
              </w:rPr>
              <w:t>.</w:t>
            </w:r>
          </w:p>
          <w:p w14:paraId="35A03530" w14:textId="77777777" w:rsidR="004B2628" w:rsidRPr="004B2628" w:rsidRDefault="004B2628" w:rsidP="004B2628">
            <w:pPr>
              <w:pStyle w:val="ListParagraph"/>
              <w:rPr>
                <w:color w:val="000000" w:themeColor="text1"/>
              </w:rPr>
            </w:pPr>
          </w:p>
          <w:p w14:paraId="1BED6767" w14:textId="1FD21E30" w:rsidR="00B519A1" w:rsidRDefault="004B2628" w:rsidP="000B40D7">
            <w:pPr>
              <w:pStyle w:val="ListParagraph"/>
              <w:numPr>
                <w:ilvl w:val="1"/>
                <w:numId w:val="34"/>
              </w:numPr>
              <w:ind w:left="709" w:hanging="709"/>
              <w:rPr>
                <w:color w:val="000000" w:themeColor="text1"/>
              </w:rPr>
            </w:pPr>
            <w:r>
              <w:rPr>
                <w:color w:val="000000" w:themeColor="text1"/>
              </w:rPr>
              <w:t>Geoff Winterbottom pointed out the problem with the graph on deprivation and CSP was the presence of other factors in CSP that would throw out any alignment with deprivation</w:t>
            </w:r>
            <w:r w:rsidR="009143AC">
              <w:rPr>
                <w:color w:val="000000" w:themeColor="text1"/>
              </w:rPr>
              <w:t>. He also commented</w:t>
            </w:r>
            <w:r w:rsidR="00FD57D2">
              <w:rPr>
                <w:color w:val="000000" w:themeColor="text1"/>
              </w:rPr>
              <w:t xml:space="preserve"> that </w:t>
            </w:r>
            <w:r>
              <w:rPr>
                <w:color w:val="000000" w:themeColor="text1"/>
              </w:rPr>
              <w:t xml:space="preserve">the formula should be looked at before damping, and </w:t>
            </w:r>
            <w:r w:rsidR="009143AC">
              <w:rPr>
                <w:color w:val="000000" w:themeColor="text1"/>
              </w:rPr>
              <w:t xml:space="preserve">that </w:t>
            </w:r>
            <w:r>
              <w:rPr>
                <w:color w:val="000000" w:themeColor="text1"/>
              </w:rPr>
              <w:t>more correlation of deprivation and CSP would be seen.</w:t>
            </w:r>
            <w:r w:rsidR="00B519A1">
              <w:rPr>
                <w:color w:val="000000" w:themeColor="text1"/>
              </w:rPr>
              <w:t xml:space="preserve"> </w:t>
            </w:r>
          </w:p>
          <w:p w14:paraId="3098F130" w14:textId="77777777" w:rsidR="00B519A1" w:rsidRPr="00B519A1" w:rsidRDefault="00B519A1" w:rsidP="00B519A1">
            <w:pPr>
              <w:pStyle w:val="ListParagraph"/>
              <w:rPr>
                <w:color w:val="000000" w:themeColor="text1"/>
              </w:rPr>
            </w:pPr>
          </w:p>
          <w:p w14:paraId="35AC7F66" w14:textId="445EEBD5" w:rsidR="004B2628" w:rsidRDefault="00B519A1" w:rsidP="000B40D7">
            <w:pPr>
              <w:pStyle w:val="ListParagraph"/>
              <w:numPr>
                <w:ilvl w:val="1"/>
                <w:numId w:val="34"/>
              </w:numPr>
              <w:ind w:left="709" w:hanging="709"/>
              <w:rPr>
                <w:color w:val="000000" w:themeColor="text1"/>
              </w:rPr>
            </w:pPr>
            <w:r>
              <w:rPr>
                <w:color w:val="000000" w:themeColor="text1"/>
              </w:rPr>
              <w:t>There was a discussion on the weighting of deprivation</w:t>
            </w:r>
            <w:r w:rsidR="003E56CD">
              <w:rPr>
                <w:color w:val="000000" w:themeColor="text1"/>
              </w:rPr>
              <w:t xml:space="preserve">, and some members had </w:t>
            </w:r>
            <w:r w:rsidR="00E1762F">
              <w:rPr>
                <w:color w:val="000000" w:themeColor="text1"/>
              </w:rPr>
              <w:t>concerns</w:t>
            </w:r>
            <w:r w:rsidR="003E56CD">
              <w:rPr>
                <w:color w:val="000000" w:themeColor="text1"/>
              </w:rPr>
              <w:t xml:space="preserve"> on the use of past spend data in regressions</w:t>
            </w:r>
            <w:r>
              <w:rPr>
                <w:color w:val="000000" w:themeColor="text1"/>
              </w:rPr>
              <w:t xml:space="preserve">. It was pointed out that weighting would be carried out as for other cost drivers, measuring the relationship between them. DCLG pointed out that </w:t>
            </w:r>
            <w:r w:rsidR="007F5FE2">
              <w:rPr>
                <w:color w:val="000000" w:themeColor="text1"/>
              </w:rPr>
              <w:t>an analytically robust methodology would be one way of weighting deprivation with other cost drivers, and that an alternative</w:t>
            </w:r>
            <w:r w:rsidR="00A83D68">
              <w:rPr>
                <w:color w:val="000000" w:themeColor="text1"/>
              </w:rPr>
              <w:t xml:space="preserve"> but less attractive</w:t>
            </w:r>
            <w:r w:rsidR="007F5FE2">
              <w:rPr>
                <w:color w:val="000000" w:themeColor="text1"/>
              </w:rPr>
              <w:t xml:space="preserve"> </w:t>
            </w:r>
            <w:r w:rsidR="00715BC1">
              <w:rPr>
                <w:color w:val="000000" w:themeColor="text1"/>
              </w:rPr>
              <w:t xml:space="preserve">approach could be the use of </w:t>
            </w:r>
            <w:r w:rsidR="007F5FE2">
              <w:rPr>
                <w:color w:val="000000" w:themeColor="text1"/>
              </w:rPr>
              <w:t>judgement.</w:t>
            </w:r>
          </w:p>
          <w:p w14:paraId="1126EA3D" w14:textId="77777777" w:rsidR="00B519A1" w:rsidRPr="00B519A1" w:rsidRDefault="00B519A1" w:rsidP="00B519A1">
            <w:pPr>
              <w:pStyle w:val="ListParagraph"/>
              <w:rPr>
                <w:color w:val="000000" w:themeColor="text1"/>
              </w:rPr>
            </w:pPr>
          </w:p>
          <w:p w14:paraId="5BE23C0F" w14:textId="67C3B042" w:rsidR="00B519A1" w:rsidRPr="00682897" w:rsidRDefault="00B519A1" w:rsidP="000B40D7">
            <w:pPr>
              <w:pStyle w:val="ListParagraph"/>
              <w:numPr>
                <w:ilvl w:val="1"/>
                <w:numId w:val="34"/>
              </w:numPr>
              <w:ind w:left="709" w:hanging="709"/>
              <w:rPr>
                <w:color w:val="000000" w:themeColor="text1"/>
              </w:rPr>
            </w:pPr>
            <w:r w:rsidRPr="00682897">
              <w:rPr>
                <w:color w:val="000000" w:themeColor="text1"/>
              </w:rPr>
              <w:t xml:space="preserve">DCLG </w:t>
            </w:r>
            <w:r w:rsidR="007F5FE2" w:rsidRPr="00682897">
              <w:rPr>
                <w:color w:val="000000" w:themeColor="text1"/>
              </w:rPr>
              <w:t xml:space="preserve">stated that they are interested in engaging with the sector on </w:t>
            </w:r>
            <w:r w:rsidR="00490AE1" w:rsidRPr="00682897">
              <w:rPr>
                <w:color w:val="000000" w:themeColor="text1"/>
              </w:rPr>
              <w:t xml:space="preserve">perceptions of the </w:t>
            </w:r>
            <w:r w:rsidR="007F5FE2" w:rsidRPr="00682897">
              <w:rPr>
                <w:color w:val="000000" w:themeColor="text1"/>
              </w:rPr>
              <w:t>impact of deprivation, and that this could be done in collaboration with the SCT and LGA</w:t>
            </w:r>
            <w:r w:rsidR="00490AE1" w:rsidRPr="00682897">
              <w:rPr>
                <w:color w:val="000000" w:themeColor="text1"/>
              </w:rPr>
              <w:t xml:space="preserve">. One option was a possible </w:t>
            </w:r>
            <w:r w:rsidR="007F5FE2" w:rsidRPr="00682897">
              <w:rPr>
                <w:color w:val="000000" w:themeColor="text1"/>
              </w:rPr>
              <w:t xml:space="preserve">survey of local government practitioners on how to apply deprivation in particular services and the effects of this. The results of this survey could then be </w:t>
            </w:r>
            <w:r w:rsidR="00490AE1">
              <w:rPr>
                <w:color w:val="000000" w:themeColor="text1"/>
              </w:rPr>
              <w:t xml:space="preserve">used to compare whether there is a consensus between these perceptions and the </w:t>
            </w:r>
            <w:r w:rsidR="007F5FE2" w:rsidRPr="00682897">
              <w:rPr>
                <w:color w:val="000000" w:themeColor="text1"/>
              </w:rPr>
              <w:t xml:space="preserve">results of </w:t>
            </w:r>
            <w:r w:rsidR="00490AE1">
              <w:rPr>
                <w:color w:val="000000" w:themeColor="text1"/>
              </w:rPr>
              <w:t>any analysis.</w:t>
            </w:r>
          </w:p>
          <w:p w14:paraId="1ADC6F8E" w14:textId="77777777" w:rsidR="007F5FE2" w:rsidRPr="007F5FE2" w:rsidRDefault="007F5FE2" w:rsidP="007F5FE2">
            <w:pPr>
              <w:pStyle w:val="ListParagraph"/>
              <w:rPr>
                <w:color w:val="000000" w:themeColor="text1"/>
              </w:rPr>
            </w:pPr>
          </w:p>
          <w:p w14:paraId="3035CBE9" w14:textId="0E98A042" w:rsidR="007F5FE2" w:rsidRDefault="00E1762F" w:rsidP="000B40D7">
            <w:pPr>
              <w:pStyle w:val="ListParagraph"/>
              <w:numPr>
                <w:ilvl w:val="1"/>
                <w:numId w:val="34"/>
              </w:numPr>
              <w:ind w:left="709" w:hanging="709"/>
              <w:rPr>
                <w:color w:val="000000" w:themeColor="text1"/>
              </w:rPr>
            </w:pPr>
            <w:r>
              <w:rPr>
                <w:color w:val="000000" w:themeColor="text1"/>
              </w:rPr>
              <w:t>Dan Bates stated that income deprivation doesn’t measure low income and its associated costs</w:t>
            </w:r>
            <w:r w:rsidR="00682897">
              <w:rPr>
                <w:color w:val="000000" w:themeColor="text1"/>
              </w:rPr>
              <w:t xml:space="preserve"> and felt </w:t>
            </w:r>
            <w:r>
              <w:rPr>
                <w:color w:val="000000" w:themeColor="text1"/>
              </w:rPr>
              <w:t>there should be a broader definition</w:t>
            </w:r>
            <w:r w:rsidR="00682897">
              <w:rPr>
                <w:color w:val="000000" w:themeColor="text1"/>
              </w:rPr>
              <w:t>.</w:t>
            </w:r>
          </w:p>
          <w:p w14:paraId="630B77E4" w14:textId="77777777" w:rsidR="00E1762F" w:rsidRPr="00E1762F" w:rsidRDefault="00E1762F" w:rsidP="00E1762F">
            <w:pPr>
              <w:pStyle w:val="ListParagraph"/>
              <w:rPr>
                <w:color w:val="000000" w:themeColor="text1"/>
              </w:rPr>
            </w:pPr>
          </w:p>
          <w:p w14:paraId="2DAD0E54" w14:textId="088A16E2" w:rsidR="00E1762F" w:rsidRDefault="00E1762F" w:rsidP="000B40D7">
            <w:pPr>
              <w:pStyle w:val="ListParagraph"/>
              <w:numPr>
                <w:ilvl w:val="1"/>
                <w:numId w:val="34"/>
              </w:numPr>
              <w:ind w:left="709" w:hanging="709"/>
              <w:rPr>
                <w:color w:val="000000" w:themeColor="text1"/>
              </w:rPr>
            </w:pPr>
            <w:r>
              <w:rPr>
                <w:color w:val="000000" w:themeColor="text1"/>
              </w:rPr>
              <w:t xml:space="preserve">Paul </w:t>
            </w:r>
            <w:proofErr w:type="spellStart"/>
            <w:r>
              <w:rPr>
                <w:color w:val="000000" w:themeColor="text1"/>
              </w:rPr>
              <w:t>Honeyben</w:t>
            </w:r>
            <w:proofErr w:type="spellEnd"/>
            <w:r w:rsidR="00E15A9B">
              <w:rPr>
                <w:color w:val="000000" w:themeColor="text1"/>
              </w:rPr>
              <w:t xml:space="preserve"> stated that the CSP deprivation chart overstated some of the London figures</w:t>
            </w:r>
            <w:r w:rsidR="00A77CF9">
              <w:rPr>
                <w:color w:val="000000" w:themeColor="text1"/>
              </w:rPr>
              <w:t xml:space="preserve"> due to the inclusion of the GLA</w:t>
            </w:r>
            <w:r w:rsidR="00E15A9B">
              <w:rPr>
                <w:color w:val="000000" w:themeColor="text1"/>
              </w:rPr>
              <w:t xml:space="preserve">, and </w:t>
            </w:r>
            <w:r w:rsidR="00A77CF9">
              <w:rPr>
                <w:color w:val="000000" w:themeColor="text1"/>
              </w:rPr>
              <w:t xml:space="preserve">proposed </w:t>
            </w:r>
            <w:r w:rsidR="00E15A9B">
              <w:rPr>
                <w:color w:val="000000" w:themeColor="text1"/>
              </w:rPr>
              <w:t xml:space="preserve">the use of SFA </w:t>
            </w:r>
            <w:r w:rsidR="00A77CF9">
              <w:rPr>
                <w:color w:val="000000" w:themeColor="text1"/>
              </w:rPr>
              <w:t xml:space="preserve">(or an equivalent) </w:t>
            </w:r>
            <w:r w:rsidR="00E15A9B">
              <w:rPr>
                <w:color w:val="000000" w:themeColor="text1"/>
              </w:rPr>
              <w:t xml:space="preserve">instead of CSP. He agreed with the reduction of </w:t>
            </w:r>
            <w:r w:rsidR="00B3005B">
              <w:rPr>
                <w:color w:val="000000" w:themeColor="text1"/>
              </w:rPr>
              <w:t xml:space="preserve">the </w:t>
            </w:r>
            <w:r w:rsidR="00E15A9B">
              <w:rPr>
                <w:color w:val="000000" w:themeColor="text1"/>
              </w:rPr>
              <w:t>number of drivers for deprivation and complexity in the formula</w:t>
            </w:r>
            <w:r w:rsidR="00A77CF9">
              <w:rPr>
                <w:color w:val="000000" w:themeColor="text1"/>
              </w:rPr>
              <w:t>. H</w:t>
            </w:r>
            <w:r w:rsidR="00E15A9B">
              <w:rPr>
                <w:color w:val="000000" w:themeColor="text1"/>
              </w:rPr>
              <w:t xml:space="preserve">owever he </w:t>
            </w:r>
            <w:r w:rsidR="00A77CF9">
              <w:rPr>
                <w:color w:val="000000" w:themeColor="text1"/>
              </w:rPr>
              <w:t xml:space="preserve">was part of the working group that produced advice on the IMD </w:t>
            </w:r>
            <w:r w:rsidR="00A83D68">
              <w:rPr>
                <w:color w:val="000000" w:themeColor="text1"/>
              </w:rPr>
              <w:t xml:space="preserve">and </w:t>
            </w:r>
            <w:r w:rsidR="00A77CF9">
              <w:rPr>
                <w:color w:val="000000" w:themeColor="text1"/>
              </w:rPr>
              <w:t xml:space="preserve">felt uncertain that they should be used as part of a funding formula. He also raised the issue of in-work poverty in London and other urban areas. </w:t>
            </w:r>
          </w:p>
          <w:p w14:paraId="2F85EE3E" w14:textId="77777777" w:rsidR="00E15A9B" w:rsidRPr="00E15A9B" w:rsidRDefault="00E15A9B" w:rsidP="00E15A9B">
            <w:pPr>
              <w:pStyle w:val="ListParagraph"/>
              <w:rPr>
                <w:color w:val="000000" w:themeColor="text1"/>
              </w:rPr>
            </w:pPr>
          </w:p>
          <w:p w14:paraId="24EC241E" w14:textId="3F8AD675" w:rsidR="00E15A9B" w:rsidRDefault="00E15A9B" w:rsidP="000B40D7">
            <w:pPr>
              <w:pStyle w:val="ListParagraph"/>
              <w:numPr>
                <w:ilvl w:val="1"/>
                <w:numId w:val="34"/>
              </w:numPr>
              <w:ind w:left="709" w:hanging="709"/>
              <w:rPr>
                <w:color w:val="000000" w:themeColor="text1"/>
              </w:rPr>
            </w:pPr>
            <w:r>
              <w:rPr>
                <w:color w:val="000000" w:themeColor="text1"/>
              </w:rPr>
              <w:t xml:space="preserve">Nicola Morton mentioned </w:t>
            </w:r>
            <w:r w:rsidR="00AA05C6">
              <w:rPr>
                <w:color w:val="000000" w:themeColor="text1"/>
              </w:rPr>
              <w:t>that</w:t>
            </w:r>
            <w:r>
              <w:rPr>
                <w:color w:val="000000" w:themeColor="text1"/>
              </w:rPr>
              <w:t xml:space="preserve"> th</w:t>
            </w:r>
            <w:r w:rsidR="000A6A03">
              <w:rPr>
                <w:color w:val="000000" w:themeColor="text1"/>
              </w:rPr>
              <w:t xml:space="preserve">e IMD is used in health formulae and asked whether DCLG could influence </w:t>
            </w:r>
            <w:r w:rsidR="00353CEB">
              <w:rPr>
                <w:color w:val="000000" w:themeColor="text1"/>
              </w:rPr>
              <w:t xml:space="preserve">the </w:t>
            </w:r>
            <w:r w:rsidR="000A6A03">
              <w:rPr>
                <w:color w:val="000000" w:themeColor="text1"/>
              </w:rPr>
              <w:t xml:space="preserve">IMD </w:t>
            </w:r>
            <w:r>
              <w:rPr>
                <w:color w:val="000000" w:themeColor="text1"/>
              </w:rPr>
              <w:t>if the indicators are being looked into again.</w:t>
            </w:r>
          </w:p>
          <w:p w14:paraId="23A45EC9" w14:textId="77777777" w:rsidR="00353CEB" w:rsidRPr="00353CEB" w:rsidRDefault="00353CEB" w:rsidP="00353CEB">
            <w:pPr>
              <w:pStyle w:val="ListParagraph"/>
              <w:rPr>
                <w:color w:val="000000" w:themeColor="text1"/>
              </w:rPr>
            </w:pPr>
          </w:p>
          <w:p w14:paraId="66609E43" w14:textId="751FEE61" w:rsidR="00353CEB" w:rsidRDefault="00353CEB" w:rsidP="000B40D7">
            <w:pPr>
              <w:pStyle w:val="ListParagraph"/>
              <w:numPr>
                <w:ilvl w:val="1"/>
                <w:numId w:val="34"/>
              </w:numPr>
              <w:ind w:left="709" w:hanging="709"/>
              <w:rPr>
                <w:color w:val="000000" w:themeColor="text1"/>
              </w:rPr>
            </w:pPr>
            <w:r>
              <w:rPr>
                <w:color w:val="000000" w:themeColor="text1"/>
              </w:rPr>
              <w:t xml:space="preserve">DCLG responded that </w:t>
            </w:r>
            <w:r w:rsidR="000A6A03">
              <w:rPr>
                <w:color w:val="000000" w:themeColor="text1"/>
              </w:rPr>
              <w:t xml:space="preserve">DCLG is only one of many stakeholders, however </w:t>
            </w:r>
            <w:r>
              <w:rPr>
                <w:color w:val="000000" w:themeColor="text1"/>
              </w:rPr>
              <w:t xml:space="preserve">the Review team </w:t>
            </w:r>
            <w:r w:rsidR="00337C6B">
              <w:rPr>
                <w:color w:val="000000" w:themeColor="text1"/>
              </w:rPr>
              <w:t>are located</w:t>
            </w:r>
            <w:r w:rsidR="000A6A03">
              <w:rPr>
                <w:color w:val="000000" w:themeColor="text1"/>
              </w:rPr>
              <w:t xml:space="preserve"> with the IMD team</w:t>
            </w:r>
            <w:r>
              <w:rPr>
                <w:color w:val="000000" w:themeColor="text1"/>
              </w:rPr>
              <w:t xml:space="preserve">, with strong involvement in the </w:t>
            </w:r>
            <w:r w:rsidR="00337C6B">
              <w:rPr>
                <w:color w:val="000000" w:themeColor="text1"/>
              </w:rPr>
              <w:t>design</w:t>
            </w:r>
            <w:r>
              <w:rPr>
                <w:color w:val="000000" w:themeColor="text1"/>
              </w:rPr>
              <w:t xml:space="preserve"> of</w:t>
            </w:r>
            <w:r w:rsidR="00B3005B">
              <w:rPr>
                <w:color w:val="000000" w:themeColor="text1"/>
              </w:rPr>
              <w:t xml:space="preserve"> the usage of</w:t>
            </w:r>
            <w:r>
              <w:rPr>
                <w:color w:val="000000" w:themeColor="text1"/>
              </w:rPr>
              <w:t xml:space="preserve"> new indicators.</w:t>
            </w:r>
          </w:p>
          <w:p w14:paraId="7EBD15C1" w14:textId="77777777" w:rsidR="00353CEB" w:rsidRPr="00353CEB" w:rsidRDefault="00353CEB" w:rsidP="00353CEB">
            <w:pPr>
              <w:pStyle w:val="ListParagraph"/>
              <w:rPr>
                <w:color w:val="000000" w:themeColor="text1"/>
              </w:rPr>
            </w:pPr>
          </w:p>
          <w:p w14:paraId="0C541138" w14:textId="6BF4062A" w:rsidR="00353CEB" w:rsidRDefault="00353CEB" w:rsidP="000B40D7">
            <w:pPr>
              <w:pStyle w:val="ListParagraph"/>
              <w:numPr>
                <w:ilvl w:val="1"/>
                <w:numId w:val="34"/>
              </w:numPr>
              <w:ind w:left="709" w:hanging="709"/>
              <w:rPr>
                <w:color w:val="000000" w:themeColor="text1"/>
              </w:rPr>
            </w:pPr>
            <w:r>
              <w:rPr>
                <w:color w:val="000000" w:themeColor="text1"/>
              </w:rPr>
              <w:t xml:space="preserve">Nick </w:t>
            </w:r>
            <w:proofErr w:type="spellStart"/>
            <w:r>
              <w:rPr>
                <w:color w:val="000000" w:themeColor="text1"/>
              </w:rPr>
              <w:t>Everleigh</w:t>
            </w:r>
            <w:proofErr w:type="spellEnd"/>
            <w:r>
              <w:rPr>
                <w:color w:val="000000" w:themeColor="text1"/>
              </w:rPr>
              <w:t xml:space="preserve"> mentioned that there was an emerging problem with homelessness and </w:t>
            </w:r>
            <w:r w:rsidR="00337C6B">
              <w:rPr>
                <w:color w:val="000000" w:themeColor="text1"/>
              </w:rPr>
              <w:t>housing costs</w:t>
            </w:r>
            <w:r>
              <w:rPr>
                <w:color w:val="000000" w:themeColor="text1"/>
              </w:rPr>
              <w:t>. He stated that this was an emerging cost pressure particularly in districts and should be included.</w:t>
            </w:r>
          </w:p>
          <w:p w14:paraId="51619852" w14:textId="77777777" w:rsidR="00892647" w:rsidRPr="00892647" w:rsidRDefault="00892647" w:rsidP="00892647">
            <w:pPr>
              <w:pStyle w:val="ListParagraph"/>
              <w:rPr>
                <w:color w:val="000000" w:themeColor="text1"/>
              </w:rPr>
            </w:pPr>
          </w:p>
          <w:p w14:paraId="50D68964" w14:textId="6E4E40F0" w:rsidR="00892647" w:rsidRDefault="00892647" w:rsidP="000B40D7">
            <w:pPr>
              <w:pStyle w:val="ListParagraph"/>
              <w:numPr>
                <w:ilvl w:val="1"/>
                <w:numId w:val="34"/>
              </w:numPr>
              <w:ind w:left="709" w:hanging="709"/>
              <w:rPr>
                <w:color w:val="000000" w:themeColor="text1"/>
              </w:rPr>
            </w:pPr>
            <w:r>
              <w:rPr>
                <w:color w:val="000000" w:themeColor="text1"/>
              </w:rPr>
              <w:t xml:space="preserve">Geoff Winterbottom commented that within previous IMD some items were considered policy driven at authority level, and asked whether these should be adjusted for. He also asked whether IDACI/IDOPI should be combined to avoid double counting on availability of services for older people and </w:t>
            </w:r>
            <w:r w:rsidR="000A6A03">
              <w:rPr>
                <w:color w:val="000000" w:themeColor="text1"/>
              </w:rPr>
              <w:t xml:space="preserve">the </w:t>
            </w:r>
            <w:r>
              <w:rPr>
                <w:color w:val="000000" w:themeColor="text1"/>
              </w:rPr>
              <w:t xml:space="preserve">ability to finance </w:t>
            </w:r>
            <w:r>
              <w:rPr>
                <w:color w:val="000000" w:themeColor="text1"/>
              </w:rPr>
              <w:lastRenderedPageBreak/>
              <w:t>these.</w:t>
            </w:r>
          </w:p>
          <w:p w14:paraId="00828627" w14:textId="77777777" w:rsidR="00892647" w:rsidRPr="00892647" w:rsidRDefault="00892647" w:rsidP="00892647">
            <w:pPr>
              <w:pStyle w:val="ListParagraph"/>
              <w:rPr>
                <w:color w:val="000000" w:themeColor="text1"/>
              </w:rPr>
            </w:pPr>
          </w:p>
          <w:p w14:paraId="08B09994" w14:textId="518C524F" w:rsidR="00892647" w:rsidRDefault="00DD4958" w:rsidP="000B40D7">
            <w:pPr>
              <w:pStyle w:val="ListParagraph"/>
              <w:numPr>
                <w:ilvl w:val="1"/>
                <w:numId w:val="34"/>
              </w:numPr>
              <w:ind w:left="709" w:hanging="709"/>
              <w:rPr>
                <w:color w:val="000000" w:themeColor="text1"/>
              </w:rPr>
            </w:pPr>
            <w:r>
              <w:rPr>
                <w:color w:val="000000" w:themeColor="text1"/>
              </w:rPr>
              <w:t xml:space="preserve">Paul Woods stated that use of the IMD indicators sounded positive. He </w:t>
            </w:r>
            <w:r w:rsidR="00097450">
              <w:rPr>
                <w:color w:val="000000" w:themeColor="text1"/>
              </w:rPr>
              <w:t xml:space="preserve">felt that </w:t>
            </w:r>
            <w:r>
              <w:rPr>
                <w:color w:val="000000" w:themeColor="text1"/>
              </w:rPr>
              <w:t>deprivation d</w:t>
            </w:r>
            <w:r w:rsidR="00293A8F">
              <w:rPr>
                <w:color w:val="000000" w:themeColor="text1"/>
              </w:rPr>
              <w:t>rive</w:t>
            </w:r>
            <w:r w:rsidR="00097450">
              <w:rPr>
                <w:color w:val="000000" w:themeColor="text1"/>
              </w:rPr>
              <w:t>s</w:t>
            </w:r>
            <w:r w:rsidR="00293A8F">
              <w:rPr>
                <w:color w:val="000000" w:themeColor="text1"/>
              </w:rPr>
              <w:t xml:space="preserve"> the cost of services</w:t>
            </w:r>
            <w:r w:rsidR="00EF564B">
              <w:rPr>
                <w:color w:val="000000" w:themeColor="text1"/>
              </w:rPr>
              <w:t>, as well as demand</w:t>
            </w:r>
            <w:r w:rsidR="00293A8F">
              <w:rPr>
                <w:color w:val="000000" w:themeColor="text1"/>
              </w:rPr>
              <w:t xml:space="preserve">. He also made the link between high value assets and </w:t>
            </w:r>
            <w:r w:rsidR="00EF564B">
              <w:rPr>
                <w:color w:val="000000" w:themeColor="text1"/>
              </w:rPr>
              <w:t>wealth rather than low i</w:t>
            </w:r>
            <w:r w:rsidR="00293A8F">
              <w:rPr>
                <w:color w:val="000000" w:themeColor="text1"/>
              </w:rPr>
              <w:t>ncome</w:t>
            </w:r>
            <w:r w:rsidR="00EF564B">
              <w:rPr>
                <w:color w:val="000000" w:themeColor="text1"/>
              </w:rPr>
              <w:t>s</w:t>
            </w:r>
            <w:r w:rsidR="00337C6B">
              <w:rPr>
                <w:color w:val="000000" w:themeColor="text1"/>
              </w:rPr>
              <w:t>, and that a measure of deprivation should take account of potential high value assets as well as income</w:t>
            </w:r>
            <w:r w:rsidR="00EF564B">
              <w:rPr>
                <w:color w:val="000000" w:themeColor="text1"/>
              </w:rPr>
              <w:t xml:space="preserve">; </w:t>
            </w:r>
            <w:r w:rsidR="0051257A">
              <w:rPr>
                <w:color w:val="000000" w:themeColor="text1"/>
              </w:rPr>
              <w:t>for example</w:t>
            </w:r>
            <w:r w:rsidR="00293A8F">
              <w:rPr>
                <w:color w:val="000000" w:themeColor="text1"/>
              </w:rPr>
              <w:t xml:space="preserve"> in adult social care and stated that the effects are linked to the ACA. </w:t>
            </w:r>
            <w:r w:rsidR="00EF564B">
              <w:rPr>
                <w:color w:val="000000" w:themeColor="text1"/>
              </w:rPr>
              <w:t xml:space="preserve">Paul </w:t>
            </w:r>
            <w:r w:rsidR="00F32531">
              <w:rPr>
                <w:color w:val="000000" w:themeColor="text1"/>
              </w:rPr>
              <w:t xml:space="preserve">mentioned that there tended to be more bus use in deprived areas. </w:t>
            </w:r>
            <w:r w:rsidR="00293A8F">
              <w:rPr>
                <w:color w:val="000000" w:themeColor="text1"/>
              </w:rPr>
              <w:t xml:space="preserve">He asked whether it </w:t>
            </w:r>
            <w:r w:rsidR="00337C6B">
              <w:rPr>
                <w:color w:val="000000" w:themeColor="text1"/>
              </w:rPr>
              <w:t>was possible to have a look at the result</w:t>
            </w:r>
            <w:r w:rsidR="00293A8F">
              <w:rPr>
                <w:color w:val="000000" w:themeColor="text1"/>
              </w:rPr>
              <w:t xml:space="preserve"> </w:t>
            </w:r>
            <w:r w:rsidR="00EF564B">
              <w:rPr>
                <w:color w:val="000000" w:themeColor="text1"/>
              </w:rPr>
              <w:t>from the</w:t>
            </w:r>
            <w:r w:rsidR="00337C6B">
              <w:rPr>
                <w:color w:val="000000" w:themeColor="text1"/>
              </w:rPr>
              <w:t xml:space="preserve"> updated</w:t>
            </w:r>
            <w:r w:rsidR="00EF564B">
              <w:rPr>
                <w:color w:val="000000" w:themeColor="text1"/>
              </w:rPr>
              <w:t xml:space="preserve"> </w:t>
            </w:r>
            <w:r w:rsidR="00293A8F">
              <w:rPr>
                <w:color w:val="000000" w:themeColor="text1"/>
              </w:rPr>
              <w:t>IMD before they are published.</w:t>
            </w:r>
            <w:r w:rsidR="00EF564B">
              <w:rPr>
                <w:color w:val="000000" w:themeColor="text1"/>
              </w:rPr>
              <w:t xml:space="preserve"> DCLG confirmed that they would explore this possibility.</w:t>
            </w:r>
          </w:p>
          <w:p w14:paraId="1071D449" w14:textId="77777777" w:rsidR="00293A8F" w:rsidRPr="00293A8F" w:rsidRDefault="00293A8F" w:rsidP="00293A8F">
            <w:pPr>
              <w:pStyle w:val="ListParagraph"/>
              <w:rPr>
                <w:color w:val="000000" w:themeColor="text1"/>
              </w:rPr>
            </w:pPr>
          </w:p>
          <w:p w14:paraId="64486882" w14:textId="0DC18964" w:rsidR="00293A8F" w:rsidRPr="00F86609" w:rsidRDefault="00293A8F" w:rsidP="000B40D7">
            <w:pPr>
              <w:pStyle w:val="ListParagraph"/>
              <w:numPr>
                <w:ilvl w:val="1"/>
                <w:numId w:val="34"/>
              </w:numPr>
              <w:ind w:left="709" w:hanging="709"/>
              <w:rPr>
                <w:color w:val="000000" w:themeColor="text1"/>
              </w:rPr>
            </w:pPr>
            <w:r>
              <w:rPr>
                <w:color w:val="000000" w:themeColor="text1"/>
              </w:rPr>
              <w:t xml:space="preserve">DCLG responded that it was important to keep clarity on </w:t>
            </w:r>
            <w:r w:rsidR="00F32531">
              <w:rPr>
                <w:color w:val="000000" w:themeColor="text1"/>
              </w:rPr>
              <w:t>the separation of needs</w:t>
            </w:r>
            <w:r w:rsidR="00EF564B">
              <w:rPr>
                <w:color w:val="000000" w:themeColor="text1"/>
              </w:rPr>
              <w:t>, resources and transition withi</w:t>
            </w:r>
            <w:r w:rsidR="00F32531">
              <w:rPr>
                <w:color w:val="000000" w:themeColor="text1"/>
              </w:rPr>
              <w:t xml:space="preserve">n the </w:t>
            </w:r>
            <w:r w:rsidR="00EF564B">
              <w:rPr>
                <w:color w:val="000000" w:themeColor="text1"/>
              </w:rPr>
              <w:t>R</w:t>
            </w:r>
            <w:r w:rsidR="00F32531">
              <w:rPr>
                <w:color w:val="000000" w:themeColor="text1"/>
              </w:rPr>
              <w:t>eview</w:t>
            </w:r>
            <w:r w:rsidR="00EF564B">
              <w:rPr>
                <w:color w:val="000000" w:themeColor="text1"/>
              </w:rPr>
              <w:t xml:space="preserve"> for the sake of clarity and avoid accusations of </w:t>
            </w:r>
            <w:r>
              <w:rPr>
                <w:color w:val="000000" w:themeColor="text1"/>
              </w:rPr>
              <w:t>double</w:t>
            </w:r>
            <w:r w:rsidR="00EF564B">
              <w:rPr>
                <w:color w:val="000000" w:themeColor="text1"/>
              </w:rPr>
              <w:t>-</w:t>
            </w:r>
            <w:r>
              <w:rPr>
                <w:color w:val="000000" w:themeColor="text1"/>
              </w:rPr>
              <w:t>counting.</w:t>
            </w:r>
          </w:p>
          <w:p w14:paraId="4B800511" w14:textId="77777777" w:rsidR="0084637F" w:rsidRDefault="0084637F" w:rsidP="0084637F">
            <w:pPr>
              <w:pStyle w:val="ListParagraph"/>
              <w:ind w:left="360"/>
              <w:rPr>
                <w:b/>
                <w:color w:val="FF0000"/>
              </w:rPr>
            </w:pPr>
          </w:p>
          <w:p w14:paraId="4B926D83" w14:textId="54C08583" w:rsidR="0084637F" w:rsidRDefault="0084637F" w:rsidP="00682897">
            <w:pPr>
              <w:pStyle w:val="ListParagraph"/>
              <w:ind w:left="709"/>
              <w:rPr>
                <w:b/>
                <w:color w:val="FF0000"/>
              </w:rPr>
            </w:pPr>
            <w:r w:rsidRPr="000472AA">
              <w:rPr>
                <w:b/>
                <w:color w:val="FF0000"/>
              </w:rPr>
              <w:t xml:space="preserve">Action </w:t>
            </w:r>
            <w:r>
              <w:rPr>
                <w:b/>
                <w:color w:val="FF0000"/>
              </w:rPr>
              <w:t>5</w:t>
            </w:r>
            <w:r w:rsidRPr="000472AA">
              <w:rPr>
                <w:b/>
                <w:color w:val="FF0000"/>
              </w:rPr>
              <w:t>):</w:t>
            </w:r>
            <w:r>
              <w:rPr>
                <w:b/>
                <w:color w:val="FF0000"/>
              </w:rPr>
              <w:t xml:space="preserve"> </w:t>
            </w:r>
            <w:r w:rsidRPr="0084637F">
              <w:rPr>
                <w:b/>
                <w:color w:val="FF0000"/>
              </w:rPr>
              <w:t xml:space="preserve">Group members were asked to provide any further responses to the questions posed in the </w:t>
            </w:r>
            <w:r w:rsidR="00EF564B">
              <w:rPr>
                <w:b/>
                <w:color w:val="FF0000"/>
              </w:rPr>
              <w:t>d</w:t>
            </w:r>
            <w:r>
              <w:rPr>
                <w:b/>
                <w:color w:val="FF0000"/>
              </w:rPr>
              <w:t>eprivation p</w:t>
            </w:r>
            <w:r w:rsidRPr="0084637F">
              <w:rPr>
                <w:b/>
                <w:color w:val="FF0000"/>
              </w:rPr>
              <w:t>aper presented at the meeting.</w:t>
            </w:r>
          </w:p>
          <w:p w14:paraId="7A805AF2" w14:textId="77777777" w:rsidR="0084637F" w:rsidRPr="00A8755A" w:rsidRDefault="0084637F" w:rsidP="00A8755A">
            <w:pPr>
              <w:pStyle w:val="ListParagraph"/>
              <w:ind w:left="709"/>
              <w:rPr>
                <w:color w:val="000000" w:themeColor="text1"/>
              </w:rPr>
            </w:pPr>
          </w:p>
        </w:tc>
      </w:tr>
      <w:tr w:rsidR="005931CE" w:rsidRPr="00622256" w14:paraId="36E9119D" w14:textId="77777777" w:rsidTr="005931CE">
        <w:trPr>
          <w:trHeight w:val="745"/>
        </w:trPr>
        <w:tc>
          <w:tcPr>
            <w:tcW w:w="9996" w:type="dxa"/>
            <w:shd w:val="clear" w:color="auto" w:fill="D9D9D9" w:themeFill="background1" w:themeFillShade="D9"/>
            <w:vAlign w:val="center"/>
          </w:tcPr>
          <w:p w14:paraId="214388F0" w14:textId="0D03813F" w:rsidR="005931CE" w:rsidRPr="00622256" w:rsidRDefault="005931CE" w:rsidP="00A8755A">
            <w:pPr>
              <w:pStyle w:val="ListParagraph"/>
              <w:numPr>
                <w:ilvl w:val="0"/>
                <w:numId w:val="34"/>
              </w:numPr>
              <w:rPr>
                <w:color w:val="000000" w:themeColor="text1"/>
              </w:rPr>
            </w:pPr>
            <w:r w:rsidRPr="00622256">
              <w:rPr>
                <w:b/>
                <w:color w:val="000000" w:themeColor="text1"/>
              </w:rPr>
              <w:lastRenderedPageBreak/>
              <w:t>Any other business:</w:t>
            </w:r>
            <w:r w:rsidRPr="00622256">
              <w:rPr>
                <w:color w:val="000000" w:themeColor="text1"/>
              </w:rPr>
              <w:t xml:space="preserve"> </w:t>
            </w:r>
            <w:r w:rsidR="00A8755A">
              <w:rPr>
                <w:color w:val="000000" w:themeColor="text1"/>
              </w:rPr>
              <w:t>Aiva</w:t>
            </w:r>
            <w:r w:rsidRPr="00622256">
              <w:rPr>
                <w:color w:val="000000" w:themeColor="text1"/>
              </w:rPr>
              <w:t xml:space="preserve"> asked if there was any other business, comments or questions</w:t>
            </w:r>
          </w:p>
        </w:tc>
      </w:tr>
      <w:tr w:rsidR="005931CE" w:rsidRPr="00622256" w14:paraId="2B410615" w14:textId="77777777" w:rsidTr="00ED3DDF">
        <w:tc>
          <w:tcPr>
            <w:tcW w:w="9996" w:type="dxa"/>
          </w:tcPr>
          <w:p w14:paraId="018C323D" w14:textId="28F6BEB5" w:rsidR="005931CE" w:rsidRPr="00622256" w:rsidRDefault="00355300" w:rsidP="003743DC">
            <w:pPr>
              <w:pStyle w:val="ListParagraph"/>
              <w:numPr>
                <w:ilvl w:val="1"/>
                <w:numId w:val="34"/>
              </w:numPr>
              <w:ind w:left="720" w:hanging="720"/>
              <w:rPr>
                <w:color w:val="000000" w:themeColor="text1"/>
              </w:rPr>
            </w:pPr>
            <w:r>
              <w:rPr>
                <w:color w:val="000000" w:themeColor="text1"/>
              </w:rPr>
              <w:t>None</w:t>
            </w:r>
          </w:p>
          <w:p w14:paraId="3C97EBE2" w14:textId="77777777" w:rsidR="005931CE" w:rsidRPr="00622256" w:rsidRDefault="005931CE" w:rsidP="00ED3DDF">
            <w:pPr>
              <w:rPr>
                <w:color w:val="000000" w:themeColor="text1"/>
              </w:rPr>
            </w:pPr>
          </w:p>
        </w:tc>
      </w:tr>
    </w:tbl>
    <w:p w14:paraId="3F78775E" w14:textId="77777777" w:rsidR="00ED3DDF" w:rsidRDefault="00ED3DDF" w:rsidP="005931CE"/>
    <w:p w14:paraId="6A6A7584" w14:textId="77777777" w:rsidR="00EB1A23" w:rsidRDefault="00EB1A23" w:rsidP="005931CE"/>
    <w:p w14:paraId="4C81E53E" w14:textId="77777777" w:rsidR="007A24D2" w:rsidRDefault="007A24D2" w:rsidP="005931CE"/>
    <w:p w14:paraId="2E445BF5" w14:textId="77777777" w:rsidR="007A24D2" w:rsidRDefault="007A24D2" w:rsidP="005931CE"/>
    <w:p w14:paraId="0F889714" w14:textId="77777777" w:rsidR="007A24D2" w:rsidRDefault="007A24D2" w:rsidP="005931CE"/>
    <w:p w14:paraId="0618A247" w14:textId="77777777" w:rsidR="007A24D2" w:rsidRDefault="007A24D2" w:rsidP="005931CE"/>
    <w:p w14:paraId="7A162042" w14:textId="77777777" w:rsidR="007A24D2" w:rsidRDefault="007A24D2" w:rsidP="005931CE"/>
    <w:p w14:paraId="3DE07318" w14:textId="77777777" w:rsidR="007A24D2" w:rsidRDefault="007A24D2" w:rsidP="005931CE"/>
    <w:p w14:paraId="5A7304E0" w14:textId="77777777" w:rsidR="000A6A03" w:rsidRDefault="000A6A03" w:rsidP="005931CE"/>
    <w:p w14:paraId="66AC47F1" w14:textId="77777777" w:rsidR="007A24D2" w:rsidRDefault="007A24D2" w:rsidP="005931CE"/>
    <w:p w14:paraId="7A50DBCA" w14:textId="77777777" w:rsidR="007A24D2" w:rsidRDefault="007A24D2" w:rsidP="005931CE"/>
    <w:p w14:paraId="0B0CBC29" w14:textId="77777777" w:rsidR="007A24D2" w:rsidRDefault="007A24D2" w:rsidP="005931CE"/>
    <w:p w14:paraId="029B3A67" w14:textId="77777777" w:rsidR="007A24D2" w:rsidRDefault="007A24D2" w:rsidP="005931CE"/>
    <w:p w14:paraId="181C3C2A" w14:textId="77777777" w:rsidR="007A24D2" w:rsidRDefault="007A24D2" w:rsidP="005931CE"/>
    <w:p w14:paraId="0E3CDA53" w14:textId="77777777" w:rsidR="007A24D2" w:rsidRDefault="007A24D2" w:rsidP="005931CE"/>
    <w:p w14:paraId="5BDEBBCD" w14:textId="77777777" w:rsidR="00DC1DA1" w:rsidRDefault="00DC1DA1" w:rsidP="0036024F">
      <w:pPr>
        <w:rPr>
          <w:u w:val="single"/>
        </w:rPr>
      </w:pPr>
    </w:p>
    <w:p w14:paraId="0B2F7474" w14:textId="78CED7AA" w:rsidR="00DA302A" w:rsidRPr="00622256" w:rsidRDefault="00EF564B" w:rsidP="0036024F">
      <w:r>
        <w:rPr>
          <w:u w:val="single"/>
        </w:rPr>
        <w:lastRenderedPageBreak/>
        <w:t>A</w:t>
      </w:r>
      <w:r w:rsidR="00DA302A" w:rsidRPr="00622256">
        <w:rPr>
          <w:u w:val="single"/>
        </w:rPr>
        <w:t>nnex</w:t>
      </w:r>
      <w:r w:rsidR="00E97357" w:rsidRPr="00622256">
        <w:rPr>
          <w:u w:val="single"/>
        </w:rPr>
        <w:t>: Meeting attendees</w:t>
      </w:r>
    </w:p>
    <w:tbl>
      <w:tblPr>
        <w:tblStyle w:val="TableGrid"/>
        <w:tblW w:w="0" w:type="auto"/>
        <w:tblLook w:val="04A0" w:firstRow="1" w:lastRow="0" w:firstColumn="1" w:lastColumn="0" w:noHBand="0" w:noVBand="1"/>
      </w:tblPr>
      <w:tblGrid>
        <w:gridCol w:w="4786"/>
        <w:gridCol w:w="4253"/>
      </w:tblGrid>
      <w:tr w:rsidR="00E00C37" w:rsidRPr="00622256" w14:paraId="33B34DA0" w14:textId="77777777" w:rsidTr="008D4853">
        <w:trPr>
          <w:trHeight w:val="420"/>
          <w:tblHeader/>
        </w:trPr>
        <w:tc>
          <w:tcPr>
            <w:tcW w:w="4786" w:type="dxa"/>
            <w:shd w:val="clear" w:color="auto" w:fill="D9D9D9" w:themeFill="background1" w:themeFillShade="D9"/>
            <w:vAlign w:val="center"/>
          </w:tcPr>
          <w:p w14:paraId="1F797683" w14:textId="3252D460" w:rsidR="00E00C37" w:rsidRPr="00622256" w:rsidRDefault="00D812BE" w:rsidP="005B1B13">
            <w:pPr>
              <w:rPr>
                <w:b/>
              </w:rPr>
            </w:pPr>
            <w:r w:rsidRPr="00622256">
              <w:rPr>
                <w:b/>
              </w:rPr>
              <w:t>Attendee</w:t>
            </w:r>
            <w:r w:rsidR="00E00C37" w:rsidRPr="00622256">
              <w:rPr>
                <w:b/>
              </w:rPr>
              <w:t xml:space="preserve"> </w:t>
            </w:r>
          </w:p>
        </w:tc>
        <w:tc>
          <w:tcPr>
            <w:tcW w:w="4253" w:type="dxa"/>
            <w:shd w:val="clear" w:color="auto" w:fill="D9D9D9" w:themeFill="background1" w:themeFillShade="D9"/>
            <w:vAlign w:val="center"/>
          </w:tcPr>
          <w:p w14:paraId="11C45310" w14:textId="77777777" w:rsidR="00E00C37" w:rsidRPr="00622256" w:rsidRDefault="00E00C37" w:rsidP="005B1B13">
            <w:pPr>
              <w:rPr>
                <w:b/>
              </w:rPr>
            </w:pPr>
            <w:r w:rsidRPr="00622256">
              <w:rPr>
                <w:b/>
              </w:rPr>
              <w:t>Organisation</w:t>
            </w:r>
          </w:p>
        </w:tc>
      </w:tr>
      <w:tr w:rsidR="00337C6B" w:rsidRPr="00622256" w14:paraId="1CE22A4A" w14:textId="77777777" w:rsidTr="005B1B13">
        <w:tc>
          <w:tcPr>
            <w:tcW w:w="4786" w:type="dxa"/>
          </w:tcPr>
          <w:p w14:paraId="17D10A93" w14:textId="536DD493" w:rsidR="00337C6B" w:rsidRPr="005409FC" w:rsidRDefault="00337C6B" w:rsidP="00A8755A">
            <w:r w:rsidRPr="005409FC">
              <w:t xml:space="preserve">Aivaras </w:t>
            </w:r>
            <w:proofErr w:type="spellStart"/>
            <w:r w:rsidRPr="005409FC">
              <w:rPr>
                <w:bCs/>
              </w:rPr>
              <w:t>Statkevičius</w:t>
            </w:r>
            <w:proofErr w:type="spellEnd"/>
            <w:r w:rsidRPr="005409FC">
              <w:rPr>
                <w:bCs/>
              </w:rPr>
              <w:t xml:space="preserve"> </w:t>
            </w:r>
            <w:r w:rsidRPr="005409FC">
              <w:t>(Chair)</w:t>
            </w:r>
          </w:p>
        </w:tc>
        <w:tc>
          <w:tcPr>
            <w:tcW w:w="4253" w:type="dxa"/>
          </w:tcPr>
          <w:p w14:paraId="498F6352" w14:textId="3780F820" w:rsidR="00337C6B" w:rsidRPr="005409FC" w:rsidRDefault="00337C6B" w:rsidP="002C7B4E">
            <w:r w:rsidRPr="005409FC">
              <w:t>LGA</w:t>
            </w:r>
          </w:p>
        </w:tc>
      </w:tr>
      <w:tr w:rsidR="00337C6B" w:rsidRPr="00622256" w14:paraId="7079CEE9" w14:textId="77777777" w:rsidTr="005B1B13">
        <w:tc>
          <w:tcPr>
            <w:tcW w:w="4786" w:type="dxa"/>
          </w:tcPr>
          <w:p w14:paraId="038FF6B2" w14:textId="69BBAC9A" w:rsidR="00337C6B" w:rsidRPr="005409FC" w:rsidRDefault="00337C6B" w:rsidP="00A8755A">
            <w:r w:rsidRPr="005409FC">
              <w:t>Nicola Morton</w:t>
            </w:r>
          </w:p>
        </w:tc>
        <w:tc>
          <w:tcPr>
            <w:tcW w:w="4253" w:type="dxa"/>
          </w:tcPr>
          <w:p w14:paraId="44F7C628" w14:textId="5FD98D00" w:rsidR="00337C6B" w:rsidRPr="005409FC" w:rsidRDefault="00337C6B" w:rsidP="002C7B4E">
            <w:r w:rsidRPr="005409FC">
              <w:t>LGA</w:t>
            </w:r>
          </w:p>
        </w:tc>
      </w:tr>
      <w:tr w:rsidR="00337C6B" w:rsidRPr="00622256" w14:paraId="22F51124" w14:textId="77777777" w:rsidTr="005B1B13">
        <w:tc>
          <w:tcPr>
            <w:tcW w:w="4786" w:type="dxa"/>
          </w:tcPr>
          <w:p w14:paraId="00B5D18A" w14:textId="3D7FD3AD" w:rsidR="00337C6B" w:rsidRPr="005409FC" w:rsidRDefault="00337C6B" w:rsidP="00A8755A">
            <w:r w:rsidRPr="005409FC">
              <w:t xml:space="preserve">Stuart Hoggan </w:t>
            </w:r>
          </w:p>
        </w:tc>
        <w:tc>
          <w:tcPr>
            <w:tcW w:w="4253" w:type="dxa"/>
          </w:tcPr>
          <w:p w14:paraId="5A344983" w14:textId="77777777" w:rsidR="00337C6B" w:rsidRPr="005409FC" w:rsidRDefault="00337C6B" w:rsidP="002C7B4E">
            <w:r w:rsidRPr="005409FC">
              <w:t>DCLG</w:t>
            </w:r>
          </w:p>
        </w:tc>
      </w:tr>
      <w:tr w:rsidR="00337C6B" w:rsidRPr="00622256" w14:paraId="3785543D" w14:textId="77777777" w:rsidTr="005B1B13">
        <w:tc>
          <w:tcPr>
            <w:tcW w:w="4786" w:type="dxa"/>
          </w:tcPr>
          <w:p w14:paraId="2E9F5C42" w14:textId="77777777" w:rsidR="00337C6B" w:rsidRPr="005409FC" w:rsidRDefault="00337C6B" w:rsidP="002C7B4E">
            <w:r w:rsidRPr="005409FC">
              <w:t>Trefor Henman</w:t>
            </w:r>
          </w:p>
        </w:tc>
        <w:tc>
          <w:tcPr>
            <w:tcW w:w="4253" w:type="dxa"/>
          </w:tcPr>
          <w:p w14:paraId="32A32313" w14:textId="77777777" w:rsidR="00337C6B" w:rsidRPr="005409FC" w:rsidRDefault="00337C6B" w:rsidP="002C7B4E">
            <w:r w:rsidRPr="005409FC">
              <w:t>DCLG</w:t>
            </w:r>
          </w:p>
        </w:tc>
      </w:tr>
      <w:tr w:rsidR="00337C6B" w:rsidRPr="00622256" w14:paraId="0370D21F" w14:textId="77777777" w:rsidTr="005B1B13">
        <w:tc>
          <w:tcPr>
            <w:tcW w:w="4786" w:type="dxa"/>
          </w:tcPr>
          <w:p w14:paraId="10FD74D1" w14:textId="5E52EB76" w:rsidR="00337C6B" w:rsidRPr="005409FC" w:rsidRDefault="00337C6B" w:rsidP="002C7B4E">
            <w:r w:rsidRPr="005409FC">
              <w:t>Henry Ogden</w:t>
            </w:r>
          </w:p>
        </w:tc>
        <w:tc>
          <w:tcPr>
            <w:tcW w:w="4253" w:type="dxa"/>
          </w:tcPr>
          <w:p w14:paraId="6677226E" w14:textId="77777777" w:rsidR="00337C6B" w:rsidRPr="005409FC" w:rsidRDefault="00337C6B" w:rsidP="002C7B4E">
            <w:r w:rsidRPr="005409FC">
              <w:t>DCLG</w:t>
            </w:r>
          </w:p>
        </w:tc>
      </w:tr>
      <w:tr w:rsidR="00337C6B" w:rsidRPr="00622256" w14:paraId="59374F78" w14:textId="77777777" w:rsidTr="005B1B13">
        <w:tc>
          <w:tcPr>
            <w:tcW w:w="4786" w:type="dxa"/>
          </w:tcPr>
          <w:p w14:paraId="1A39A1EA" w14:textId="77777777" w:rsidR="00337C6B" w:rsidRPr="005409FC" w:rsidRDefault="00337C6B" w:rsidP="002C7B4E">
            <w:r w:rsidRPr="005409FC">
              <w:t>Emily Gascoigne</w:t>
            </w:r>
          </w:p>
        </w:tc>
        <w:tc>
          <w:tcPr>
            <w:tcW w:w="4253" w:type="dxa"/>
          </w:tcPr>
          <w:p w14:paraId="30055FC2" w14:textId="77777777" w:rsidR="00337C6B" w:rsidRPr="005409FC" w:rsidRDefault="00337C6B" w:rsidP="002C7B4E">
            <w:r w:rsidRPr="005409FC">
              <w:t>DCLG</w:t>
            </w:r>
          </w:p>
        </w:tc>
      </w:tr>
      <w:tr w:rsidR="00337C6B" w:rsidRPr="00622256" w14:paraId="754B8A01" w14:textId="77777777" w:rsidTr="005B1B13">
        <w:tc>
          <w:tcPr>
            <w:tcW w:w="4786" w:type="dxa"/>
          </w:tcPr>
          <w:p w14:paraId="39F09F10" w14:textId="77777777" w:rsidR="00337C6B" w:rsidRPr="005409FC" w:rsidRDefault="00337C6B" w:rsidP="002C7B4E">
            <w:r w:rsidRPr="005409FC">
              <w:t>Stephen Smith</w:t>
            </w:r>
          </w:p>
        </w:tc>
        <w:tc>
          <w:tcPr>
            <w:tcW w:w="4253" w:type="dxa"/>
          </w:tcPr>
          <w:p w14:paraId="5F12F4F0" w14:textId="77777777" w:rsidR="00337C6B" w:rsidRPr="005409FC" w:rsidRDefault="00337C6B" w:rsidP="002C7B4E">
            <w:r w:rsidRPr="005409FC">
              <w:t>DCLG</w:t>
            </w:r>
          </w:p>
        </w:tc>
      </w:tr>
      <w:tr w:rsidR="00337C6B" w:rsidRPr="00622256" w14:paraId="7850B595" w14:textId="77777777" w:rsidTr="005B1B13">
        <w:tc>
          <w:tcPr>
            <w:tcW w:w="4786" w:type="dxa"/>
          </w:tcPr>
          <w:p w14:paraId="6DFA3B00" w14:textId="77777777" w:rsidR="00337C6B" w:rsidRPr="005409FC" w:rsidRDefault="00337C6B" w:rsidP="002C7B4E">
            <w:r w:rsidRPr="005409FC">
              <w:t>Duncan Cook</w:t>
            </w:r>
          </w:p>
        </w:tc>
        <w:tc>
          <w:tcPr>
            <w:tcW w:w="4253" w:type="dxa"/>
          </w:tcPr>
          <w:p w14:paraId="33B66BC2" w14:textId="77777777" w:rsidR="00337C6B" w:rsidRPr="005409FC" w:rsidRDefault="00337C6B" w:rsidP="002C7B4E">
            <w:r w:rsidRPr="005409FC">
              <w:t>DCLG</w:t>
            </w:r>
          </w:p>
        </w:tc>
      </w:tr>
      <w:tr w:rsidR="00337C6B" w:rsidRPr="00622256" w14:paraId="71E8A161" w14:textId="77777777" w:rsidTr="005B1B13">
        <w:tc>
          <w:tcPr>
            <w:tcW w:w="4786" w:type="dxa"/>
          </w:tcPr>
          <w:p w14:paraId="4B53199A" w14:textId="77777777" w:rsidR="00337C6B" w:rsidRPr="005409FC" w:rsidRDefault="00337C6B" w:rsidP="002C7B4E">
            <w:r w:rsidRPr="005409FC">
              <w:t>Matthew Mitchell</w:t>
            </w:r>
          </w:p>
        </w:tc>
        <w:tc>
          <w:tcPr>
            <w:tcW w:w="4253" w:type="dxa"/>
          </w:tcPr>
          <w:p w14:paraId="4E0A082E" w14:textId="77777777" w:rsidR="00337C6B" w:rsidRPr="005409FC" w:rsidRDefault="00337C6B" w:rsidP="002C7B4E">
            <w:r w:rsidRPr="005409FC">
              <w:t>DCLG</w:t>
            </w:r>
          </w:p>
        </w:tc>
      </w:tr>
      <w:tr w:rsidR="00337C6B" w:rsidRPr="00622256" w14:paraId="4CB026C6" w14:textId="77777777" w:rsidTr="005B1B13">
        <w:tc>
          <w:tcPr>
            <w:tcW w:w="4786" w:type="dxa"/>
          </w:tcPr>
          <w:p w14:paraId="2A79300F" w14:textId="33C46E58" w:rsidR="00337C6B" w:rsidRPr="005409FC" w:rsidRDefault="00337C6B" w:rsidP="002C7B4E">
            <w:r w:rsidRPr="005409FC">
              <w:t>Helen Lucas</w:t>
            </w:r>
          </w:p>
        </w:tc>
        <w:tc>
          <w:tcPr>
            <w:tcW w:w="4253" w:type="dxa"/>
          </w:tcPr>
          <w:p w14:paraId="06357AAE" w14:textId="11C9EB48" w:rsidR="00337C6B" w:rsidRPr="005409FC" w:rsidRDefault="00337C6B" w:rsidP="002C7B4E">
            <w:r w:rsidRPr="005409FC">
              <w:t>DCLG</w:t>
            </w:r>
          </w:p>
        </w:tc>
      </w:tr>
      <w:tr w:rsidR="00337C6B" w:rsidRPr="00622256" w14:paraId="513D326D" w14:textId="77777777" w:rsidTr="005B1B13">
        <w:tc>
          <w:tcPr>
            <w:tcW w:w="4786" w:type="dxa"/>
          </w:tcPr>
          <w:p w14:paraId="6E021D28" w14:textId="0A53DD4F" w:rsidR="00337C6B" w:rsidRPr="005409FC" w:rsidRDefault="00337C6B" w:rsidP="002C7B4E">
            <w:r w:rsidRPr="005409FC">
              <w:t>Callum Ward</w:t>
            </w:r>
          </w:p>
        </w:tc>
        <w:tc>
          <w:tcPr>
            <w:tcW w:w="4253" w:type="dxa"/>
          </w:tcPr>
          <w:p w14:paraId="62256FC1" w14:textId="4E5DE35C" w:rsidR="00337C6B" w:rsidRPr="005409FC" w:rsidRDefault="00337C6B" w:rsidP="002C7B4E">
            <w:r w:rsidRPr="005409FC">
              <w:t>DCLG</w:t>
            </w:r>
          </w:p>
        </w:tc>
      </w:tr>
      <w:tr w:rsidR="00337C6B" w:rsidRPr="00622256" w14:paraId="609E6DC0" w14:textId="77777777" w:rsidTr="005B1B13">
        <w:tc>
          <w:tcPr>
            <w:tcW w:w="4786" w:type="dxa"/>
          </w:tcPr>
          <w:p w14:paraId="1D782F48" w14:textId="38E55570" w:rsidR="00337C6B" w:rsidRPr="005409FC" w:rsidRDefault="00337C6B" w:rsidP="002C7B4E">
            <w:r w:rsidRPr="005409FC">
              <w:t>Josh Phillips</w:t>
            </w:r>
          </w:p>
        </w:tc>
        <w:tc>
          <w:tcPr>
            <w:tcW w:w="4253" w:type="dxa"/>
          </w:tcPr>
          <w:p w14:paraId="26BAA025" w14:textId="510B78BC" w:rsidR="00337C6B" w:rsidRPr="005409FC" w:rsidRDefault="00337C6B" w:rsidP="002C7B4E">
            <w:r w:rsidRPr="005409FC">
              <w:t>DCLG</w:t>
            </w:r>
          </w:p>
        </w:tc>
      </w:tr>
      <w:tr w:rsidR="00337C6B" w:rsidRPr="00622256" w14:paraId="1027E8BB" w14:textId="77777777" w:rsidTr="005B1B13">
        <w:tc>
          <w:tcPr>
            <w:tcW w:w="4786" w:type="dxa"/>
          </w:tcPr>
          <w:p w14:paraId="2F53603E" w14:textId="6673417C" w:rsidR="00337C6B" w:rsidRPr="005409FC" w:rsidRDefault="00337C6B" w:rsidP="002C7B4E">
            <w:r w:rsidRPr="005409FC">
              <w:t xml:space="preserve">Nick </w:t>
            </w:r>
            <w:proofErr w:type="spellStart"/>
            <w:r w:rsidRPr="005409FC">
              <w:t>Everleigh</w:t>
            </w:r>
            <w:proofErr w:type="spellEnd"/>
          </w:p>
        </w:tc>
        <w:tc>
          <w:tcPr>
            <w:tcW w:w="4253" w:type="dxa"/>
          </w:tcPr>
          <w:p w14:paraId="2C9FF933" w14:textId="6EA42489" w:rsidR="00337C6B" w:rsidRPr="005409FC" w:rsidRDefault="00337C6B" w:rsidP="002C7B4E">
            <w:r w:rsidRPr="005409FC">
              <w:t>SDCT</w:t>
            </w:r>
          </w:p>
        </w:tc>
      </w:tr>
      <w:tr w:rsidR="00337C6B" w:rsidRPr="00622256" w14:paraId="073BEFA6" w14:textId="77777777" w:rsidTr="005B1B13">
        <w:tc>
          <w:tcPr>
            <w:tcW w:w="4786" w:type="dxa"/>
          </w:tcPr>
          <w:p w14:paraId="6618012F" w14:textId="5DE3C081" w:rsidR="00337C6B" w:rsidRPr="005409FC" w:rsidRDefault="00337C6B" w:rsidP="00FE7603">
            <w:r w:rsidRPr="005409FC">
              <w:t>Nikki Bishop (Phone)</w:t>
            </w:r>
          </w:p>
        </w:tc>
        <w:tc>
          <w:tcPr>
            <w:tcW w:w="4253" w:type="dxa"/>
          </w:tcPr>
          <w:p w14:paraId="41F24B34" w14:textId="6A855A83" w:rsidR="00337C6B" w:rsidRPr="005409FC" w:rsidRDefault="00337C6B" w:rsidP="002C7B4E">
            <w:r w:rsidRPr="005409FC">
              <w:t>SMT</w:t>
            </w:r>
          </w:p>
        </w:tc>
      </w:tr>
      <w:tr w:rsidR="00337C6B" w:rsidRPr="00622256" w14:paraId="47C9967E" w14:textId="77777777" w:rsidTr="005B1B13">
        <w:tc>
          <w:tcPr>
            <w:tcW w:w="4786" w:type="dxa"/>
          </w:tcPr>
          <w:p w14:paraId="21655A0B" w14:textId="03946000" w:rsidR="00337C6B" w:rsidRPr="005409FC" w:rsidRDefault="00337C6B" w:rsidP="002C7B4E">
            <w:r w:rsidRPr="005409FC">
              <w:t>Chris Tambini</w:t>
            </w:r>
          </w:p>
        </w:tc>
        <w:tc>
          <w:tcPr>
            <w:tcW w:w="4253" w:type="dxa"/>
          </w:tcPr>
          <w:p w14:paraId="483C2E50" w14:textId="6E338337" w:rsidR="00337C6B" w:rsidRPr="005409FC" w:rsidRDefault="00337C6B" w:rsidP="002C7B4E">
            <w:r w:rsidRPr="005409FC">
              <w:t>SCT</w:t>
            </w:r>
          </w:p>
        </w:tc>
      </w:tr>
      <w:tr w:rsidR="00337C6B" w:rsidRPr="00622256" w14:paraId="1EF2AE75" w14:textId="77777777" w:rsidTr="005B1B13">
        <w:tc>
          <w:tcPr>
            <w:tcW w:w="4786" w:type="dxa"/>
          </w:tcPr>
          <w:p w14:paraId="424750DA" w14:textId="4A0B3400" w:rsidR="00337C6B" w:rsidRPr="005409FC" w:rsidRDefault="00337C6B" w:rsidP="002C7B4E">
            <w:r w:rsidRPr="005409FC">
              <w:t xml:space="preserve">Alan Cross </w:t>
            </w:r>
          </w:p>
        </w:tc>
        <w:tc>
          <w:tcPr>
            <w:tcW w:w="4253" w:type="dxa"/>
          </w:tcPr>
          <w:p w14:paraId="44F5A61E" w14:textId="5502EE6C" w:rsidR="00337C6B" w:rsidRPr="005409FC" w:rsidRDefault="00337C6B" w:rsidP="002C7B4E">
            <w:r w:rsidRPr="005409FC">
              <w:t>SUT</w:t>
            </w:r>
          </w:p>
        </w:tc>
      </w:tr>
      <w:tr w:rsidR="00337C6B" w:rsidRPr="00622256" w14:paraId="4FBE8E11" w14:textId="77777777" w:rsidTr="005B1B13">
        <w:tc>
          <w:tcPr>
            <w:tcW w:w="4786" w:type="dxa"/>
          </w:tcPr>
          <w:p w14:paraId="1B9F3B0A" w14:textId="6C471386" w:rsidR="00337C6B" w:rsidRPr="005409FC" w:rsidRDefault="00337C6B" w:rsidP="002C7B4E">
            <w:r w:rsidRPr="005409FC">
              <w:t>Dan Bates</w:t>
            </w:r>
          </w:p>
        </w:tc>
        <w:tc>
          <w:tcPr>
            <w:tcW w:w="4253" w:type="dxa"/>
          </w:tcPr>
          <w:p w14:paraId="46A8AB40" w14:textId="77777777" w:rsidR="00337C6B" w:rsidRPr="005409FC" w:rsidRDefault="00337C6B" w:rsidP="002C7B4E">
            <w:r w:rsidRPr="005409FC">
              <w:t>RSN</w:t>
            </w:r>
          </w:p>
        </w:tc>
      </w:tr>
      <w:tr w:rsidR="00337C6B" w:rsidRPr="00622256" w14:paraId="12B39F07" w14:textId="77777777" w:rsidTr="005B1B13">
        <w:tc>
          <w:tcPr>
            <w:tcW w:w="4786" w:type="dxa"/>
          </w:tcPr>
          <w:p w14:paraId="7C1410E1" w14:textId="3ED8BBF1" w:rsidR="00337C6B" w:rsidRPr="005409FC" w:rsidRDefault="00337C6B" w:rsidP="002C7B4E">
            <w:r w:rsidRPr="005409FC">
              <w:t>Geoff Winterbottom</w:t>
            </w:r>
          </w:p>
        </w:tc>
        <w:tc>
          <w:tcPr>
            <w:tcW w:w="4253" w:type="dxa"/>
          </w:tcPr>
          <w:p w14:paraId="28D872AA" w14:textId="1BAED499" w:rsidR="00337C6B" w:rsidRPr="005409FC" w:rsidRDefault="00337C6B" w:rsidP="002C7B4E">
            <w:r w:rsidRPr="005409FC">
              <w:t>SIGOMA</w:t>
            </w:r>
          </w:p>
        </w:tc>
      </w:tr>
      <w:tr w:rsidR="00337C6B" w:rsidRPr="00622256" w14:paraId="43608E93" w14:textId="77777777" w:rsidTr="005B1B13">
        <w:tc>
          <w:tcPr>
            <w:tcW w:w="4786" w:type="dxa"/>
          </w:tcPr>
          <w:p w14:paraId="5C5CF785" w14:textId="546EEDAF" w:rsidR="00337C6B" w:rsidRPr="00D63F86" w:rsidRDefault="00337C6B" w:rsidP="002C7B4E">
            <w:r w:rsidRPr="00D63F86">
              <w:t xml:space="preserve">Paul </w:t>
            </w:r>
            <w:proofErr w:type="spellStart"/>
            <w:r w:rsidRPr="00D63F86">
              <w:t>Honeyben</w:t>
            </w:r>
            <w:proofErr w:type="spellEnd"/>
          </w:p>
        </w:tc>
        <w:tc>
          <w:tcPr>
            <w:tcW w:w="4253" w:type="dxa"/>
          </w:tcPr>
          <w:p w14:paraId="75907EE2" w14:textId="3EA1454A" w:rsidR="00337C6B" w:rsidRPr="00D63F86" w:rsidRDefault="00337C6B" w:rsidP="002C7B4E">
            <w:r w:rsidRPr="00D63F86">
              <w:t>London Councils</w:t>
            </w:r>
          </w:p>
        </w:tc>
      </w:tr>
      <w:tr w:rsidR="00337C6B" w:rsidRPr="00622256" w14:paraId="171622B2" w14:textId="77777777" w:rsidTr="005B1B13">
        <w:tc>
          <w:tcPr>
            <w:tcW w:w="4786" w:type="dxa"/>
          </w:tcPr>
          <w:p w14:paraId="4BE49642" w14:textId="77777777" w:rsidR="00337C6B" w:rsidRPr="00DD57F8" w:rsidRDefault="00337C6B" w:rsidP="002C7B4E">
            <w:bookmarkStart w:id="0" w:name="_GoBack"/>
            <w:bookmarkEnd w:id="0"/>
            <w:r w:rsidRPr="00DD57F8">
              <w:t>Carla-Maria Heath</w:t>
            </w:r>
          </w:p>
        </w:tc>
        <w:tc>
          <w:tcPr>
            <w:tcW w:w="4253" w:type="dxa"/>
          </w:tcPr>
          <w:p w14:paraId="1B654509" w14:textId="77777777" w:rsidR="00337C6B" w:rsidRPr="00DD57F8" w:rsidRDefault="00337C6B" w:rsidP="002C7B4E">
            <w:r w:rsidRPr="00DD57F8">
              <w:t>IRRV</w:t>
            </w:r>
          </w:p>
        </w:tc>
      </w:tr>
      <w:tr w:rsidR="00337C6B" w:rsidRPr="00622256" w14:paraId="62F2B5B6" w14:textId="77777777" w:rsidTr="005B1B13">
        <w:tc>
          <w:tcPr>
            <w:tcW w:w="4786" w:type="dxa"/>
          </w:tcPr>
          <w:p w14:paraId="473DB186" w14:textId="1130DB6D" w:rsidR="00337C6B" w:rsidRPr="00177774" w:rsidRDefault="00337C6B" w:rsidP="002C7B4E">
            <w:pPr>
              <w:rPr>
                <w:highlight w:val="yellow"/>
              </w:rPr>
            </w:pPr>
            <w:r w:rsidRPr="00DD57F8">
              <w:t>Chris Rae</w:t>
            </w:r>
          </w:p>
        </w:tc>
        <w:tc>
          <w:tcPr>
            <w:tcW w:w="4253" w:type="dxa"/>
          </w:tcPr>
          <w:p w14:paraId="24D037A0" w14:textId="77777777" w:rsidR="00337C6B" w:rsidRPr="00177774" w:rsidRDefault="00337C6B" w:rsidP="002C7B4E">
            <w:pPr>
              <w:rPr>
                <w:highlight w:val="yellow"/>
              </w:rPr>
            </w:pPr>
            <w:r w:rsidRPr="00DD57F8">
              <w:t>SCT Analysis Unit</w:t>
            </w:r>
          </w:p>
        </w:tc>
      </w:tr>
      <w:tr w:rsidR="00337C6B" w:rsidRPr="00622256" w14:paraId="48BBAA18" w14:textId="77777777" w:rsidTr="005B1B13">
        <w:tc>
          <w:tcPr>
            <w:tcW w:w="4786" w:type="dxa"/>
          </w:tcPr>
          <w:p w14:paraId="1431F6FD" w14:textId="77777777" w:rsidR="00337C6B" w:rsidRPr="005409FC" w:rsidRDefault="00337C6B" w:rsidP="002C7B4E">
            <w:r w:rsidRPr="005409FC">
              <w:t>David Northey</w:t>
            </w:r>
          </w:p>
        </w:tc>
        <w:tc>
          <w:tcPr>
            <w:tcW w:w="4253" w:type="dxa"/>
          </w:tcPr>
          <w:p w14:paraId="5BDD02A7" w14:textId="77777777" w:rsidR="00337C6B" w:rsidRPr="005409FC" w:rsidRDefault="00337C6B" w:rsidP="002C7B4E">
            <w:r w:rsidRPr="005409FC">
              <w:t>South West</w:t>
            </w:r>
          </w:p>
        </w:tc>
      </w:tr>
      <w:tr w:rsidR="00337C6B" w:rsidRPr="00622256" w14:paraId="71B3FA50" w14:textId="77777777" w:rsidTr="005B1B13">
        <w:tc>
          <w:tcPr>
            <w:tcW w:w="4786" w:type="dxa"/>
          </w:tcPr>
          <w:p w14:paraId="627923FF" w14:textId="14D4511B" w:rsidR="00337C6B" w:rsidRPr="005409FC" w:rsidRDefault="00337C6B" w:rsidP="002C7B4E">
            <w:r w:rsidRPr="005409FC">
              <w:t>Paul Woods (Phone)</w:t>
            </w:r>
          </w:p>
        </w:tc>
        <w:tc>
          <w:tcPr>
            <w:tcW w:w="4253" w:type="dxa"/>
          </w:tcPr>
          <w:p w14:paraId="5C66E033" w14:textId="77777777" w:rsidR="00337C6B" w:rsidRPr="005409FC" w:rsidRDefault="00337C6B" w:rsidP="002C7B4E">
            <w:r w:rsidRPr="005409FC">
              <w:t>North East CA</w:t>
            </w:r>
          </w:p>
        </w:tc>
      </w:tr>
      <w:tr w:rsidR="00337C6B" w:rsidRPr="00622256" w14:paraId="35C2F068" w14:textId="77777777" w:rsidTr="005B1B13">
        <w:tc>
          <w:tcPr>
            <w:tcW w:w="4786" w:type="dxa"/>
          </w:tcPr>
          <w:p w14:paraId="3404E1F8" w14:textId="4F0A1452" w:rsidR="00337C6B" w:rsidRPr="005409FC" w:rsidRDefault="00337C6B" w:rsidP="00525C8C">
            <w:r w:rsidRPr="005409FC">
              <w:t xml:space="preserve">Adrian Blaylock </w:t>
            </w:r>
          </w:p>
        </w:tc>
        <w:tc>
          <w:tcPr>
            <w:tcW w:w="4253" w:type="dxa"/>
          </w:tcPr>
          <w:p w14:paraId="3A5DA655" w14:textId="0CB64AF3" w:rsidR="00337C6B" w:rsidRPr="005409FC" w:rsidRDefault="00337C6B" w:rsidP="00CA3A87">
            <w:r w:rsidRPr="005409FC">
              <w:t>CIPFA</w:t>
            </w:r>
          </w:p>
        </w:tc>
      </w:tr>
      <w:tr w:rsidR="00337C6B" w:rsidRPr="00622256" w14:paraId="5B2A4933" w14:textId="77777777" w:rsidTr="005B1B13">
        <w:tc>
          <w:tcPr>
            <w:tcW w:w="4786" w:type="dxa"/>
          </w:tcPr>
          <w:p w14:paraId="42D6DBB3" w14:textId="00470B76" w:rsidR="00337C6B" w:rsidRPr="005409FC" w:rsidRDefault="00337C6B" w:rsidP="00525C8C">
            <w:r w:rsidRPr="005409FC">
              <w:t>Adrian Jenkins</w:t>
            </w:r>
          </w:p>
        </w:tc>
        <w:tc>
          <w:tcPr>
            <w:tcW w:w="4253" w:type="dxa"/>
          </w:tcPr>
          <w:p w14:paraId="47B7399E" w14:textId="47877578" w:rsidR="00337C6B" w:rsidRPr="005409FC" w:rsidRDefault="00337C6B" w:rsidP="00CA3A87">
            <w:r w:rsidRPr="005409FC">
              <w:t>Pixel</w:t>
            </w:r>
            <w:r>
              <w:t xml:space="preserve"> Financial Management</w:t>
            </w:r>
          </w:p>
        </w:tc>
      </w:tr>
    </w:tbl>
    <w:p w14:paraId="53B2F7F3" w14:textId="77777777" w:rsidR="00E00C37" w:rsidRPr="00622256" w:rsidRDefault="00E00C37">
      <w:pPr>
        <w:rPr>
          <w:color w:val="FF0000"/>
        </w:rPr>
      </w:pPr>
    </w:p>
    <w:sectPr w:rsidR="00E00C37" w:rsidRPr="00622256" w:rsidSect="005B1B13">
      <w:headerReference w:type="even" r:id="rId12"/>
      <w:headerReference w:type="default" r:id="rId13"/>
      <w:footerReference w:type="even" r:id="rId14"/>
      <w:footerReference w:type="default" r:id="rId15"/>
      <w:headerReference w:type="first" r:id="rId16"/>
      <w:footerReference w:type="first" r:id="rId17"/>
      <w:pgSz w:w="11906" w:h="16838"/>
      <w:pgMar w:top="568" w:right="1133"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17FDA" w14:textId="77777777" w:rsidR="002C7B4E" w:rsidRDefault="002C7B4E" w:rsidP="00056850">
      <w:pPr>
        <w:spacing w:after="0" w:line="240" w:lineRule="auto"/>
      </w:pPr>
      <w:r>
        <w:separator/>
      </w:r>
    </w:p>
  </w:endnote>
  <w:endnote w:type="continuationSeparator" w:id="0">
    <w:p w14:paraId="4CC5AB11" w14:textId="77777777" w:rsidR="002C7B4E" w:rsidRDefault="002C7B4E" w:rsidP="0005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DDA51" w14:textId="77777777" w:rsidR="002C7B4E" w:rsidRDefault="002C7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289083"/>
      <w:docPartObj>
        <w:docPartGallery w:val="Page Numbers (Bottom of Page)"/>
        <w:docPartUnique/>
      </w:docPartObj>
    </w:sdtPr>
    <w:sdtEndPr>
      <w:rPr>
        <w:noProof/>
      </w:rPr>
    </w:sdtEndPr>
    <w:sdtContent>
      <w:p w14:paraId="3B276E3B" w14:textId="4AC31618" w:rsidR="002C7B4E" w:rsidRDefault="002C7B4E">
        <w:pPr>
          <w:pStyle w:val="Footer"/>
          <w:jc w:val="center"/>
        </w:pPr>
        <w:r>
          <w:fldChar w:fldCharType="begin"/>
        </w:r>
        <w:r>
          <w:instrText xml:space="preserve"> PAGE   \* MERGEFORMAT </w:instrText>
        </w:r>
        <w:r>
          <w:fldChar w:fldCharType="separate"/>
        </w:r>
        <w:r w:rsidR="001C6D12">
          <w:rPr>
            <w:noProof/>
          </w:rPr>
          <w:t>6</w:t>
        </w:r>
        <w:r>
          <w:rPr>
            <w:noProof/>
          </w:rPr>
          <w:fldChar w:fldCharType="end"/>
        </w:r>
      </w:p>
    </w:sdtContent>
  </w:sdt>
  <w:p w14:paraId="16FF2ABE" w14:textId="77777777" w:rsidR="002C7B4E" w:rsidRDefault="002C7B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7BC4" w14:textId="77777777" w:rsidR="002C7B4E" w:rsidRDefault="002C7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932F9" w14:textId="77777777" w:rsidR="002C7B4E" w:rsidRDefault="002C7B4E" w:rsidP="00056850">
      <w:pPr>
        <w:spacing w:after="0" w:line="240" w:lineRule="auto"/>
      </w:pPr>
      <w:r>
        <w:separator/>
      </w:r>
    </w:p>
  </w:footnote>
  <w:footnote w:type="continuationSeparator" w:id="0">
    <w:p w14:paraId="4D3635B7" w14:textId="77777777" w:rsidR="002C7B4E" w:rsidRDefault="002C7B4E" w:rsidP="00056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50E19" w14:textId="77777777" w:rsidR="002C7B4E" w:rsidRDefault="002C7B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54549" w14:textId="77777777" w:rsidR="002C7B4E" w:rsidRDefault="002C7B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E9D22" w14:textId="77777777" w:rsidR="002C7B4E" w:rsidRDefault="002C7B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F33"/>
    <w:multiLevelType w:val="hybridMultilevel"/>
    <w:tmpl w:val="93E2A878"/>
    <w:lvl w:ilvl="0" w:tplc="F08CB078">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92F065A"/>
    <w:multiLevelType w:val="hybridMultilevel"/>
    <w:tmpl w:val="A24260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C3D320B"/>
    <w:multiLevelType w:val="multilevel"/>
    <w:tmpl w:val="08090025"/>
    <w:lvl w:ilvl="0">
      <w:start w:val="1"/>
      <w:numFmt w:val="decimal"/>
      <w:pStyle w:val="Heading1"/>
      <w:lvlText w:val="%1"/>
      <w:lvlJc w:val="left"/>
      <w:pPr>
        <w:ind w:left="863" w:hanging="432"/>
      </w:pPr>
    </w:lvl>
    <w:lvl w:ilvl="1">
      <w:start w:val="1"/>
      <w:numFmt w:val="decimal"/>
      <w:pStyle w:val="Heading2"/>
      <w:lvlText w:val="%1.%2"/>
      <w:lvlJc w:val="left"/>
      <w:pPr>
        <w:ind w:left="1007" w:hanging="576"/>
      </w:pPr>
    </w:lvl>
    <w:lvl w:ilvl="2">
      <w:start w:val="1"/>
      <w:numFmt w:val="decimal"/>
      <w:pStyle w:val="Heading3"/>
      <w:lvlText w:val="%1.%2.%3"/>
      <w:lvlJc w:val="left"/>
      <w:pPr>
        <w:ind w:left="1151" w:hanging="720"/>
      </w:pPr>
    </w:lvl>
    <w:lvl w:ilvl="3">
      <w:start w:val="1"/>
      <w:numFmt w:val="decimal"/>
      <w:pStyle w:val="Heading4"/>
      <w:lvlText w:val="%1.%2.%3.%4"/>
      <w:lvlJc w:val="left"/>
      <w:pPr>
        <w:ind w:left="1295" w:hanging="864"/>
      </w:pPr>
    </w:lvl>
    <w:lvl w:ilvl="4">
      <w:start w:val="1"/>
      <w:numFmt w:val="decimal"/>
      <w:pStyle w:val="Heading5"/>
      <w:lvlText w:val="%1.%2.%3.%4.%5"/>
      <w:lvlJc w:val="left"/>
      <w:pPr>
        <w:ind w:left="1439" w:hanging="1008"/>
      </w:pPr>
    </w:lvl>
    <w:lvl w:ilvl="5">
      <w:start w:val="1"/>
      <w:numFmt w:val="decimal"/>
      <w:pStyle w:val="Heading6"/>
      <w:lvlText w:val="%1.%2.%3.%4.%5.%6"/>
      <w:lvlJc w:val="left"/>
      <w:pPr>
        <w:ind w:left="1583" w:hanging="1152"/>
      </w:pPr>
    </w:lvl>
    <w:lvl w:ilvl="6">
      <w:start w:val="1"/>
      <w:numFmt w:val="decimal"/>
      <w:pStyle w:val="Heading7"/>
      <w:lvlText w:val="%1.%2.%3.%4.%5.%6.%7"/>
      <w:lvlJc w:val="left"/>
      <w:pPr>
        <w:ind w:left="1727" w:hanging="1296"/>
      </w:pPr>
    </w:lvl>
    <w:lvl w:ilvl="7">
      <w:start w:val="1"/>
      <w:numFmt w:val="decimal"/>
      <w:pStyle w:val="Heading8"/>
      <w:lvlText w:val="%1.%2.%3.%4.%5.%6.%7.%8"/>
      <w:lvlJc w:val="left"/>
      <w:pPr>
        <w:ind w:left="1871" w:hanging="1440"/>
      </w:pPr>
    </w:lvl>
    <w:lvl w:ilvl="8">
      <w:start w:val="1"/>
      <w:numFmt w:val="decimal"/>
      <w:pStyle w:val="Heading9"/>
      <w:lvlText w:val="%1.%2.%3.%4.%5.%6.%7.%8.%9"/>
      <w:lvlJc w:val="left"/>
      <w:pPr>
        <w:ind w:left="2015" w:hanging="1584"/>
      </w:pPr>
    </w:lvl>
  </w:abstractNum>
  <w:abstractNum w:abstractNumId="3">
    <w:nsid w:val="0DCC7B05"/>
    <w:multiLevelType w:val="hybridMultilevel"/>
    <w:tmpl w:val="9882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1618EE"/>
    <w:multiLevelType w:val="multilevel"/>
    <w:tmpl w:val="47B43496"/>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EF4602D"/>
    <w:multiLevelType w:val="multilevel"/>
    <w:tmpl w:val="20EA01BE"/>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10926E77"/>
    <w:multiLevelType w:val="multilevel"/>
    <w:tmpl w:val="E8CEEE28"/>
    <w:lvl w:ilvl="0">
      <w:start w:val="10"/>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7AF388E"/>
    <w:multiLevelType w:val="hybridMultilevel"/>
    <w:tmpl w:val="634CE490"/>
    <w:lvl w:ilvl="0" w:tplc="F7CAB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0101B2"/>
    <w:multiLevelType w:val="multilevel"/>
    <w:tmpl w:val="456EF384"/>
    <w:numStyleLink w:val="Style1"/>
  </w:abstractNum>
  <w:abstractNum w:abstractNumId="9">
    <w:nsid w:val="1A375311"/>
    <w:multiLevelType w:val="hybridMultilevel"/>
    <w:tmpl w:val="09ECF7BE"/>
    <w:lvl w:ilvl="0" w:tplc="F08CB078">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544C61"/>
    <w:multiLevelType w:val="multilevel"/>
    <w:tmpl w:val="456EF384"/>
    <w:styleLink w:val="Style1"/>
    <w:lvl w:ilvl="0">
      <w:start w:val="2"/>
      <w:numFmt w:val="decimal"/>
      <w:lvlText w:val="%1."/>
      <w:lvlJc w:val="left"/>
      <w:pPr>
        <w:ind w:left="360" w:hanging="360"/>
      </w:pPr>
      <w:rPr>
        <w:rFonts w:hint="default"/>
        <w:b/>
      </w:rPr>
    </w:lvl>
    <w:lvl w:ilvl="1">
      <w:start w:val="1"/>
      <w:numFmt w:val="decimal"/>
      <w:lvlText w:val="%1.%2."/>
      <w:lvlJc w:val="left"/>
      <w:pPr>
        <w:ind w:left="999" w:hanging="432"/>
      </w:pPr>
      <w:rPr>
        <w:rFonts w:hint="default"/>
        <w:b w:val="0"/>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7B1DB4"/>
    <w:multiLevelType w:val="hybridMultilevel"/>
    <w:tmpl w:val="75D86764"/>
    <w:lvl w:ilvl="0" w:tplc="F8601802">
      <w:start w:val="1"/>
      <w:numFmt w:val="bullet"/>
      <w:lvlText w:val="•"/>
      <w:lvlJc w:val="left"/>
      <w:pPr>
        <w:tabs>
          <w:tab w:val="num" w:pos="1080"/>
        </w:tabs>
        <w:ind w:left="1080" w:hanging="360"/>
      </w:pPr>
      <w:rPr>
        <w:rFonts w:ascii="Arial" w:hAnsi="Arial" w:hint="default"/>
      </w:rPr>
    </w:lvl>
    <w:lvl w:ilvl="1" w:tplc="4CC0CA5C">
      <w:start w:val="4431"/>
      <w:numFmt w:val="bullet"/>
      <w:lvlText w:val="•"/>
      <w:lvlJc w:val="left"/>
      <w:pPr>
        <w:tabs>
          <w:tab w:val="num" w:pos="1800"/>
        </w:tabs>
        <w:ind w:left="1800" w:hanging="360"/>
      </w:pPr>
      <w:rPr>
        <w:rFonts w:ascii="Arial" w:hAnsi="Arial" w:hint="default"/>
      </w:rPr>
    </w:lvl>
    <w:lvl w:ilvl="2" w:tplc="B1905ABC" w:tentative="1">
      <w:start w:val="1"/>
      <w:numFmt w:val="bullet"/>
      <w:lvlText w:val="•"/>
      <w:lvlJc w:val="left"/>
      <w:pPr>
        <w:tabs>
          <w:tab w:val="num" w:pos="2520"/>
        </w:tabs>
        <w:ind w:left="2520" w:hanging="360"/>
      </w:pPr>
      <w:rPr>
        <w:rFonts w:ascii="Arial" w:hAnsi="Arial" w:hint="default"/>
      </w:rPr>
    </w:lvl>
    <w:lvl w:ilvl="3" w:tplc="6322AA54" w:tentative="1">
      <w:start w:val="1"/>
      <w:numFmt w:val="bullet"/>
      <w:lvlText w:val="•"/>
      <w:lvlJc w:val="left"/>
      <w:pPr>
        <w:tabs>
          <w:tab w:val="num" w:pos="3240"/>
        </w:tabs>
        <w:ind w:left="3240" w:hanging="360"/>
      </w:pPr>
      <w:rPr>
        <w:rFonts w:ascii="Arial" w:hAnsi="Arial" w:hint="default"/>
      </w:rPr>
    </w:lvl>
    <w:lvl w:ilvl="4" w:tplc="EF7C11C6" w:tentative="1">
      <w:start w:val="1"/>
      <w:numFmt w:val="bullet"/>
      <w:lvlText w:val="•"/>
      <w:lvlJc w:val="left"/>
      <w:pPr>
        <w:tabs>
          <w:tab w:val="num" w:pos="3960"/>
        </w:tabs>
        <w:ind w:left="3960" w:hanging="360"/>
      </w:pPr>
      <w:rPr>
        <w:rFonts w:ascii="Arial" w:hAnsi="Arial" w:hint="default"/>
      </w:rPr>
    </w:lvl>
    <w:lvl w:ilvl="5" w:tplc="4094D528" w:tentative="1">
      <w:start w:val="1"/>
      <w:numFmt w:val="bullet"/>
      <w:lvlText w:val="•"/>
      <w:lvlJc w:val="left"/>
      <w:pPr>
        <w:tabs>
          <w:tab w:val="num" w:pos="4680"/>
        </w:tabs>
        <w:ind w:left="4680" w:hanging="360"/>
      </w:pPr>
      <w:rPr>
        <w:rFonts w:ascii="Arial" w:hAnsi="Arial" w:hint="default"/>
      </w:rPr>
    </w:lvl>
    <w:lvl w:ilvl="6" w:tplc="F4E24192" w:tentative="1">
      <w:start w:val="1"/>
      <w:numFmt w:val="bullet"/>
      <w:lvlText w:val="•"/>
      <w:lvlJc w:val="left"/>
      <w:pPr>
        <w:tabs>
          <w:tab w:val="num" w:pos="5400"/>
        </w:tabs>
        <w:ind w:left="5400" w:hanging="360"/>
      </w:pPr>
      <w:rPr>
        <w:rFonts w:ascii="Arial" w:hAnsi="Arial" w:hint="default"/>
      </w:rPr>
    </w:lvl>
    <w:lvl w:ilvl="7" w:tplc="FC141CF4" w:tentative="1">
      <w:start w:val="1"/>
      <w:numFmt w:val="bullet"/>
      <w:lvlText w:val="•"/>
      <w:lvlJc w:val="left"/>
      <w:pPr>
        <w:tabs>
          <w:tab w:val="num" w:pos="6120"/>
        </w:tabs>
        <w:ind w:left="6120" w:hanging="360"/>
      </w:pPr>
      <w:rPr>
        <w:rFonts w:ascii="Arial" w:hAnsi="Arial" w:hint="default"/>
      </w:rPr>
    </w:lvl>
    <w:lvl w:ilvl="8" w:tplc="462ED6E2" w:tentative="1">
      <w:start w:val="1"/>
      <w:numFmt w:val="bullet"/>
      <w:lvlText w:val="•"/>
      <w:lvlJc w:val="left"/>
      <w:pPr>
        <w:tabs>
          <w:tab w:val="num" w:pos="6840"/>
        </w:tabs>
        <w:ind w:left="6840" w:hanging="360"/>
      </w:pPr>
      <w:rPr>
        <w:rFonts w:ascii="Arial" w:hAnsi="Arial" w:hint="default"/>
      </w:rPr>
    </w:lvl>
  </w:abstractNum>
  <w:abstractNum w:abstractNumId="12">
    <w:nsid w:val="23BF1C86"/>
    <w:multiLevelType w:val="multilevel"/>
    <w:tmpl w:val="C6C2B2C8"/>
    <w:lvl w:ilvl="0">
      <w:start w:val="5"/>
      <w:numFmt w:val="decimal"/>
      <w:lvlText w:val="%1."/>
      <w:lvlJc w:val="left"/>
      <w:pPr>
        <w:ind w:left="36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26595B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B23490"/>
    <w:multiLevelType w:val="multilevel"/>
    <w:tmpl w:val="A216BE7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A243900"/>
    <w:multiLevelType w:val="hybridMultilevel"/>
    <w:tmpl w:val="48EC0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6B3F4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3D865C4"/>
    <w:multiLevelType w:val="hybridMultilevel"/>
    <w:tmpl w:val="F5267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653264"/>
    <w:multiLevelType w:val="multilevel"/>
    <w:tmpl w:val="C8B8CF1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BD31217"/>
    <w:multiLevelType w:val="multilevel"/>
    <w:tmpl w:val="3D38EAC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0C52899"/>
    <w:multiLevelType w:val="hybridMultilevel"/>
    <w:tmpl w:val="3D1CC502"/>
    <w:lvl w:ilvl="0" w:tplc="2E144582">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A75FBB"/>
    <w:multiLevelType w:val="multilevel"/>
    <w:tmpl w:val="A216BE7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417094E"/>
    <w:multiLevelType w:val="multilevel"/>
    <w:tmpl w:val="456EF384"/>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D75020"/>
    <w:multiLevelType w:val="multilevel"/>
    <w:tmpl w:val="0ACA2F38"/>
    <w:lvl w:ilvl="0">
      <w:start w:val="6"/>
      <w:numFmt w:val="decimal"/>
      <w:lvlText w:val="%1."/>
      <w:lvlJc w:val="left"/>
      <w:pPr>
        <w:ind w:left="36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6A546D7A"/>
    <w:multiLevelType w:val="hybridMultilevel"/>
    <w:tmpl w:val="64B291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nsid w:val="6AAD2C8C"/>
    <w:multiLevelType w:val="hybridMultilevel"/>
    <w:tmpl w:val="7A1601A6"/>
    <w:lvl w:ilvl="0" w:tplc="F08CB078">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E1F5BE4"/>
    <w:multiLevelType w:val="multilevel"/>
    <w:tmpl w:val="A216BE7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7053A24"/>
    <w:multiLevelType w:val="hybridMultilevel"/>
    <w:tmpl w:val="6FE882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AD20E5D"/>
    <w:multiLevelType w:val="hybridMultilevel"/>
    <w:tmpl w:val="7DFA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F726F0"/>
    <w:multiLevelType w:val="hybridMultilevel"/>
    <w:tmpl w:val="A5F08320"/>
    <w:lvl w:ilvl="0" w:tplc="B1523C66">
      <w:start w:val="1"/>
      <w:numFmt w:val="lowerRoman"/>
      <w:lvlText w:val="%1)"/>
      <w:lvlJc w:val="left"/>
      <w:pPr>
        <w:ind w:left="720" w:hanging="72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6"/>
  </w:num>
  <w:num w:numId="3">
    <w:abstractNumId w:val="7"/>
  </w:num>
  <w:num w:numId="4">
    <w:abstractNumId w:val="1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0"/>
  </w:num>
  <w:num w:numId="13">
    <w:abstractNumId w:val="17"/>
  </w:num>
  <w:num w:numId="14">
    <w:abstractNumId w:val="9"/>
  </w:num>
  <w:num w:numId="15">
    <w:abstractNumId w:val="25"/>
  </w:num>
  <w:num w:numId="16">
    <w:abstractNumId w:val="15"/>
  </w:num>
  <w:num w:numId="17">
    <w:abstractNumId w:val="20"/>
  </w:num>
  <w:num w:numId="18">
    <w:abstractNumId w:val="4"/>
  </w:num>
  <w:num w:numId="19">
    <w:abstractNumId w:val="1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
  </w:num>
  <w:num w:numId="23">
    <w:abstractNumId w:val="6"/>
  </w:num>
  <w:num w:numId="24">
    <w:abstractNumId w:val="12"/>
  </w:num>
  <w:num w:numId="25">
    <w:abstractNumId w:val="23"/>
  </w:num>
  <w:num w:numId="26">
    <w:abstractNumId w:val="5"/>
  </w:num>
  <w:num w:numId="27">
    <w:abstractNumId w:val="13"/>
  </w:num>
  <w:num w:numId="28">
    <w:abstractNumId w:val="16"/>
  </w:num>
  <w:num w:numId="29">
    <w:abstractNumId w:val="14"/>
  </w:num>
  <w:num w:numId="30">
    <w:abstractNumId w:val="21"/>
  </w:num>
  <w:num w:numId="31">
    <w:abstractNumId w:val="19"/>
  </w:num>
  <w:num w:numId="32">
    <w:abstractNumId w:val="22"/>
  </w:num>
  <w:num w:numId="33">
    <w:abstractNumId w:val="10"/>
  </w:num>
  <w:num w:numId="34">
    <w:abstractNumId w:val="8"/>
  </w:num>
  <w:num w:numId="35">
    <w:abstractNumId w:val="27"/>
  </w:num>
  <w:num w:numId="36">
    <w:abstractNumId w:val="1"/>
  </w:num>
  <w:num w:numId="37">
    <w:abstractNumId w:val="28"/>
  </w:num>
  <w:num w:numId="38">
    <w:abstractNumId w:val="29"/>
  </w:num>
  <w:numIdMacAtCleanup w:val="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varas Statkevicius">
    <w15:presenceInfo w15:providerId="None" w15:userId="Aivaras Statkevici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D1"/>
    <w:rsid w:val="00001BF5"/>
    <w:rsid w:val="0000395A"/>
    <w:rsid w:val="00004DC2"/>
    <w:rsid w:val="000057BE"/>
    <w:rsid w:val="00005ABC"/>
    <w:rsid w:val="00007B9E"/>
    <w:rsid w:val="00007E7C"/>
    <w:rsid w:val="00007ECF"/>
    <w:rsid w:val="000200E2"/>
    <w:rsid w:val="000224EE"/>
    <w:rsid w:val="000273BC"/>
    <w:rsid w:val="00033626"/>
    <w:rsid w:val="000337AD"/>
    <w:rsid w:val="00034B42"/>
    <w:rsid w:val="000377AD"/>
    <w:rsid w:val="000418B5"/>
    <w:rsid w:val="00041A80"/>
    <w:rsid w:val="00043339"/>
    <w:rsid w:val="000472AA"/>
    <w:rsid w:val="000509BA"/>
    <w:rsid w:val="0005148A"/>
    <w:rsid w:val="00051564"/>
    <w:rsid w:val="0005252E"/>
    <w:rsid w:val="0005350A"/>
    <w:rsid w:val="00054912"/>
    <w:rsid w:val="000563AC"/>
    <w:rsid w:val="00056850"/>
    <w:rsid w:val="000615BC"/>
    <w:rsid w:val="00061B33"/>
    <w:rsid w:val="00066155"/>
    <w:rsid w:val="0006643B"/>
    <w:rsid w:val="00066EAE"/>
    <w:rsid w:val="00067547"/>
    <w:rsid w:val="000749CE"/>
    <w:rsid w:val="00074CC5"/>
    <w:rsid w:val="00075E70"/>
    <w:rsid w:val="0007631F"/>
    <w:rsid w:val="00076AC2"/>
    <w:rsid w:val="00090E5C"/>
    <w:rsid w:val="00092294"/>
    <w:rsid w:val="000971C1"/>
    <w:rsid w:val="00097450"/>
    <w:rsid w:val="000A2CE3"/>
    <w:rsid w:val="000A3911"/>
    <w:rsid w:val="000A6A03"/>
    <w:rsid w:val="000A6B42"/>
    <w:rsid w:val="000B40D7"/>
    <w:rsid w:val="000C0C42"/>
    <w:rsid w:val="000C0F9E"/>
    <w:rsid w:val="000C1174"/>
    <w:rsid w:val="000C1F77"/>
    <w:rsid w:val="000C330E"/>
    <w:rsid w:val="000C6E69"/>
    <w:rsid w:val="000C7683"/>
    <w:rsid w:val="000D03CB"/>
    <w:rsid w:val="000D1776"/>
    <w:rsid w:val="000D1ADF"/>
    <w:rsid w:val="000D2BE7"/>
    <w:rsid w:val="000D3320"/>
    <w:rsid w:val="000E0807"/>
    <w:rsid w:val="000E22D5"/>
    <w:rsid w:val="000E4456"/>
    <w:rsid w:val="000E4A4B"/>
    <w:rsid w:val="000F0E42"/>
    <w:rsid w:val="000F537A"/>
    <w:rsid w:val="000F5622"/>
    <w:rsid w:val="00101BA2"/>
    <w:rsid w:val="001069DB"/>
    <w:rsid w:val="00111C9D"/>
    <w:rsid w:val="001128D2"/>
    <w:rsid w:val="0011314C"/>
    <w:rsid w:val="00114891"/>
    <w:rsid w:val="001149E6"/>
    <w:rsid w:val="00121DDA"/>
    <w:rsid w:val="00123D3A"/>
    <w:rsid w:val="001246DF"/>
    <w:rsid w:val="001312FE"/>
    <w:rsid w:val="001320BB"/>
    <w:rsid w:val="001337FE"/>
    <w:rsid w:val="0013391B"/>
    <w:rsid w:val="00135D87"/>
    <w:rsid w:val="0013708C"/>
    <w:rsid w:val="001406B7"/>
    <w:rsid w:val="001407D5"/>
    <w:rsid w:val="00141394"/>
    <w:rsid w:val="00147515"/>
    <w:rsid w:val="0014754C"/>
    <w:rsid w:val="0014771D"/>
    <w:rsid w:val="00150F39"/>
    <w:rsid w:val="001520C6"/>
    <w:rsid w:val="00157579"/>
    <w:rsid w:val="00161249"/>
    <w:rsid w:val="00163B0F"/>
    <w:rsid w:val="001655BE"/>
    <w:rsid w:val="001663F2"/>
    <w:rsid w:val="001664E8"/>
    <w:rsid w:val="001665EF"/>
    <w:rsid w:val="0016791B"/>
    <w:rsid w:val="00172F94"/>
    <w:rsid w:val="00173406"/>
    <w:rsid w:val="00174C03"/>
    <w:rsid w:val="00176C4A"/>
    <w:rsid w:val="00177774"/>
    <w:rsid w:val="00181936"/>
    <w:rsid w:val="0018588A"/>
    <w:rsid w:val="00185FA0"/>
    <w:rsid w:val="001918B4"/>
    <w:rsid w:val="00192135"/>
    <w:rsid w:val="001948B7"/>
    <w:rsid w:val="001970BE"/>
    <w:rsid w:val="001A25C1"/>
    <w:rsid w:val="001A4DA9"/>
    <w:rsid w:val="001A5A3B"/>
    <w:rsid w:val="001A6269"/>
    <w:rsid w:val="001A7D57"/>
    <w:rsid w:val="001A7E11"/>
    <w:rsid w:val="001B1397"/>
    <w:rsid w:val="001B7C9A"/>
    <w:rsid w:val="001C27B0"/>
    <w:rsid w:val="001C6D12"/>
    <w:rsid w:val="001D07CC"/>
    <w:rsid w:val="001D0C0E"/>
    <w:rsid w:val="001D45B2"/>
    <w:rsid w:val="001D4BC7"/>
    <w:rsid w:val="001D4DBF"/>
    <w:rsid w:val="001D6284"/>
    <w:rsid w:val="001D795D"/>
    <w:rsid w:val="001E052E"/>
    <w:rsid w:val="001E0E47"/>
    <w:rsid w:val="001E14FB"/>
    <w:rsid w:val="001E2894"/>
    <w:rsid w:val="001E2FC8"/>
    <w:rsid w:val="001E3EF4"/>
    <w:rsid w:val="001E6628"/>
    <w:rsid w:val="001E7B98"/>
    <w:rsid w:val="001F3A4E"/>
    <w:rsid w:val="001F4399"/>
    <w:rsid w:val="001F7F25"/>
    <w:rsid w:val="00201C3C"/>
    <w:rsid w:val="00202CAD"/>
    <w:rsid w:val="00203F01"/>
    <w:rsid w:val="00205F64"/>
    <w:rsid w:val="002104FC"/>
    <w:rsid w:val="00211D19"/>
    <w:rsid w:val="00212667"/>
    <w:rsid w:val="002140B7"/>
    <w:rsid w:val="00217527"/>
    <w:rsid w:val="002207E2"/>
    <w:rsid w:val="00221A80"/>
    <w:rsid w:val="002228D9"/>
    <w:rsid w:val="002230FD"/>
    <w:rsid w:val="002247C4"/>
    <w:rsid w:val="002274ED"/>
    <w:rsid w:val="00227C71"/>
    <w:rsid w:val="00230147"/>
    <w:rsid w:val="002313D3"/>
    <w:rsid w:val="00231646"/>
    <w:rsid w:val="00241165"/>
    <w:rsid w:val="002448C1"/>
    <w:rsid w:val="0024561A"/>
    <w:rsid w:val="00250144"/>
    <w:rsid w:val="002508DA"/>
    <w:rsid w:val="002515AA"/>
    <w:rsid w:val="00251AC4"/>
    <w:rsid w:val="002522A5"/>
    <w:rsid w:val="00255FB2"/>
    <w:rsid w:val="00257740"/>
    <w:rsid w:val="00261EB2"/>
    <w:rsid w:val="0026283A"/>
    <w:rsid w:val="00262961"/>
    <w:rsid w:val="00263112"/>
    <w:rsid w:val="00263C3A"/>
    <w:rsid w:val="0026436E"/>
    <w:rsid w:val="00264B9F"/>
    <w:rsid w:val="002657B1"/>
    <w:rsid w:val="00265D22"/>
    <w:rsid w:val="00265DFE"/>
    <w:rsid w:val="00270AA4"/>
    <w:rsid w:val="002718CB"/>
    <w:rsid w:val="002769E3"/>
    <w:rsid w:val="002824F7"/>
    <w:rsid w:val="002835E8"/>
    <w:rsid w:val="00284C4C"/>
    <w:rsid w:val="00285816"/>
    <w:rsid w:val="00285891"/>
    <w:rsid w:val="002871A1"/>
    <w:rsid w:val="00287579"/>
    <w:rsid w:val="00293235"/>
    <w:rsid w:val="00293A8F"/>
    <w:rsid w:val="00297584"/>
    <w:rsid w:val="002975E7"/>
    <w:rsid w:val="00297C4C"/>
    <w:rsid w:val="00297ECF"/>
    <w:rsid w:val="002A1812"/>
    <w:rsid w:val="002A3C8C"/>
    <w:rsid w:val="002A54D0"/>
    <w:rsid w:val="002B0C76"/>
    <w:rsid w:val="002B3849"/>
    <w:rsid w:val="002B4A2C"/>
    <w:rsid w:val="002B5DEA"/>
    <w:rsid w:val="002B717B"/>
    <w:rsid w:val="002C0713"/>
    <w:rsid w:val="002C63A7"/>
    <w:rsid w:val="002C6F53"/>
    <w:rsid w:val="002C7B4E"/>
    <w:rsid w:val="002E4D09"/>
    <w:rsid w:val="002E6127"/>
    <w:rsid w:val="002E7A54"/>
    <w:rsid w:val="002F0315"/>
    <w:rsid w:val="002F69A1"/>
    <w:rsid w:val="00301228"/>
    <w:rsid w:val="00301FCD"/>
    <w:rsid w:val="0030218F"/>
    <w:rsid w:val="00302572"/>
    <w:rsid w:val="0030383B"/>
    <w:rsid w:val="00306948"/>
    <w:rsid w:val="003114CE"/>
    <w:rsid w:val="00311F5D"/>
    <w:rsid w:val="00313398"/>
    <w:rsid w:val="003133A1"/>
    <w:rsid w:val="00313951"/>
    <w:rsid w:val="003200DB"/>
    <w:rsid w:val="00320D02"/>
    <w:rsid w:val="00323FEE"/>
    <w:rsid w:val="003257BE"/>
    <w:rsid w:val="00330037"/>
    <w:rsid w:val="00333F49"/>
    <w:rsid w:val="003347A3"/>
    <w:rsid w:val="00336B8C"/>
    <w:rsid w:val="00337C6B"/>
    <w:rsid w:val="00340462"/>
    <w:rsid w:val="00341EF2"/>
    <w:rsid w:val="00342E50"/>
    <w:rsid w:val="003449E5"/>
    <w:rsid w:val="00350A60"/>
    <w:rsid w:val="0035170F"/>
    <w:rsid w:val="00353536"/>
    <w:rsid w:val="00353CEB"/>
    <w:rsid w:val="00354856"/>
    <w:rsid w:val="00355300"/>
    <w:rsid w:val="00355B83"/>
    <w:rsid w:val="00355D5A"/>
    <w:rsid w:val="003564E7"/>
    <w:rsid w:val="0036024F"/>
    <w:rsid w:val="00362357"/>
    <w:rsid w:val="003667BE"/>
    <w:rsid w:val="00371AC9"/>
    <w:rsid w:val="003724B3"/>
    <w:rsid w:val="00372EA3"/>
    <w:rsid w:val="003743DC"/>
    <w:rsid w:val="00374CF9"/>
    <w:rsid w:val="00375B40"/>
    <w:rsid w:val="0037735A"/>
    <w:rsid w:val="00377498"/>
    <w:rsid w:val="00377CB9"/>
    <w:rsid w:val="00382304"/>
    <w:rsid w:val="003828F1"/>
    <w:rsid w:val="00383BB9"/>
    <w:rsid w:val="0038422D"/>
    <w:rsid w:val="00384380"/>
    <w:rsid w:val="00386AB9"/>
    <w:rsid w:val="003874E2"/>
    <w:rsid w:val="003948E7"/>
    <w:rsid w:val="0039791B"/>
    <w:rsid w:val="003A04D6"/>
    <w:rsid w:val="003A43B4"/>
    <w:rsid w:val="003A51B6"/>
    <w:rsid w:val="003A558D"/>
    <w:rsid w:val="003B0AA6"/>
    <w:rsid w:val="003B10D8"/>
    <w:rsid w:val="003B20A8"/>
    <w:rsid w:val="003B3D87"/>
    <w:rsid w:val="003B427C"/>
    <w:rsid w:val="003B4BDC"/>
    <w:rsid w:val="003B570C"/>
    <w:rsid w:val="003B6105"/>
    <w:rsid w:val="003C416B"/>
    <w:rsid w:val="003C461A"/>
    <w:rsid w:val="003C48B9"/>
    <w:rsid w:val="003C6AE3"/>
    <w:rsid w:val="003D0514"/>
    <w:rsid w:val="003D154C"/>
    <w:rsid w:val="003D169A"/>
    <w:rsid w:val="003D6C3C"/>
    <w:rsid w:val="003D6FDA"/>
    <w:rsid w:val="003E25C9"/>
    <w:rsid w:val="003E2E41"/>
    <w:rsid w:val="003E4660"/>
    <w:rsid w:val="003E478F"/>
    <w:rsid w:val="003E56CD"/>
    <w:rsid w:val="003E7145"/>
    <w:rsid w:val="003F0681"/>
    <w:rsid w:val="003F2EC4"/>
    <w:rsid w:val="003F4C30"/>
    <w:rsid w:val="003F6BF6"/>
    <w:rsid w:val="0040066A"/>
    <w:rsid w:val="00402945"/>
    <w:rsid w:val="0040442C"/>
    <w:rsid w:val="00405CB3"/>
    <w:rsid w:val="004123C6"/>
    <w:rsid w:val="00414B62"/>
    <w:rsid w:val="00414BB7"/>
    <w:rsid w:val="0042071A"/>
    <w:rsid w:val="00430F13"/>
    <w:rsid w:val="004311F8"/>
    <w:rsid w:val="004355A3"/>
    <w:rsid w:val="00436346"/>
    <w:rsid w:val="00437AAF"/>
    <w:rsid w:val="004434D5"/>
    <w:rsid w:val="0044752F"/>
    <w:rsid w:val="00452E13"/>
    <w:rsid w:val="00455F92"/>
    <w:rsid w:val="004612EF"/>
    <w:rsid w:val="0046138D"/>
    <w:rsid w:val="004639D5"/>
    <w:rsid w:val="00464E6D"/>
    <w:rsid w:val="00470631"/>
    <w:rsid w:val="00476F66"/>
    <w:rsid w:val="00477BCB"/>
    <w:rsid w:val="00477F6F"/>
    <w:rsid w:val="00482323"/>
    <w:rsid w:val="00484B11"/>
    <w:rsid w:val="004866AD"/>
    <w:rsid w:val="00487351"/>
    <w:rsid w:val="00490AE1"/>
    <w:rsid w:val="00492A7D"/>
    <w:rsid w:val="00492E8D"/>
    <w:rsid w:val="0049415E"/>
    <w:rsid w:val="00494700"/>
    <w:rsid w:val="00495306"/>
    <w:rsid w:val="004A3623"/>
    <w:rsid w:val="004A61B0"/>
    <w:rsid w:val="004B2628"/>
    <w:rsid w:val="004B6D0E"/>
    <w:rsid w:val="004B761D"/>
    <w:rsid w:val="004C166A"/>
    <w:rsid w:val="004D018B"/>
    <w:rsid w:val="004D0D96"/>
    <w:rsid w:val="004D42B9"/>
    <w:rsid w:val="004D4C9D"/>
    <w:rsid w:val="004E362E"/>
    <w:rsid w:val="004E6B0C"/>
    <w:rsid w:val="004E7E84"/>
    <w:rsid w:val="004F06DB"/>
    <w:rsid w:val="004F3687"/>
    <w:rsid w:val="004F3800"/>
    <w:rsid w:val="004F43E5"/>
    <w:rsid w:val="004F45A7"/>
    <w:rsid w:val="004F55AE"/>
    <w:rsid w:val="004F6710"/>
    <w:rsid w:val="004F7456"/>
    <w:rsid w:val="0050037C"/>
    <w:rsid w:val="005006A0"/>
    <w:rsid w:val="00501C8F"/>
    <w:rsid w:val="00505B7A"/>
    <w:rsid w:val="0051257A"/>
    <w:rsid w:val="00515194"/>
    <w:rsid w:val="00515B43"/>
    <w:rsid w:val="00517B5B"/>
    <w:rsid w:val="005248FE"/>
    <w:rsid w:val="00525C8C"/>
    <w:rsid w:val="00525FA9"/>
    <w:rsid w:val="005273FF"/>
    <w:rsid w:val="005300D4"/>
    <w:rsid w:val="00530114"/>
    <w:rsid w:val="00531FE1"/>
    <w:rsid w:val="005349B3"/>
    <w:rsid w:val="00534ECD"/>
    <w:rsid w:val="00537ABA"/>
    <w:rsid w:val="005409FC"/>
    <w:rsid w:val="0054652A"/>
    <w:rsid w:val="005516A6"/>
    <w:rsid w:val="00551FFD"/>
    <w:rsid w:val="00552C3B"/>
    <w:rsid w:val="00552CD0"/>
    <w:rsid w:val="005530CF"/>
    <w:rsid w:val="005535B9"/>
    <w:rsid w:val="005538CE"/>
    <w:rsid w:val="005616C6"/>
    <w:rsid w:val="00564397"/>
    <w:rsid w:val="00564A4B"/>
    <w:rsid w:val="00566E80"/>
    <w:rsid w:val="00567D1D"/>
    <w:rsid w:val="0057317A"/>
    <w:rsid w:val="005732E6"/>
    <w:rsid w:val="00576D6D"/>
    <w:rsid w:val="00582C70"/>
    <w:rsid w:val="005849AE"/>
    <w:rsid w:val="0058636E"/>
    <w:rsid w:val="00590CEE"/>
    <w:rsid w:val="00591A1C"/>
    <w:rsid w:val="00591D6B"/>
    <w:rsid w:val="005931CE"/>
    <w:rsid w:val="00593C07"/>
    <w:rsid w:val="00593E8C"/>
    <w:rsid w:val="00594774"/>
    <w:rsid w:val="00597644"/>
    <w:rsid w:val="005A3D65"/>
    <w:rsid w:val="005A6407"/>
    <w:rsid w:val="005A694E"/>
    <w:rsid w:val="005B0054"/>
    <w:rsid w:val="005B03B9"/>
    <w:rsid w:val="005B1995"/>
    <w:rsid w:val="005B1B13"/>
    <w:rsid w:val="005B21F4"/>
    <w:rsid w:val="005B28D9"/>
    <w:rsid w:val="005B5FD3"/>
    <w:rsid w:val="005C00BC"/>
    <w:rsid w:val="005C0647"/>
    <w:rsid w:val="005C0D25"/>
    <w:rsid w:val="005D1922"/>
    <w:rsid w:val="005D28CC"/>
    <w:rsid w:val="005D354B"/>
    <w:rsid w:val="005D3C68"/>
    <w:rsid w:val="005D52E2"/>
    <w:rsid w:val="005D79EE"/>
    <w:rsid w:val="005E06CE"/>
    <w:rsid w:val="005E728F"/>
    <w:rsid w:val="005F3C7F"/>
    <w:rsid w:val="005F473B"/>
    <w:rsid w:val="005F5F17"/>
    <w:rsid w:val="005F629A"/>
    <w:rsid w:val="00600070"/>
    <w:rsid w:val="00602E56"/>
    <w:rsid w:val="00602FBC"/>
    <w:rsid w:val="006073F4"/>
    <w:rsid w:val="006100FF"/>
    <w:rsid w:val="0061079A"/>
    <w:rsid w:val="00610819"/>
    <w:rsid w:val="00615F1C"/>
    <w:rsid w:val="0061653C"/>
    <w:rsid w:val="00617DF2"/>
    <w:rsid w:val="00617EB5"/>
    <w:rsid w:val="00621396"/>
    <w:rsid w:val="00621529"/>
    <w:rsid w:val="00621DA1"/>
    <w:rsid w:val="00622256"/>
    <w:rsid w:val="00623004"/>
    <w:rsid w:val="00624039"/>
    <w:rsid w:val="0062617D"/>
    <w:rsid w:val="00626913"/>
    <w:rsid w:val="006270BF"/>
    <w:rsid w:val="00632D39"/>
    <w:rsid w:val="00634BEF"/>
    <w:rsid w:val="006372FE"/>
    <w:rsid w:val="00640BFA"/>
    <w:rsid w:val="006414E4"/>
    <w:rsid w:val="006421D6"/>
    <w:rsid w:val="006435D2"/>
    <w:rsid w:val="00644A25"/>
    <w:rsid w:val="00645622"/>
    <w:rsid w:val="00645E46"/>
    <w:rsid w:val="00646C86"/>
    <w:rsid w:val="00647ECF"/>
    <w:rsid w:val="00650007"/>
    <w:rsid w:val="00662A7B"/>
    <w:rsid w:val="006642D6"/>
    <w:rsid w:val="00666684"/>
    <w:rsid w:val="00666E00"/>
    <w:rsid w:val="006753B0"/>
    <w:rsid w:val="00675EE1"/>
    <w:rsid w:val="00677046"/>
    <w:rsid w:val="00680216"/>
    <w:rsid w:val="00681F6E"/>
    <w:rsid w:val="00682897"/>
    <w:rsid w:val="00686BFE"/>
    <w:rsid w:val="00686F9C"/>
    <w:rsid w:val="0068796B"/>
    <w:rsid w:val="0069045D"/>
    <w:rsid w:val="00692CF9"/>
    <w:rsid w:val="00692FDD"/>
    <w:rsid w:val="006934D5"/>
    <w:rsid w:val="006941E7"/>
    <w:rsid w:val="006950BE"/>
    <w:rsid w:val="006967BC"/>
    <w:rsid w:val="00696808"/>
    <w:rsid w:val="00696E9F"/>
    <w:rsid w:val="006A059D"/>
    <w:rsid w:val="006A2186"/>
    <w:rsid w:val="006A58B8"/>
    <w:rsid w:val="006A67DA"/>
    <w:rsid w:val="006A71AB"/>
    <w:rsid w:val="006A7AF0"/>
    <w:rsid w:val="006B0B81"/>
    <w:rsid w:val="006B1CD0"/>
    <w:rsid w:val="006B2E28"/>
    <w:rsid w:val="006B42CD"/>
    <w:rsid w:val="006C1EA1"/>
    <w:rsid w:val="006C28E0"/>
    <w:rsid w:val="006C4C90"/>
    <w:rsid w:val="006C6427"/>
    <w:rsid w:val="006C66D1"/>
    <w:rsid w:val="006E01C4"/>
    <w:rsid w:val="006E109A"/>
    <w:rsid w:val="006E32F1"/>
    <w:rsid w:val="006E38AD"/>
    <w:rsid w:val="006E3A6E"/>
    <w:rsid w:val="006E6C53"/>
    <w:rsid w:val="006E77F5"/>
    <w:rsid w:val="0070043F"/>
    <w:rsid w:val="00701E66"/>
    <w:rsid w:val="007039A8"/>
    <w:rsid w:val="00704637"/>
    <w:rsid w:val="007059DA"/>
    <w:rsid w:val="00705E1C"/>
    <w:rsid w:val="00707BA7"/>
    <w:rsid w:val="00711339"/>
    <w:rsid w:val="00715B0C"/>
    <w:rsid w:val="00715BC1"/>
    <w:rsid w:val="007211CD"/>
    <w:rsid w:val="00731DD1"/>
    <w:rsid w:val="00734400"/>
    <w:rsid w:val="00735C78"/>
    <w:rsid w:val="007374EA"/>
    <w:rsid w:val="00737B8A"/>
    <w:rsid w:val="00737BCB"/>
    <w:rsid w:val="00741F37"/>
    <w:rsid w:val="00743AC2"/>
    <w:rsid w:val="00744A31"/>
    <w:rsid w:val="0074557B"/>
    <w:rsid w:val="007461DB"/>
    <w:rsid w:val="007474C8"/>
    <w:rsid w:val="00747875"/>
    <w:rsid w:val="00754727"/>
    <w:rsid w:val="00756B5A"/>
    <w:rsid w:val="00756B7A"/>
    <w:rsid w:val="007619F4"/>
    <w:rsid w:val="007677B3"/>
    <w:rsid w:val="00767815"/>
    <w:rsid w:val="007724FB"/>
    <w:rsid w:val="0077421B"/>
    <w:rsid w:val="00775999"/>
    <w:rsid w:val="00782BE5"/>
    <w:rsid w:val="00785917"/>
    <w:rsid w:val="00785F15"/>
    <w:rsid w:val="00786E72"/>
    <w:rsid w:val="007877C5"/>
    <w:rsid w:val="00787B86"/>
    <w:rsid w:val="00790440"/>
    <w:rsid w:val="0079238A"/>
    <w:rsid w:val="007926DE"/>
    <w:rsid w:val="00795FA6"/>
    <w:rsid w:val="007A0507"/>
    <w:rsid w:val="007A1A34"/>
    <w:rsid w:val="007A24D2"/>
    <w:rsid w:val="007A3101"/>
    <w:rsid w:val="007A44EF"/>
    <w:rsid w:val="007B3CF2"/>
    <w:rsid w:val="007C07CE"/>
    <w:rsid w:val="007C3A1B"/>
    <w:rsid w:val="007D07AB"/>
    <w:rsid w:val="007D2582"/>
    <w:rsid w:val="007D3E01"/>
    <w:rsid w:val="007E05F8"/>
    <w:rsid w:val="007E3D41"/>
    <w:rsid w:val="007F08E9"/>
    <w:rsid w:val="007F4280"/>
    <w:rsid w:val="007F5FE2"/>
    <w:rsid w:val="00803A98"/>
    <w:rsid w:val="00805074"/>
    <w:rsid w:val="00807467"/>
    <w:rsid w:val="008074AE"/>
    <w:rsid w:val="0081224E"/>
    <w:rsid w:val="00813A3B"/>
    <w:rsid w:val="008140B6"/>
    <w:rsid w:val="00814472"/>
    <w:rsid w:val="00814D10"/>
    <w:rsid w:val="00815738"/>
    <w:rsid w:val="00817346"/>
    <w:rsid w:val="00817A3B"/>
    <w:rsid w:val="0082195E"/>
    <w:rsid w:val="0082379E"/>
    <w:rsid w:val="00824B3D"/>
    <w:rsid w:val="00827B6F"/>
    <w:rsid w:val="008315AB"/>
    <w:rsid w:val="00831F13"/>
    <w:rsid w:val="00832F1B"/>
    <w:rsid w:val="008335C7"/>
    <w:rsid w:val="008341B6"/>
    <w:rsid w:val="00837851"/>
    <w:rsid w:val="00845173"/>
    <w:rsid w:val="008451E6"/>
    <w:rsid w:val="0084637F"/>
    <w:rsid w:val="00852AA0"/>
    <w:rsid w:val="0085742B"/>
    <w:rsid w:val="00861166"/>
    <w:rsid w:val="0086230E"/>
    <w:rsid w:val="008640E0"/>
    <w:rsid w:val="00865EB1"/>
    <w:rsid w:val="00870364"/>
    <w:rsid w:val="00870BC7"/>
    <w:rsid w:val="0087537B"/>
    <w:rsid w:val="008764CB"/>
    <w:rsid w:val="00876A3F"/>
    <w:rsid w:val="008813DE"/>
    <w:rsid w:val="008828D1"/>
    <w:rsid w:val="00884AF6"/>
    <w:rsid w:val="00885A8C"/>
    <w:rsid w:val="00892647"/>
    <w:rsid w:val="008928C3"/>
    <w:rsid w:val="00895EEA"/>
    <w:rsid w:val="00896B13"/>
    <w:rsid w:val="008A048E"/>
    <w:rsid w:val="008A2320"/>
    <w:rsid w:val="008A35FC"/>
    <w:rsid w:val="008B3D6D"/>
    <w:rsid w:val="008B4EBE"/>
    <w:rsid w:val="008B5665"/>
    <w:rsid w:val="008B58CC"/>
    <w:rsid w:val="008B6021"/>
    <w:rsid w:val="008B6D0F"/>
    <w:rsid w:val="008B6D39"/>
    <w:rsid w:val="008C2033"/>
    <w:rsid w:val="008C585E"/>
    <w:rsid w:val="008C74EB"/>
    <w:rsid w:val="008D276C"/>
    <w:rsid w:val="008D4685"/>
    <w:rsid w:val="008D4853"/>
    <w:rsid w:val="008D4B46"/>
    <w:rsid w:val="008E0A32"/>
    <w:rsid w:val="008E18FC"/>
    <w:rsid w:val="008E1D7C"/>
    <w:rsid w:val="008E2A54"/>
    <w:rsid w:val="008E32DE"/>
    <w:rsid w:val="008E538A"/>
    <w:rsid w:val="008E7648"/>
    <w:rsid w:val="008F34FF"/>
    <w:rsid w:val="008F6071"/>
    <w:rsid w:val="00901DD4"/>
    <w:rsid w:val="00902D57"/>
    <w:rsid w:val="00904B91"/>
    <w:rsid w:val="0090556C"/>
    <w:rsid w:val="0091156D"/>
    <w:rsid w:val="00912286"/>
    <w:rsid w:val="009128EF"/>
    <w:rsid w:val="009143AC"/>
    <w:rsid w:val="00914946"/>
    <w:rsid w:val="00916979"/>
    <w:rsid w:val="00917AA2"/>
    <w:rsid w:val="009209E8"/>
    <w:rsid w:val="00925843"/>
    <w:rsid w:val="00932FAC"/>
    <w:rsid w:val="00936A33"/>
    <w:rsid w:val="0094092E"/>
    <w:rsid w:val="0094434F"/>
    <w:rsid w:val="00946E50"/>
    <w:rsid w:val="00950BA9"/>
    <w:rsid w:val="00951F55"/>
    <w:rsid w:val="00952D00"/>
    <w:rsid w:val="00957432"/>
    <w:rsid w:val="00960362"/>
    <w:rsid w:val="009633D0"/>
    <w:rsid w:val="00970703"/>
    <w:rsid w:val="00971F73"/>
    <w:rsid w:val="00973BB2"/>
    <w:rsid w:val="00974F18"/>
    <w:rsid w:val="00977B3F"/>
    <w:rsid w:val="00981A9E"/>
    <w:rsid w:val="00983A7B"/>
    <w:rsid w:val="0098523F"/>
    <w:rsid w:val="009900E6"/>
    <w:rsid w:val="009922BF"/>
    <w:rsid w:val="00993A4B"/>
    <w:rsid w:val="009A1EC8"/>
    <w:rsid w:val="009A3773"/>
    <w:rsid w:val="009A4E7E"/>
    <w:rsid w:val="009A6134"/>
    <w:rsid w:val="009B06A5"/>
    <w:rsid w:val="009B1A26"/>
    <w:rsid w:val="009B1BC1"/>
    <w:rsid w:val="009B2763"/>
    <w:rsid w:val="009B375B"/>
    <w:rsid w:val="009B48C6"/>
    <w:rsid w:val="009B5975"/>
    <w:rsid w:val="009B5F29"/>
    <w:rsid w:val="009C5721"/>
    <w:rsid w:val="009C7121"/>
    <w:rsid w:val="009C7959"/>
    <w:rsid w:val="009D237C"/>
    <w:rsid w:val="009D2A9F"/>
    <w:rsid w:val="009E69E4"/>
    <w:rsid w:val="009E6D1E"/>
    <w:rsid w:val="009E796C"/>
    <w:rsid w:val="009F3D77"/>
    <w:rsid w:val="009F6C9D"/>
    <w:rsid w:val="009F6CDD"/>
    <w:rsid w:val="009F75AF"/>
    <w:rsid w:val="00A01DDE"/>
    <w:rsid w:val="00A03798"/>
    <w:rsid w:val="00A052CD"/>
    <w:rsid w:val="00A06C38"/>
    <w:rsid w:val="00A11F9A"/>
    <w:rsid w:val="00A1275F"/>
    <w:rsid w:val="00A14826"/>
    <w:rsid w:val="00A15A68"/>
    <w:rsid w:val="00A2057E"/>
    <w:rsid w:val="00A22DFD"/>
    <w:rsid w:val="00A235B9"/>
    <w:rsid w:val="00A24371"/>
    <w:rsid w:val="00A25C77"/>
    <w:rsid w:val="00A26E6B"/>
    <w:rsid w:val="00A27247"/>
    <w:rsid w:val="00A27A7B"/>
    <w:rsid w:val="00A35981"/>
    <w:rsid w:val="00A4609F"/>
    <w:rsid w:val="00A47CA5"/>
    <w:rsid w:val="00A50F7A"/>
    <w:rsid w:val="00A52C33"/>
    <w:rsid w:val="00A52F45"/>
    <w:rsid w:val="00A56525"/>
    <w:rsid w:val="00A56E2B"/>
    <w:rsid w:val="00A61542"/>
    <w:rsid w:val="00A64E69"/>
    <w:rsid w:val="00A7228D"/>
    <w:rsid w:val="00A75A92"/>
    <w:rsid w:val="00A767B7"/>
    <w:rsid w:val="00A77CF9"/>
    <w:rsid w:val="00A80AEA"/>
    <w:rsid w:val="00A815BC"/>
    <w:rsid w:val="00A830EF"/>
    <w:rsid w:val="00A83D68"/>
    <w:rsid w:val="00A8755A"/>
    <w:rsid w:val="00A90111"/>
    <w:rsid w:val="00A9396C"/>
    <w:rsid w:val="00A94F7F"/>
    <w:rsid w:val="00A9556E"/>
    <w:rsid w:val="00A9634F"/>
    <w:rsid w:val="00A96C22"/>
    <w:rsid w:val="00A96CB7"/>
    <w:rsid w:val="00AA05C6"/>
    <w:rsid w:val="00AA16AF"/>
    <w:rsid w:val="00AA1E93"/>
    <w:rsid w:val="00AA36E4"/>
    <w:rsid w:val="00AA5074"/>
    <w:rsid w:val="00AA61D9"/>
    <w:rsid w:val="00AA6CD2"/>
    <w:rsid w:val="00AB3E80"/>
    <w:rsid w:val="00AB6B8B"/>
    <w:rsid w:val="00AB7AA9"/>
    <w:rsid w:val="00AC3157"/>
    <w:rsid w:val="00AC594F"/>
    <w:rsid w:val="00AC638D"/>
    <w:rsid w:val="00AD3960"/>
    <w:rsid w:val="00AD4481"/>
    <w:rsid w:val="00AD488D"/>
    <w:rsid w:val="00AD5B02"/>
    <w:rsid w:val="00AE22A9"/>
    <w:rsid w:val="00AE45C2"/>
    <w:rsid w:val="00AE4EA1"/>
    <w:rsid w:val="00AE77D7"/>
    <w:rsid w:val="00AF104C"/>
    <w:rsid w:val="00AF191E"/>
    <w:rsid w:val="00AF203B"/>
    <w:rsid w:val="00AF2951"/>
    <w:rsid w:val="00AF3712"/>
    <w:rsid w:val="00AF4591"/>
    <w:rsid w:val="00AF6052"/>
    <w:rsid w:val="00B0004E"/>
    <w:rsid w:val="00B054AA"/>
    <w:rsid w:val="00B07678"/>
    <w:rsid w:val="00B10AD8"/>
    <w:rsid w:val="00B14FDB"/>
    <w:rsid w:val="00B21BEF"/>
    <w:rsid w:val="00B25617"/>
    <w:rsid w:val="00B25AE7"/>
    <w:rsid w:val="00B3005B"/>
    <w:rsid w:val="00B31A64"/>
    <w:rsid w:val="00B35BFF"/>
    <w:rsid w:val="00B3702B"/>
    <w:rsid w:val="00B409C0"/>
    <w:rsid w:val="00B40E40"/>
    <w:rsid w:val="00B43465"/>
    <w:rsid w:val="00B45582"/>
    <w:rsid w:val="00B45640"/>
    <w:rsid w:val="00B500EB"/>
    <w:rsid w:val="00B511F7"/>
    <w:rsid w:val="00B515BD"/>
    <w:rsid w:val="00B519A1"/>
    <w:rsid w:val="00B53597"/>
    <w:rsid w:val="00B60320"/>
    <w:rsid w:val="00B65162"/>
    <w:rsid w:val="00B65804"/>
    <w:rsid w:val="00B707F5"/>
    <w:rsid w:val="00B728F7"/>
    <w:rsid w:val="00B758D1"/>
    <w:rsid w:val="00B7601B"/>
    <w:rsid w:val="00B762F4"/>
    <w:rsid w:val="00B76E93"/>
    <w:rsid w:val="00B820DA"/>
    <w:rsid w:val="00B930D6"/>
    <w:rsid w:val="00B9374D"/>
    <w:rsid w:val="00B961BD"/>
    <w:rsid w:val="00B97285"/>
    <w:rsid w:val="00BA00A4"/>
    <w:rsid w:val="00BA07FF"/>
    <w:rsid w:val="00BA1366"/>
    <w:rsid w:val="00BA1E2F"/>
    <w:rsid w:val="00BA1F23"/>
    <w:rsid w:val="00BA238C"/>
    <w:rsid w:val="00BA4B79"/>
    <w:rsid w:val="00BA5B8C"/>
    <w:rsid w:val="00BB230D"/>
    <w:rsid w:val="00BB27C0"/>
    <w:rsid w:val="00BB2BC2"/>
    <w:rsid w:val="00BB2F36"/>
    <w:rsid w:val="00BB387E"/>
    <w:rsid w:val="00BB581B"/>
    <w:rsid w:val="00BC10F0"/>
    <w:rsid w:val="00BC2588"/>
    <w:rsid w:val="00BC77FC"/>
    <w:rsid w:val="00BD3899"/>
    <w:rsid w:val="00BD42D0"/>
    <w:rsid w:val="00BD4A6F"/>
    <w:rsid w:val="00BD6EFB"/>
    <w:rsid w:val="00BD7317"/>
    <w:rsid w:val="00BD7414"/>
    <w:rsid w:val="00BD7BB2"/>
    <w:rsid w:val="00BE046D"/>
    <w:rsid w:val="00BE237A"/>
    <w:rsid w:val="00BE2C39"/>
    <w:rsid w:val="00BE2C4D"/>
    <w:rsid w:val="00BE332B"/>
    <w:rsid w:val="00BE5A06"/>
    <w:rsid w:val="00BE7B78"/>
    <w:rsid w:val="00BF096D"/>
    <w:rsid w:val="00BF1B8D"/>
    <w:rsid w:val="00C03130"/>
    <w:rsid w:val="00C03346"/>
    <w:rsid w:val="00C05993"/>
    <w:rsid w:val="00C10925"/>
    <w:rsid w:val="00C110BB"/>
    <w:rsid w:val="00C1219C"/>
    <w:rsid w:val="00C14BFA"/>
    <w:rsid w:val="00C17EE3"/>
    <w:rsid w:val="00C275B7"/>
    <w:rsid w:val="00C30BD9"/>
    <w:rsid w:val="00C340CC"/>
    <w:rsid w:val="00C35939"/>
    <w:rsid w:val="00C408C9"/>
    <w:rsid w:val="00C41B34"/>
    <w:rsid w:val="00C44006"/>
    <w:rsid w:val="00C44346"/>
    <w:rsid w:val="00C45699"/>
    <w:rsid w:val="00C50F87"/>
    <w:rsid w:val="00C519F0"/>
    <w:rsid w:val="00C55AA7"/>
    <w:rsid w:val="00C561F4"/>
    <w:rsid w:val="00C57390"/>
    <w:rsid w:val="00C57B49"/>
    <w:rsid w:val="00C61DDC"/>
    <w:rsid w:val="00C62191"/>
    <w:rsid w:val="00C65867"/>
    <w:rsid w:val="00C65E1C"/>
    <w:rsid w:val="00C70E4C"/>
    <w:rsid w:val="00C71114"/>
    <w:rsid w:val="00C71A57"/>
    <w:rsid w:val="00C72817"/>
    <w:rsid w:val="00C76C50"/>
    <w:rsid w:val="00C83D24"/>
    <w:rsid w:val="00C842A8"/>
    <w:rsid w:val="00C844E1"/>
    <w:rsid w:val="00C84971"/>
    <w:rsid w:val="00C8555C"/>
    <w:rsid w:val="00C86B2B"/>
    <w:rsid w:val="00C87F8F"/>
    <w:rsid w:val="00C90F35"/>
    <w:rsid w:val="00C93F80"/>
    <w:rsid w:val="00C95C4C"/>
    <w:rsid w:val="00C96925"/>
    <w:rsid w:val="00C97463"/>
    <w:rsid w:val="00CA3A87"/>
    <w:rsid w:val="00CA4CED"/>
    <w:rsid w:val="00CA5B78"/>
    <w:rsid w:val="00CA5C4A"/>
    <w:rsid w:val="00CA6FB6"/>
    <w:rsid w:val="00CB01C2"/>
    <w:rsid w:val="00CB208F"/>
    <w:rsid w:val="00CB500F"/>
    <w:rsid w:val="00CB5709"/>
    <w:rsid w:val="00CB5B66"/>
    <w:rsid w:val="00CB5C6D"/>
    <w:rsid w:val="00CC1499"/>
    <w:rsid w:val="00CC2D38"/>
    <w:rsid w:val="00CC696B"/>
    <w:rsid w:val="00CC71D4"/>
    <w:rsid w:val="00CD195A"/>
    <w:rsid w:val="00CD3AA2"/>
    <w:rsid w:val="00CD6C85"/>
    <w:rsid w:val="00CD758E"/>
    <w:rsid w:val="00CE08A1"/>
    <w:rsid w:val="00CE1151"/>
    <w:rsid w:val="00CE17B7"/>
    <w:rsid w:val="00CE2B94"/>
    <w:rsid w:val="00CE3846"/>
    <w:rsid w:val="00CE4129"/>
    <w:rsid w:val="00CE65A2"/>
    <w:rsid w:val="00CE7AEA"/>
    <w:rsid w:val="00CF0427"/>
    <w:rsid w:val="00CF5BA9"/>
    <w:rsid w:val="00CF6632"/>
    <w:rsid w:val="00CF751C"/>
    <w:rsid w:val="00CF7839"/>
    <w:rsid w:val="00D02EFA"/>
    <w:rsid w:val="00D03740"/>
    <w:rsid w:val="00D108B5"/>
    <w:rsid w:val="00D10CCC"/>
    <w:rsid w:val="00D125C5"/>
    <w:rsid w:val="00D13873"/>
    <w:rsid w:val="00D13B44"/>
    <w:rsid w:val="00D15F32"/>
    <w:rsid w:val="00D25960"/>
    <w:rsid w:val="00D25EE0"/>
    <w:rsid w:val="00D3119A"/>
    <w:rsid w:val="00D312C5"/>
    <w:rsid w:val="00D32E45"/>
    <w:rsid w:val="00D3466A"/>
    <w:rsid w:val="00D35AC8"/>
    <w:rsid w:val="00D44897"/>
    <w:rsid w:val="00D44C8B"/>
    <w:rsid w:val="00D45CE0"/>
    <w:rsid w:val="00D51552"/>
    <w:rsid w:val="00D53B91"/>
    <w:rsid w:val="00D54E40"/>
    <w:rsid w:val="00D55C29"/>
    <w:rsid w:val="00D574BF"/>
    <w:rsid w:val="00D57B83"/>
    <w:rsid w:val="00D63F86"/>
    <w:rsid w:val="00D6607C"/>
    <w:rsid w:val="00D734A5"/>
    <w:rsid w:val="00D745E6"/>
    <w:rsid w:val="00D74F3C"/>
    <w:rsid w:val="00D755B9"/>
    <w:rsid w:val="00D812BE"/>
    <w:rsid w:val="00D816FE"/>
    <w:rsid w:val="00D8361A"/>
    <w:rsid w:val="00D83D36"/>
    <w:rsid w:val="00D85C14"/>
    <w:rsid w:val="00D86D46"/>
    <w:rsid w:val="00D87706"/>
    <w:rsid w:val="00D87B43"/>
    <w:rsid w:val="00D90FDE"/>
    <w:rsid w:val="00D9263D"/>
    <w:rsid w:val="00D954B1"/>
    <w:rsid w:val="00D9750D"/>
    <w:rsid w:val="00DA0223"/>
    <w:rsid w:val="00DA052B"/>
    <w:rsid w:val="00DA302A"/>
    <w:rsid w:val="00DA3895"/>
    <w:rsid w:val="00DA4F57"/>
    <w:rsid w:val="00DA6A69"/>
    <w:rsid w:val="00DA6AF4"/>
    <w:rsid w:val="00DA6F2E"/>
    <w:rsid w:val="00DB0293"/>
    <w:rsid w:val="00DB34FE"/>
    <w:rsid w:val="00DB5422"/>
    <w:rsid w:val="00DB713D"/>
    <w:rsid w:val="00DB78B0"/>
    <w:rsid w:val="00DC1DA1"/>
    <w:rsid w:val="00DC5621"/>
    <w:rsid w:val="00DC5D88"/>
    <w:rsid w:val="00DC7926"/>
    <w:rsid w:val="00DD2EF3"/>
    <w:rsid w:val="00DD3600"/>
    <w:rsid w:val="00DD4958"/>
    <w:rsid w:val="00DD56BC"/>
    <w:rsid w:val="00DD57F8"/>
    <w:rsid w:val="00DE0A76"/>
    <w:rsid w:val="00DE35BA"/>
    <w:rsid w:val="00DE55E1"/>
    <w:rsid w:val="00DE677D"/>
    <w:rsid w:val="00DE7024"/>
    <w:rsid w:val="00DF20B3"/>
    <w:rsid w:val="00DF553F"/>
    <w:rsid w:val="00E00C37"/>
    <w:rsid w:val="00E01C1A"/>
    <w:rsid w:val="00E02B00"/>
    <w:rsid w:val="00E05051"/>
    <w:rsid w:val="00E12A70"/>
    <w:rsid w:val="00E152B8"/>
    <w:rsid w:val="00E15A9B"/>
    <w:rsid w:val="00E16B38"/>
    <w:rsid w:val="00E1762F"/>
    <w:rsid w:val="00E20B4A"/>
    <w:rsid w:val="00E225A5"/>
    <w:rsid w:val="00E22A28"/>
    <w:rsid w:val="00E23433"/>
    <w:rsid w:val="00E32070"/>
    <w:rsid w:val="00E32EA3"/>
    <w:rsid w:val="00E42A80"/>
    <w:rsid w:val="00E4329B"/>
    <w:rsid w:val="00E46A92"/>
    <w:rsid w:val="00E47C77"/>
    <w:rsid w:val="00E520D1"/>
    <w:rsid w:val="00E54CC4"/>
    <w:rsid w:val="00E56279"/>
    <w:rsid w:val="00E57011"/>
    <w:rsid w:val="00E57914"/>
    <w:rsid w:val="00E63859"/>
    <w:rsid w:val="00E63B79"/>
    <w:rsid w:val="00E645EE"/>
    <w:rsid w:val="00E64E72"/>
    <w:rsid w:val="00E654AA"/>
    <w:rsid w:val="00E656B1"/>
    <w:rsid w:val="00E66245"/>
    <w:rsid w:val="00E66432"/>
    <w:rsid w:val="00E708C7"/>
    <w:rsid w:val="00E70AE7"/>
    <w:rsid w:val="00E7194C"/>
    <w:rsid w:val="00E722E4"/>
    <w:rsid w:val="00E74457"/>
    <w:rsid w:val="00E7622B"/>
    <w:rsid w:val="00E76249"/>
    <w:rsid w:val="00E77C4B"/>
    <w:rsid w:val="00E77EA8"/>
    <w:rsid w:val="00E85CF3"/>
    <w:rsid w:val="00E8666D"/>
    <w:rsid w:val="00E86CFC"/>
    <w:rsid w:val="00E932E4"/>
    <w:rsid w:val="00E942AF"/>
    <w:rsid w:val="00E958BA"/>
    <w:rsid w:val="00E972CA"/>
    <w:rsid w:val="00E97357"/>
    <w:rsid w:val="00EA0622"/>
    <w:rsid w:val="00EA0F02"/>
    <w:rsid w:val="00EA28BA"/>
    <w:rsid w:val="00EB0259"/>
    <w:rsid w:val="00EB0C2A"/>
    <w:rsid w:val="00EB1A23"/>
    <w:rsid w:val="00EB307D"/>
    <w:rsid w:val="00EB329F"/>
    <w:rsid w:val="00EB75C2"/>
    <w:rsid w:val="00EC0197"/>
    <w:rsid w:val="00EC22B3"/>
    <w:rsid w:val="00EC2910"/>
    <w:rsid w:val="00EC3AE8"/>
    <w:rsid w:val="00EC6EB2"/>
    <w:rsid w:val="00ED0708"/>
    <w:rsid w:val="00ED1755"/>
    <w:rsid w:val="00ED23B1"/>
    <w:rsid w:val="00ED249D"/>
    <w:rsid w:val="00ED25B7"/>
    <w:rsid w:val="00ED3A7D"/>
    <w:rsid w:val="00ED3DDF"/>
    <w:rsid w:val="00ED4A75"/>
    <w:rsid w:val="00ED6E05"/>
    <w:rsid w:val="00ED78D5"/>
    <w:rsid w:val="00EE106A"/>
    <w:rsid w:val="00EE1775"/>
    <w:rsid w:val="00EE31A9"/>
    <w:rsid w:val="00EE3A8D"/>
    <w:rsid w:val="00EE5117"/>
    <w:rsid w:val="00EE560D"/>
    <w:rsid w:val="00EE7786"/>
    <w:rsid w:val="00EF1622"/>
    <w:rsid w:val="00EF564B"/>
    <w:rsid w:val="00EF65D8"/>
    <w:rsid w:val="00F0087F"/>
    <w:rsid w:val="00F00D92"/>
    <w:rsid w:val="00F01194"/>
    <w:rsid w:val="00F02054"/>
    <w:rsid w:val="00F062C1"/>
    <w:rsid w:val="00F069C2"/>
    <w:rsid w:val="00F074C7"/>
    <w:rsid w:val="00F07937"/>
    <w:rsid w:val="00F1250D"/>
    <w:rsid w:val="00F143BE"/>
    <w:rsid w:val="00F20AFB"/>
    <w:rsid w:val="00F2255E"/>
    <w:rsid w:val="00F23AA5"/>
    <w:rsid w:val="00F24BE1"/>
    <w:rsid w:val="00F24F64"/>
    <w:rsid w:val="00F266C8"/>
    <w:rsid w:val="00F32531"/>
    <w:rsid w:val="00F35380"/>
    <w:rsid w:val="00F36B22"/>
    <w:rsid w:val="00F37548"/>
    <w:rsid w:val="00F467AB"/>
    <w:rsid w:val="00F50D9A"/>
    <w:rsid w:val="00F51B06"/>
    <w:rsid w:val="00F54692"/>
    <w:rsid w:val="00F54AB3"/>
    <w:rsid w:val="00F60AA1"/>
    <w:rsid w:val="00F619C0"/>
    <w:rsid w:val="00F61CE0"/>
    <w:rsid w:val="00F62097"/>
    <w:rsid w:val="00F625A1"/>
    <w:rsid w:val="00F62DC3"/>
    <w:rsid w:val="00F705D7"/>
    <w:rsid w:val="00F7068E"/>
    <w:rsid w:val="00F709AD"/>
    <w:rsid w:val="00F72C30"/>
    <w:rsid w:val="00F73DDD"/>
    <w:rsid w:val="00F74294"/>
    <w:rsid w:val="00F74361"/>
    <w:rsid w:val="00F77B83"/>
    <w:rsid w:val="00F77DFA"/>
    <w:rsid w:val="00F80562"/>
    <w:rsid w:val="00F84FA4"/>
    <w:rsid w:val="00F86609"/>
    <w:rsid w:val="00F87B25"/>
    <w:rsid w:val="00F90C12"/>
    <w:rsid w:val="00F924B2"/>
    <w:rsid w:val="00F93F2F"/>
    <w:rsid w:val="00F96A77"/>
    <w:rsid w:val="00F9771F"/>
    <w:rsid w:val="00F97914"/>
    <w:rsid w:val="00FA0521"/>
    <w:rsid w:val="00FA1693"/>
    <w:rsid w:val="00FA26EF"/>
    <w:rsid w:val="00FA39B3"/>
    <w:rsid w:val="00FA6049"/>
    <w:rsid w:val="00FA6CEF"/>
    <w:rsid w:val="00FA719D"/>
    <w:rsid w:val="00FB117C"/>
    <w:rsid w:val="00FB6B82"/>
    <w:rsid w:val="00FC0305"/>
    <w:rsid w:val="00FC1079"/>
    <w:rsid w:val="00FC1E56"/>
    <w:rsid w:val="00FC239C"/>
    <w:rsid w:val="00FC2B7C"/>
    <w:rsid w:val="00FC354A"/>
    <w:rsid w:val="00FC7D1D"/>
    <w:rsid w:val="00FD1FFE"/>
    <w:rsid w:val="00FD2201"/>
    <w:rsid w:val="00FD32D7"/>
    <w:rsid w:val="00FD450F"/>
    <w:rsid w:val="00FD4F27"/>
    <w:rsid w:val="00FD57D2"/>
    <w:rsid w:val="00FD6300"/>
    <w:rsid w:val="00FE1574"/>
    <w:rsid w:val="00FE23DE"/>
    <w:rsid w:val="00FE24B5"/>
    <w:rsid w:val="00FE3F65"/>
    <w:rsid w:val="00FE7603"/>
    <w:rsid w:val="00FF0070"/>
    <w:rsid w:val="00FF3B5B"/>
    <w:rsid w:val="00FF436C"/>
    <w:rsid w:val="00FF4BC9"/>
    <w:rsid w:val="00FF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32DC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7EC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7EC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7EC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7EC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7EC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7EC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7EC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7EC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97EC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paragraph" w:styleId="ListParagraph">
    <w:name w:val="List Paragraph"/>
    <w:aliases w:val="Dot pt,No Spacing1,List Paragraph Char Char Char,Indicator Text,Numbered Para 1,Bullet 1,List Paragraph1,F5 List Paragraph,Bullet Points,MAIN CONTENT,OBC Bullet,List Paragraph11,List Paragrap,Colorful List - Accent 12,Bullet Styl,Bullet,L"/>
    <w:basedOn w:val="Normal"/>
    <w:link w:val="ListParagraphChar"/>
    <w:uiPriority w:val="34"/>
    <w:qFormat/>
    <w:rsid w:val="0014754C"/>
    <w:pPr>
      <w:ind w:left="720"/>
      <w:contextualSpacing/>
    </w:pPr>
  </w:style>
  <w:style w:type="paragraph" w:styleId="BalloonText">
    <w:name w:val="Balloon Text"/>
    <w:basedOn w:val="Normal"/>
    <w:link w:val="BalloonTextChar"/>
    <w:uiPriority w:val="99"/>
    <w:semiHidden/>
    <w:unhideWhenUsed/>
    <w:rsid w:val="00B10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AD8"/>
    <w:rPr>
      <w:rFonts w:ascii="Segoe UI" w:hAnsi="Segoe UI" w:cs="Segoe UI"/>
      <w:sz w:val="18"/>
      <w:szCs w:val="18"/>
    </w:rPr>
  </w:style>
  <w:style w:type="table" w:styleId="TableGrid">
    <w:name w:val="Table Grid"/>
    <w:basedOn w:val="TableNormal"/>
    <w:uiPriority w:val="59"/>
    <w:rsid w:val="00336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36B8C"/>
    <w:rPr>
      <w:sz w:val="16"/>
      <w:szCs w:val="16"/>
    </w:rPr>
  </w:style>
  <w:style w:type="paragraph" w:styleId="CommentText">
    <w:name w:val="annotation text"/>
    <w:basedOn w:val="Normal"/>
    <w:link w:val="CommentTextChar"/>
    <w:uiPriority w:val="99"/>
    <w:semiHidden/>
    <w:unhideWhenUsed/>
    <w:rsid w:val="00336B8C"/>
    <w:pPr>
      <w:spacing w:line="240" w:lineRule="auto"/>
    </w:pPr>
    <w:rPr>
      <w:sz w:val="20"/>
      <w:szCs w:val="20"/>
    </w:rPr>
  </w:style>
  <w:style w:type="character" w:customStyle="1" w:styleId="CommentTextChar">
    <w:name w:val="Comment Text Char"/>
    <w:basedOn w:val="DefaultParagraphFont"/>
    <w:link w:val="CommentText"/>
    <w:uiPriority w:val="99"/>
    <w:semiHidden/>
    <w:rsid w:val="00336B8C"/>
    <w:rPr>
      <w:sz w:val="20"/>
      <w:szCs w:val="20"/>
    </w:rPr>
  </w:style>
  <w:style w:type="paragraph" w:styleId="CommentSubject">
    <w:name w:val="annotation subject"/>
    <w:basedOn w:val="CommentText"/>
    <w:next w:val="CommentText"/>
    <w:link w:val="CommentSubjectChar"/>
    <w:uiPriority w:val="99"/>
    <w:semiHidden/>
    <w:unhideWhenUsed/>
    <w:rsid w:val="00336B8C"/>
    <w:rPr>
      <w:b/>
      <w:bCs/>
    </w:rPr>
  </w:style>
  <w:style w:type="character" w:customStyle="1" w:styleId="CommentSubjectChar">
    <w:name w:val="Comment Subject Char"/>
    <w:basedOn w:val="CommentTextChar"/>
    <w:link w:val="CommentSubject"/>
    <w:uiPriority w:val="99"/>
    <w:semiHidden/>
    <w:rsid w:val="00336B8C"/>
    <w:rPr>
      <w:b/>
      <w:bCs/>
      <w:sz w:val="20"/>
      <w:szCs w:val="20"/>
    </w:rPr>
  </w:style>
  <w:style w:type="paragraph" w:styleId="Revision">
    <w:name w:val="Revision"/>
    <w:hidden/>
    <w:uiPriority w:val="99"/>
    <w:semiHidden/>
    <w:rsid w:val="00336B8C"/>
    <w:pPr>
      <w:spacing w:after="0" w:line="240" w:lineRule="auto"/>
    </w:pPr>
  </w:style>
  <w:style w:type="paragraph" w:styleId="NoSpacing">
    <w:name w:val="No Spacing"/>
    <w:uiPriority w:val="1"/>
    <w:qFormat/>
    <w:rsid w:val="00A50F7A"/>
    <w:pPr>
      <w:spacing w:after="0" w:line="240" w:lineRule="auto"/>
    </w:pPr>
  </w:style>
  <w:style w:type="character" w:customStyle="1" w:styleId="Heading1Char">
    <w:name w:val="Heading 1 Char"/>
    <w:basedOn w:val="DefaultParagraphFont"/>
    <w:link w:val="Heading1"/>
    <w:uiPriority w:val="9"/>
    <w:rsid w:val="00297E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7E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97E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97E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97EC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97EC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97E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7E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97ECF"/>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OBC Bullet Char,Bullet Styl Char"/>
    <w:basedOn w:val="DefaultParagraphFont"/>
    <w:link w:val="ListParagraph"/>
    <w:uiPriority w:val="34"/>
    <w:locked/>
    <w:rsid w:val="00970703"/>
  </w:style>
  <w:style w:type="character" w:styleId="Hyperlink">
    <w:name w:val="Hyperlink"/>
    <w:basedOn w:val="DefaultParagraphFont"/>
    <w:uiPriority w:val="99"/>
    <w:unhideWhenUsed/>
    <w:rsid w:val="003F4C30"/>
    <w:rPr>
      <w:color w:val="0000FF" w:themeColor="hyperlink"/>
      <w:u w:val="single"/>
    </w:rPr>
  </w:style>
  <w:style w:type="numbering" w:customStyle="1" w:styleId="Style1">
    <w:name w:val="Style1"/>
    <w:uiPriority w:val="99"/>
    <w:rsid w:val="003743DC"/>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7EC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7EC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7EC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7EC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7EC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7EC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7EC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7EC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97EC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paragraph" w:styleId="ListParagraph">
    <w:name w:val="List Paragraph"/>
    <w:aliases w:val="Dot pt,No Spacing1,List Paragraph Char Char Char,Indicator Text,Numbered Para 1,Bullet 1,List Paragraph1,F5 List Paragraph,Bullet Points,MAIN CONTENT,OBC Bullet,List Paragraph11,List Paragrap,Colorful List - Accent 12,Bullet Styl,Bullet,L"/>
    <w:basedOn w:val="Normal"/>
    <w:link w:val="ListParagraphChar"/>
    <w:uiPriority w:val="34"/>
    <w:qFormat/>
    <w:rsid w:val="0014754C"/>
    <w:pPr>
      <w:ind w:left="720"/>
      <w:contextualSpacing/>
    </w:pPr>
  </w:style>
  <w:style w:type="paragraph" w:styleId="BalloonText">
    <w:name w:val="Balloon Text"/>
    <w:basedOn w:val="Normal"/>
    <w:link w:val="BalloonTextChar"/>
    <w:uiPriority w:val="99"/>
    <w:semiHidden/>
    <w:unhideWhenUsed/>
    <w:rsid w:val="00B10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AD8"/>
    <w:rPr>
      <w:rFonts w:ascii="Segoe UI" w:hAnsi="Segoe UI" w:cs="Segoe UI"/>
      <w:sz w:val="18"/>
      <w:szCs w:val="18"/>
    </w:rPr>
  </w:style>
  <w:style w:type="table" w:styleId="TableGrid">
    <w:name w:val="Table Grid"/>
    <w:basedOn w:val="TableNormal"/>
    <w:uiPriority w:val="59"/>
    <w:rsid w:val="00336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36B8C"/>
    <w:rPr>
      <w:sz w:val="16"/>
      <w:szCs w:val="16"/>
    </w:rPr>
  </w:style>
  <w:style w:type="paragraph" w:styleId="CommentText">
    <w:name w:val="annotation text"/>
    <w:basedOn w:val="Normal"/>
    <w:link w:val="CommentTextChar"/>
    <w:uiPriority w:val="99"/>
    <w:semiHidden/>
    <w:unhideWhenUsed/>
    <w:rsid w:val="00336B8C"/>
    <w:pPr>
      <w:spacing w:line="240" w:lineRule="auto"/>
    </w:pPr>
    <w:rPr>
      <w:sz w:val="20"/>
      <w:szCs w:val="20"/>
    </w:rPr>
  </w:style>
  <w:style w:type="character" w:customStyle="1" w:styleId="CommentTextChar">
    <w:name w:val="Comment Text Char"/>
    <w:basedOn w:val="DefaultParagraphFont"/>
    <w:link w:val="CommentText"/>
    <w:uiPriority w:val="99"/>
    <w:semiHidden/>
    <w:rsid w:val="00336B8C"/>
    <w:rPr>
      <w:sz w:val="20"/>
      <w:szCs w:val="20"/>
    </w:rPr>
  </w:style>
  <w:style w:type="paragraph" w:styleId="CommentSubject">
    <w:name w:val="annotation subject"/>
    <w:basedOn w:val="CommentText"/>
    <w:next w:val="CommentText"/>
    <w:link w:val="CommentSubjectChar"/>
    <w:uiPriority w:val="99"/>
    <w:semiHidden/>
    <w:unhideWhenUsed/>
    <w:rsid w:val="00336B8C"/>
    <w:rPr>
      <w:b/>
      <w:bCs/>
    </w:rPr>
  </w:style>
  <w:style w:type="character" w:customStyle="1" w:styleId="CommentSubjectChar">
    <w:name w:val="Comment Subject Char"/>
    <w:basedOn w:val="CommentTextChar"/>
    <w:link w:val="CommentSubject"/>
    <w:uiPriority w:val="99"/>
    <w:semiHidden/>
    <w:rsid w:val="00336B8C"/>
    <w:rPr>
      <w:b/>
      <w:bCs/>
      <w:sz w:val="20"/>
      <w:szCs w:val="20"/>
    </w:rPr>
  </w:style>
  <w:style w:type="paragraph" w:styleId="Revision">
    <w:name w:val="Revision"/>
    <w:hidden/>
    <w:uiPriority w:val="99"/>
    <w:semiHidden/>
    <w:rsid w:val="00336B8C"/>
    <w:pPr>
      <w:spacing w:after="0" w:line="240" w:lineRule="auto"/>
    </w:pPr>
  </w:style>
  <w:style w:type="paragraph" w:styleId="NoSpacing">
    <w:name w:val="No Spacing"/>
    <w:uiPriority w:val="1"/>
    <w:qFormat/>
    <w:rsid w:val="00A50F7A"/>
    <w:pPr>
      <w:spacing w:after="0" w:line="240" w:lineRule="auto"/>
    </w:pPr>
  </w:style>
  <w:style w:type="character" w:customStyle="1" w:styleId="Heading1Char">
    <w:name w:val="Heading 1 Char"/>
    <w:basedOn w:val="DefaultParagraphFont"/>
    <w:link w:val="Heading1"/>
    <w:uiPriority w:val="9"/>
    <w:rsid w:val="00297E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7E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97E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97E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97EC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97EC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97E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7E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97ECF"/>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OBC Bullet Char,Bullet Styl Char"/>
    <w:basedOn w:val="DefaultParagraphFont"/>
    <w:link w:val="ListParagraph"/>
    <w:uiPriority w:val="34"/>
    <w:locked/>
    <w:rsid w:val="00970703"/>
  </w:style>
  <w:style w:type="character" w:styleId="Hyperlink">
    <w:name w:val="Hyperlink"/>
    <w:basedOn w:val="DefaultParagraphFont"/>
    <w:uiPriority w:val="99"/>
    <w:unhideWhenUsed/>
    <w:rsid w:val="003F4C30"/>
    <w:rPr>
      <w:color w:val="0000FF" w:themeColor="hyperlink"/>
      <w:u w:val="single"/>
    </w:rPr>
  </w:style>
  <w:style w:type="numbering" w:customStyle="1" w:styleId="Style1">
    <w:name w:val="Style1"/>
    <w:uiPriority w:val="99"/>
    <w:rsid w:val="003743D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96507">
      <w:bodyDiv w:val="1"/>
      <w:marLeft w:val="0"/>
      <w:marRight w:val="0"/>
      <w:marTop w:val="0"/>
      <w:marBottom w:val="0"/>
      <w:divBdr>
        <w:top w:val="none" w:sz="0" w:space="0" w:color="auto"/>
        <w:left w:val="none" w:sz="0" w:space="0" w:color="auto"/>
        <w:bottom w:val="none" w:sz="0" w:space="0" w:color="auto"/>
        <w:right w:val="none" w:sz="0" w:space="0" w:color="auto"/>
      </w:divBdr>
    </w:div>
    <w:div w:id="587470466">
      <w:bodyDiv w:val="1"/>
      <w:marLeft w:val="0"/>
      <w:marRight w:val="0"/>
      <w:marTop w:val="0"/>
      <w:marBottom w:val="0"/>
      <w:divBdr>
        <w:top w:val="none" w:sz="0" w:space="0" w:color="auto"/>
        <w:left w:val="none" w:sz="0" w:space="0" w:color="auto"/>
        <w:bottom w:val="none" w:sz="0" w:space="0" w:color="auto"/>
        <w:right w:val="none" w:sz="0" w:space="0" w:color="auto"/>
      </w:divBdr>
    </w:div>
    <w:div w:id="986395952">
      <w:bodyDiv w:val="1"/>
      <w:marLeft w:val="0"/>
      <w:marRight w:val="0"/>
      <w:marTop w:val="0"/>
      <w:marBottom w:val="0"/>
      <w:divBdr>
        <w:top w:val="none" w:sz="0" w:space="0" w:color="auto"/>
        <w:left w:val="none" w:sz="0" w:space="0" w:color="auto"/>
        <w:bottom w:val="none" w:sz="0" w:space="0" w:color="auto"/>
        <w:right w:val="none" w:sz="0" w:space="0" w:color="auto"/>
      </w:divBdr>
    </w:div>
    <w:div w:id="1043094162">
      <w:bodyDiv w:val="1"/>
      <w:marLeft w:val="0"/>
      <w:marRight w:val="0"/>
      <w:marTop w:val="0"/>
      <w:marBottom w:val="0"/>
      <w:divBdr>
        <w:top w:val="none" w:sz="0" w:space="0" w:color="auto"/>
        <w:left w:val="none" w:sz="0" w:space="0" w:color="auto"/>
        <w:bottom w:val="none" w:sz="0" w:space="0" w:color="auto"/>
        <w:right w:val="none" w:sz="0" w:space="0" w:color="auto"/>
      </w:divBdr>
      <w:divsChild>
        <w:div w:id="1919359573">
          <w:marLeft w:val="547"/>
          <w:marRight w:val="0"/>
          <w:marTop w:val="0"/>
          <w:marBottom w:val="0"/>
          <w:divBdr>
            <w:top w:val="none" w:sz="0" w:space="0" w:color="auto"/>
            <w:left w:val="none" w:sz="0" w:space="0" w:color="auto"/>
            <w:bottom w:val="none" w:sz="0" w:space="0" w:color="auto"/>
            <w:right w:val="none" w:sz="0" w:space="0" w:color="auto"/>
          </w:divBdr>
        </w:div>
        <w:div w:id="1857690159">
          <w:marLeft w:val="547"/>
          <w:marRight w:val="0"/>
          <w:marTop w:val="0"/>
          <w:marBottom w:val="0"/>
          <w:divBdr>
            <w:top w:val="none" w:sz="0" w:space="0" w:color="auto"/>
            <w:left w:val="none" w:sz="0" w:space="0" w:color="auto"/>
            <w:bottom w:val="none" w:sz="0" w:space="0" w:color="auto"/>
            <w:right w:val="none" w:sz="0" w:space="0" w:color="auto"/>
          </w:divBdr>
        </w:div>
        <w:div w:id="240529388">
          <w:marLeft w:val="1253"/>
          <w:marRight w:val="0"/>
          <w:marTop w:val="0"/>
          <w:marBottom w:val="0"/>
          <w:divBdr>
            <w:top w:val="none" w:sz="0" w:space="0" w:color="auto"/>
            <w:left w:val="none" w:sz="0" w:space="0" w:color="auto"/>
            <w:bottom w:val="none" w:sz="0" w:space="0" w:color="auto"/>
            <w:right w:val="none" w:sz="0" w:space="0" w:color="auto"/>
          </w:divBdr>
        </w:div>
        <w:div w:id="1564674683">
          <w:marLeft w:val="1253"/>
          <w:marRight w:val="0"/>
          <w:marTop w:val="0"/>
          <w:marBottom w:val="0"/>
          <w:divBdr>
            <w:top w:val="none" w:sz="0" w:space="0" w:color="auto"/>
            <w:left w:val="none" w:sz="0" w:space="0" w:color="auto"/>
            <w:bottom w:val="none" w:sz="0" w:space="0" w:color="auto"/>
            <w:right w:val="none" w:sz="0" w:space="0" w:color="auto"/>
          </w:divBdr>
        </w:div>
        <w:div w:id="1213927430">
          <w:marLeft w:val="1253"/>
          <w:marRight w:val="0"/>
          <w:marTop w:val="0"/>
          <w:marBottom w:val="0"/>
          <w:divBdr>
            <w:top w:val="none" w:sz="0" w:space="0" w:color="auto"/>
            <w:left w:val="none" w:sz="0" w:space="0" w:color="auto"/>
            <w:bottom w:val="none" w:sz="0" w:space="0" w:color="auto"/>
            <w:right w:val="none" w:sz="0" w:space="0" w:color="auto"/>
          </w:divBdr>
        </w:div>
        <w:div w:id="1571386724">
          <w:marLeft w:val="1253"/>
          <w:marRight w:val="0"/>
          <w:marTop w:val="0"/>
          <w:marBottom w:val="0"/>
          <w:divBdr>
            <w:top w:val="none" w:sz="0" w:space="0" w:color="auto"/>
            <w:left w:val="none" w:sz="0" w:space="0" w:color="auto"/>
            <w:bottom w:val="none" w:sz="0" w:space="0" w:color="auto"/>
            <w:right w:val="none" w:sz="0" w:space="0" w:color="auto"/>
          </w:divBdr>
        </w:div>
        <w:div w:id="893006879">
          <w:marLeft w:val="547"/>
          <w:marRight w:val="0"/>
          <w:marTop w:val="0"/>
          <w:marBottom w:val="0"/>
          <w:divBdr>
            <w:top w:val="none" w:sz="0" w:space="0" w:color="auto"/>
            <w:left w:val="none" w:sz="0" w:space="0" w:color="auto"/>
            <w:bottom w:val="none" w:sz="0" w:space="0" w:color="auto"/>
            <w:right w:val="none" w:sz="0" w:space="0" w:color="auto"/>
          </w:divBdr>
        </w:div>
        <w:div w:id="75521592">
          <w:marLeft w:val="547"/>
          <w:marRight w:val="0"/>
          <w:marTop w:val="0"/>
          <w:marBottom w:val="0"/>
          <w:divBdr>
            <w:top w:val="none" w:sz="0" w:space="0" w:color="auto"/>
            <w:left w:val="none" w:sz="0" w:space="0" w:color="auto"/>
            <w:bottom w:val="none" w:sz="0" w:space="0" w:color="auto"/>
            <w:right w:val="none" w:sz="0" w:space="0" w:color="auto"/>
          </w:divBdr>
        </w:div>
      </w:divsChild>
    </w:div>
    <w:div w:id="1414737108">
      <w:bodyDiv w:val="1"/>
      <w:marLeft w:val="0"/>
      <w:marRight w:val="0"/>
      <w:marTop w:val="0"/>
      <w:marBottom w:val="0"/>
      <w:divBdr>
        <w:top w:val="none" w:sz="0" w:space="0" w:color="auto"/>
        <w:left w:val="none" w:sz="0" w:space="0" w:color="auto"/>
        <w:bottom w:val="none" w:sz="0" w:space="0" w:color="auto"/>
        <w:right w:val="none" w:sz="0" w:space="0" w:color="auto"/>
      </w:divBdr>
    </w:div>
    <w:div w:id="1566724133">
      <w:bodyDiv w:val="1"/>
      <w:marLeft w:val="0"/>
      <w:marRight w:val="0"/>
      <w:marTop w:val="0"/>
      <w:marBottom w:val="0"/>
      <w:divBdr>
        <w:top w:val="none" w:sz="0" w:space="0" w:color="auto"/>
        <w:left w:val="none" w:sz="0" w:space="0" w:color="auto"/>
        <w:bottom w:val="none" w:sz="0" w:space="0" w:color="auto"/>
        <w:right w:val="none" w:sz="0" w:space="0" w:color="auto"/>
      </w:divBdr>
    </w:div>
    <w:div w:id="1643346514">
      <w:bodyDiv w:val="1"/>
      <w:marLeft w:val="0"/>
      <w:marRight w:val="0"/>
      <w:marTop w:val="0"/>
      <w:marBottom w:val="0"/>
      <w:divBdr>
        <w:top w:val="none" w:sz="0" w:space="0" w:color="auto"/>
        <w:left w:val="none" w:sz="0" w:space="0" w:color="auto"/>
        <w:bottom w:val="none" w:sz="0" w:space="0" w:color="auto"/>
        <w:right w:val="none" w:sz="0" w:space="0" w:color="auto"/>
      </w:divBdr>
    </w:div>
    <w:div w:id="1669821322">
      <w:bodyDiv w:val="1"/>
      <w:marLeft w:val="0"/>
      <w:marRight w:val="0"/>
      <w:marTop w:val="0"/>
      <w:marBottom w:val="0"/>
      <w:divBdr>
        <w:top w:val="none" w:sz="0" w:space="0" w:color="auto"/>
        <w:left w:val="none" w:sz="0" w:space="0" w:color="auto"/>
        <w:bottom w:val="none" w:sz="0" w:space="0" w:color="auto"/>
        <w:right w:val="none" w:sz="0" w:space="0" w:color="auto"/>
      </w:divBdr>
    </w:div>
    <w:div w:id="20110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7AF4-2F7F-4E0E-9F31-8C982D7BB10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90097DC-7955-41E2-82C4-8742E711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15753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Gascoigne</dc:creator>
  <cp:lastModifiedBy>egascoig</cp:lastModifiedBy>
  <cp:revision>5</cp:revision>
  <cp:lastPrinted>2017-03-22T16:15:00Z</cp:lastPrinted>
  <dcterms:created xsi:type="dcterms:W3CDTF">2017-11-08T13:17:00Z</dcterms:created>
  <dcterms:modified xsi:type="dcterms:W3CDTF">2017-11-13T16:19:00Z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d0d8f693-938e-4d42-94ee-f149f92f3cc7</vt:lpwstr>
  </property>
  <property fmtid="{D5CDD505-2E9C-101B-9397-08002B2CF9AE}" pid="3" name="bjSaver">
    <vt:lpwstr>SiSPU+S7Jo7NUD0plix+rPf2Iul3hnlB</vt:lpwstr>
  </property>
  <property fmtid="{D5CDD505-2E9C-101B-9397-08002B2CF9AE}" pid="4" name="bjDocumentSecurityLabel">
    <vt:lpwstr>No Marking</vt:lpwstr>
  </property>
</Properties>
</file>