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BCD0D" w14:textId="21DF8126" w:rsidR="00DE16A0" w:rsidRDefault="00DE16A0" w:rsidP="00DE16A0">
      <w:pPr>
        <w:ind w:left="-720"/>
        <w:rPr>
          <w:rFonts w:cs="Arial"/>
          <w:b/>
          <w:sz w:val="32"/>
        </w:rPr>
      </w:pPr>
      <w:r>
        <w:rPr>
          <w:rFonts w:cs="Arial"/>
          <w:b/>
          <w:sz w:val="32"/>
        </w:rPr>
        <w:t>Note</w:t>
      </w:r>
      <w:r w:rsidR="00CF3AF4">
        <w:rPr>
          <w:rFonts w:cs="Arial"/>
          <w:b/>
          <w:sz w:val="32"/>
        </w:rPr>
        <w:t>s</w:t>
      </w:r>
      <w:r>
        <w:rPr>
          <w:rFonts w:cs="Arial"/>
          <w:b/>
          <w:sz w:val="32"/>
        </w:rPr>
        <w:t xml:space="preserve"> of Business Rates Retention Steering Group </w:t>
      </w:r>
      <w:r w:rsidR="001403F7">
        <w:rPr>
          <w:rFonts w:cs="Arial"/>
          <w:b/>
          <w:sz w:val="32"/>
        </w:rPr>
        <w:t>M</w:t>
      </w:r>
      <w:r>
        <w:rPr>
          <w:rFonts w:cs="Arial"/>
          <w:b/>
          <w:sz w:val="32"/>
        </w:rPr>
        <w:t>eeting</w:t>
      </w:r>
    </w:p>
    <w:p w14:paraId="53B6214C" w14:textId="77777777" w:rsidR="00DE16A0" w:rsidRDefault="00DE16A0" w:rsidP="00DE16A0">
      <w:pPr>
        <w:ind w:left="-720"/>
        <w:rPr>
          <w:rFonts w:cs="Arial"/>
          <w:sz w:val="18"/>
          <w:szCs w:val="18"/>
        </w:rPr>
      </w:pPr>
    </w:p>
    <w:tbl>
      <w:tblPr>
        <w:tblW w:w="9285" w:type="dxa"/>
        <w:tblInd w:w="-720" w:type="dxa"/>
        <w:tblLayout w:type="fixed"/>
        <w:tblLook w:val="04A0" w:firstRow="1" w:lastRow="0" w:firstColumn="1" w:lastColumn="0" w:noHBand="0" w:noVBand="1"/>
      </w:tblPr>
      <w:tblGrid>
        <w:gridCol w:w="2159"/>
        <w:gridCol w:w="7126"/>
      </w:tblGrid>
      <w:tr w:rsidR="00DE16A0" w14:paraId="4008DAAB" w14:textId="77777777" w:rsidTr="00365DEC">
        <w:tc>
          <w:tcPr>
            <w:tcW w:w="2160" w:type="dxa"/>
            <w:tcBorders>
              <w:top w:val="single" w:sz="12" w:space="0" w:color="auto"/>
              <w:left w:val="nil"/>
              <w:bottom w:val="nil"/>
              <w:right w:val="nil"/>
            </w:tcBorders>
            <w:tcMar>
              <w:top w:w="115" w:type="dxa"/>
              <w:left w:w="115" w:type="dxa"/>
              <w:bottom w:w="0" w:type="dxa"/>
              <w:right w:w="115" w:type="dxa"/>
            </w:tcMar>
          </w:tcPr>
          <w:p w14:paraId="0D283595" w14:textId="77777777" w:rsidR="00DE16A0" w:rsidRDefault="00DE16A0" w:rsidP="00365DEC">
            <w:pPr>
              <w:rPr>
                <w:b/>
              </w:rPr>
            </w:pPr>
            <w:r>
              <w:rPr>
                <w:b/>
              </w:rPr>
              <w:t>Title:</w:t>
            </w:r>
          </w:p>
          <w:p w14:paraId="5A9C47DB" w14:textId="77777777" w:rsidR="00DE16A0" w:rsidRDefault="00DE16A0" w:rsidP="00365DEC">
            <w:pPr>
              <w:rPr>
                <w:b/>
                <w:sz w:val="16"/>
                <w:szCs w:val="16"/>
              </w:rPr>
            </w:pPr>
          </w:p>
        </w:tc>
        <w:tc>
          <w:tcPr>
            <w:tcW w:w="7128" w:type="dxa"/>
            <w:tcBorders>
              <w:top w:val="single" w:sz="12" w:space="0" w:color="auto"/>
              <w:left w:val="nil"/>
              <w:bottom w:val="nil"/>
              <w:right w:val="nil"/>
            </w:tcBorders>
            <w:tcMar>
              <w:top w:w="115" w:type="dxa"/>
              <w:left w:w="115" w:type="dxa"/>
              <w:bottom w:w="0" w:type="dxa"/>
              <w:right w:w="115" w:type="dxa"/>
            </w:tcMar>
            <w:hideMark/>
          </w:tcPr>
          <w:p w14:paraId="387D7546" w14:textId="77777777" w:rsidR="00DE16A0" w:rsidRDefault="00DE16A0" w:rsidP="00365DEC">
            <w:r>
              <w:rPr>
                <w:szCs w:val="40"/>
              </w:rPr>
              <w:t>Business Rates Retention Steering Group</w:t>
            </w:r>
          </w:p>
        </w:tc>
      </w:tr>
      <w:tr w:rsidR="00DE16A0" w14:paraId="6DCB8DD6" w14:textId="77777777" w:rsidTr="00365DEC">
        <w:tc>
          <w:tcPr>
            <w:tcW w:w="2160" w:type="dxa"/>
          </w:tcPr>
          <w:p w14:paraId="2EB99C9A" w14:textId="77777777" w:rsidR="00DE16A0" w:rsidRDefault="00DE16A0" w:rsidP="00365DEC">
            <w:pPr>
              <w:rPr>
                <w:b/>
              </w:rPr>
            </w:pPr>
            <w:r>
              <w:rPr>
                <w:b/>
              </w:rPr>
              <w:t>Date:</w:t>
            </w:r>
          </w:p>
          <w:p w14:paraId="21B9888E" w14:textId="77777777" w:rsidR="00DE16A0" w:rsidRDefault="00DE16A0" w:rsidP="00365DEC">
            <w:pPr>
              <w:rPr>
                <w:b/>
                <w:sz w:val="16"/>
                <w:szCs w:val="16"/>
              </w:rPr>
            </w:pPr>
          </w:p>
        </w:tc>
        <w:tc>
          <w:tcPr>
            <w:tcW w:w="7128" w:type="dxa"/>
            <w:hideMark/>
          </w:tcPr>
          <w:p w14:paraId="65B8636F" w14:textId="77777777" w:rsidR="00DE16A0" w:rsidRDefault="00DE16A0" w:rsidP="00365DEC">
            <w:r>
              <w:t>Tuesday 9 April 2019</w:t>
            </w:r>
          </w:p>
        </w:tc>
      </w:tr>
      <w:tr w:rsidR="00DE16A0" w14:paraId="66E29358" w14:textId="77777777" w:rsidTr="00365DEC">
        <w:tc>
          <w:tcPr>
            <w:tcW w:w="2160" w:type="dxa"/>
            <w:hideMark/>
          </w:tcPr>
          <w:p w14:paraId="350D35E4" w14:textId="77777777" w:rsidR="00DE16A0" w:rsidRDefault="00DE16A0" w:rsidP="00365DEC">
            <w:pPr>
              <w:rPr>
                <w:b/>
              </w:rPr>
            </w:pPr>
            <w:r>
              <w:rPr>
                <w:b/>
              </w:rPr>
              <w:t>Venue:</w:t>
            </w:r>
          </w:p>
        </w:tc>
        <w:tc>
          <w:tcPr>
            <w:tcW w:w="7128" w:type="dxa"/>
            <w:hideMark/>
          </w:tcPr>
          <w:p w14:paraId="56D93C13" w14:textId="77777777" w:rsidR="00DE16A0" w:rsidRDefault="00DE16A0" w:rsidP="00DE16A0">
            <w:r>
              <w:rPr>
                <w:szCs w:val="24"/>
              </w:rPr>
              <w:t>Smith Square 1 &amp; 2, 18 Smith Square, London SW1P 3HZ</w:t>
            </w:r>
          </w:p>
        </w:tc>
      </w:tr>
      <w:tr w:rsidR="00DE16A0" w14:paraId="35324D13" w14:textId="77777777" w:rsidTr="00365DEC">
        <w:tc>
          <w:tcPr>
            <w:tcW w:w="2160" w:type="dxa"/>
            <w:tcBorders>
              <w:top w:val="nil"/>
              <w:left w:val="nil"/>
              <w:bottom w:val="single" w:sz="12" w:space="0" w:color="auto"/>
              <w:right w:val="nil"/>
            </w:tcBorders>
          </w:tcPr>
          <w:p w14:paraId="1D3B8D22" w14:textId="77777777" w:rsidR="00DE16A0" w:rsidRDefault="00DE16A0" w:rsidP="00365DEC">
            <w:pPr>
              <w:rPr>
                <w:b/>
                <w:sz w:val="12"/>
                <w:szCs w:val="12"/>
              </w:rPr>
            </w:pPr>
          </w:p>
        </w:tc>
        <w:tc>
          <w:tcPr>
            <w:tcW w:w="7128" w:type="dxa"/>
            <w:tcBorders>
              <w:top w:val="nil"/>
              <w:left w:val="nil"/>
              <w:bottom w:val="single" w:sz="12" w:space="0" w:color="auto"/>
              <w:right w:val="nil"/>
            </w:tcBorders>
          </w:tcPr>
          <w:p w14:paraId="10A215FD" w14:textId="77777777" w:rsidR="00DE16A0" w:rsidRDefault="00DE16A0" w:rsidP="00365DEC">
            <w:pPr>
              <w:rPr>
                <w:sz w:val="12"/>
                <w:szCs w:val="12"/>
              </w:rPr>
            </w:pPr>
          </w:p>
        </w:tc>
      </w:tr>
    </w:tbl>
    <w:p w14:paraId="65C39449" w14:textId="77777777" w:rsidR="00DE16A0" w:rsidRDefault="00DE16A0" w:rsidP="00DE16A0"/>
    <w:p w14:paraId="1B1CB22D" w14:textId="77777777" w:rsidR="00DE16A0" w:rsidRDefault="00DE16A0" w:rsidP="00DE16A0">
      <w:pPr>
        <w:ind w:left="-720"/>
        <w:rPr>
          <w:b/>
        </w:rPr>
      </w:pPr>
      <w:r w:rsidRPr="008D2EAE">
        <w:rPr>
          <w:b/>
        </w:rPr>
        <w:t>Attendance</w:t>
      </w:r>
    </w:p>
    <w:p w14:paraId="36EC3347" w14:textId="77777777" w:rsidR="00DE16A0" w:rsidRPr="008D2EAE" w:rsidRDefault="00DE16A0" w:rsidP="00DE16A0">
      <w:pPr>
        <w:ind w:left="-720"/>
        <w:rPr>
          <w:b/>
        </w:rPr>
      </w:pPr>
    </w:p>
    <w:p w14:paraId="1E77F6D9" w14:textId="77777777" w:rsidR="00DE16A0" w:rsidRDefault="00DE16A0" w:rsidP="00DE16A0">
      <w:pPr>
        <w:ind w:left="-720"/>
      </w:pPr>
      <w:r w:rsidRPr="008D2EAE">
        <w:t xml:space="preserve">An attendance list is attached as </w:t>
      </w:r>
      <w:r w:rsidRPr="008D2EAE">
        <w:rPr>
          <w:b/>
          <w:u w:val="single"/>
        </w:rPr>
        <w:t>Appendix A</w:t>
      </w:r>
      <w:r w:rsidRPr="008D2EAE">
        <w:t xml:space="preserve"> to this note.</w:t>
      </w:r>
    </w:p>
    <w:p w14:paraId="7B45A451" w14:textId="77777777" w:rsidR="00DE16A0" w:rsidRDefault="00DE16A0" w:rsidP="00DE16A0"/>
    <w:tbl>
      <w:tblPr>
        <w:tblW w:w="9792" w:type="dxa"/>
        <w:tblInd w:w="-720" w:type="dxa"/>
        <w:shd w:val="clear" w:color="auto" w:fill="BFBFBF"/>
        <w:tblLayout w:type="fixed"/>
        <w:tblCellMar>
          <w:top w:w="115" w:type="dxa"/>
          <w:left w:w="115" w:type="dxa"/>
          <w:right w:w="115" w:type="dxa"/>
        </w:tblCellMar>
        <w:tblLook w:val="04A0" w:firstRow="1" w:lastRow="0" w:firstColumn="1" w:lastColumn="0" w:noHBand="0" w:noVBand="1"/>
      </w:tblPr>
      <w:tblGrid>
        <w:gridCol w:w="720"/>
        <w:gridCol w:w="7488"/>
        <w:gridCol w:w="1301"/>
        <w:gridCol w:w="283"/>
      </w:tblGrid>
      <w:tr w:rsidR="00DE16A0" w14:paraId="62C18A16" w14:textId="77777777" w:rsidTr="00365DEC">
        <w:tc>
          <w:tcPr>
            <w:tcW w:w="720" w:type="dxa"/>
            <w:shd w:val="clear" w:color="auto" w:fill="BFBFBF"/>
            <w:hideMark/>
          </w:tcPr>
          <w:p w14:paraId="39BDAE30" w14:textId="77777777" w:rsidR="00DE16A0" w:rsidRDefault="00DE16A0" w:rsidP="00365DEC">
            <w:pPr>
              <w:rPr>
                <w:b/>
              </w:rPr>
            </w:pPr>
            <w:r>
              <w:rPr>
                <w:b/>
              </w:rPr>
              <w:t>Item</w:t>
            </w:r>
          </w:p>
        </w:tc>
        <w:tc>
          <w:tcPr>
            <w:tcW w:w="7488" w:type="dxa"/>
            <w:shd w:val="clear" w:color="auto" w:fill="BFBFBF"/>
            <w:hideMark/>
          </w:tcPr>
          <w:p w14:paraId="3CD03D88" w14:textId="77777777" w:rsidR="00DE16A0" w:rsidRDefault="00DE16A0" w:rsidP="00365DEC">
            <w:pPr>
              <w:widowControl w:val="0"/>
              <w:rPr>
                <w:b/>
              </w:rPr>
            </w:pPr>
            <w:r>
              <w:rPr>
                <w:b/>
              </w:rPr>
              <w:t>Decisions and actions</w:t>
            </w:r>
          </w:p>
        </w:tc>
        <w:tc>
          <w:tcPr>
            <w:tcW w:w="1584" w:type="dxa"/>
            <w:gridSpan w:val="2"/>
            <w:shd w:val="clear" w:color="auto" w:fill="BFBFBF"/>
            <w:hideMark/>
          </w:tcPr>
          <w:p w14:paraId="1BD558EF" w14:textId="77777777" w:rsidR="00DE16A0" w:rsidRDefault="00DE16A0" w:rsidP="00365DEC">
            <w:pPr>
              <w:widowControl w:val="0"/>
              <w:rPr>
                <w:b/>
                <w:bCs/>
              </w:rPr>
            </w:pPr>
          </w:p>
        </w:tc>
      </w:tr>
      <w:tr w:rsidR="00DE16A0" w:rsidRPr="00DD0E58" w14:paraId="49C08B82" w14:textId="77777777" w:rsidTr="00365DEC">
        <w:tblPrEx>
          <w:shd w:val="clear" w:color="auto" w:fill="auto"/>
        </w:tblPrEx>
        <w:trPr>
          <w:trHeight w:val="791"/>
        </w:trPr>
        <w:tc>
          <w:tcPr>
            <w:tcW w:w="720" w:type="dxa"/>
          </w:tcPr>
          <w:p w14:paraId="35DB4FD9" w14:textId="77777777" w:rsidR="00DE16A0" w:rsidRPr="00DD0E58" w:rsidRDefault="00DE16A0" w:rsidP="00365DEC">
            <w:pPr>
              <w:rPr>
                <w:b/>
                <w:szCs w:val="22"/>
              </w:rPr>
            </w:pPr>
            <w:r w:rsidRPr="00DD0E58">
              <w:rPr>
                <w:b/>
              </w:rPr>
              <w:t xml:space="preserve"> </w:t>
            </w:r>
            <w:r w:rsidRPr="00DD0E58">
              <w:rPr>
                <w:b/>
                <w:szCs w:val="22"/>
              </w:rPr>
              <w:t>1</w:t>
            </w:r>
          </w:p>
          <w:p w14:paraId="39931A37" w14:textId="77777777" w:rsidR="00DE16A0" w:rsidRPr="00DD0E58" w:rsidRDefault="00DE16A0" w:rsidP="00365DEC">
            <w:pPr>
              <w:rPr>
                <w:szCs w:val="22"/>
              </w:rPr>
            </w:pPr>
          </w:p>
          <w:p w14:paraId="5B617669" w14:textId="77777777" w:rsidR="00DE16A0" w:rsidRPr="00DD0E58" w:rsidRDefault="00DE16A0" w:rsidP="00365DEC">
            <w:pPr>
              <w:rPr>
                <w:szCs w:val="22"/>
              </w:rPr>
            </w:pPr>
          </w:p>
          <w:p w14:paraId="45089075" w14:textId="77777777" w:rsidR="00DE16A0" w:rsidRPr="00DD0E58" w:rsidRDefault="00DE16A0" w:rsidP="00365DEC">
            <w:pPr>
              <w:rPr>
                <w:szCs w:val="22"/>
              </w:rPr>
            </w:pPr>
          </w:p>
        </w:tc>
        <w:tc>
          <w:tcPr>
            <w:tcW w:w="8789" w:type="dxa"/>
            <w:gridSpan w:val="2"/>
          </w:tcPr>
          <w:p w14:paraId="749AAB12" w14:textId="77777777" w:rsidR="00DE16A0" w:rsidRPr="00DD0E58" w:rsidRDefault="00DE16A0" w:rsidP="00365DEC">
            <w:pPr>
              <w:rPr>
                <w:b/>
                <w:szCs w:val="22"/>
              </w:rPr>
            </w:pPr>
            <w:r w:rsidRPr="00DD0E58">
              <w:rPr>
                <w:b/>
                <w:szCs w:val="22"/>
              </w:rPr>
              <w:t>Welcome, Introductions and Apologies</w:t>
            </w:r>
          </w:p>
          <w:p w14:paraId="6CA1D82F" w14:textId="77777777" w:rsidR="00DE16A0" w:rsidRPr="00DD0E58" w:rsidRDefault="00DE16A0" w:rsidP="00365DEC">
            <w:pPr>
              <w:rPr>
                <w:b/>
                <w:szCs w:val="22"/>
              </w:rPr>
            </w:pPr>
          </w:p>
          <w:p w14:paraId="17EF6CA7" w14:textId="77777777" w:rsidR="00DE16A0" w:rsidRPr="00DD0E58" w:rsidRDefault="00DE16A0" w:rsidP="00365DEC">
            <w:pPr>
              <w:rPr>
                <w:szCs w:val="22"/>
              </w:rPr>
            </w:pPr>
            <w:r w:rsidRPr="00DD0E58">
              <w:rPr>
                <w:szCs w:val="22"/>
              </w:rPr>
              <w:t>Members were welcomed to the meeting.</w:t>
            </w:r>
          </w:p>
          <w:p w14:paraId="5727F398" w14:textId="77777777" w:rsidR="0082516B" w:rsidRDefault="0082516B" w:rsidP="00365DEC">
            <w:pPr>
              <w:rPr>
                <w:szCs w:val="22"/>
              </w:rPr>
            </w:pPr>
          </w:p>
          <w:p w14:paraId="32B8FF83" w14:textId="77777777" w:rsidR="00DE16A0" w:rsidRPr="006427A8" w:rsidRDefault="00DE16A0" w:rsidP="00365DEC">
            <w:pPr>
              <w:rPr>
                <w:szCs w:val="22"/>
              </w:rPr>
            </w:pPr>
            <w:r w:rsidRPr="00DD0E58">
              <w:rPr>
                <w:szCs w:val="22"/>
              </w:rPr>
              <w:t xml:space="preserve">Apologies were noted </w:t>
            </w:r>
            <w:r>
              <w:rPr>
                <w:szCs w:val="22"/>
              </w:rPr>
              <w:t>for</w:t>
            </w:r>
            <w:r w:rsidRPr="00DE16A0">
              <w:rPr>
                <w:color w:val="FF0000"/>
                <w:szCs w:val="22"/>
              </w:rPr>
              <w:t xml:space="preserve"> </w:t>
            </w:r>
            <w:r w:rsidR="006427A8" w:rsidRPr="006427A8">
              <w:rPr>
                <w:szCs w:val="22"/>
              </w:rPr>
              <w:t>Duncan Savage, Joe Chesterton</w:t>
            </w:r>
            <w:r w:rsidR="006427A8">
              <w:rPr>
                <w:szCs w:val="22"/>
              </w:rPr>
              <w:t>,</w:t>
            </w:r>
            <w:r w:rsidR="006427A8" w:rsidRPr="006427A8">
              <w:rPr>
                <w:szCs w:val="22"/>
              </w:rPr>
              <w:t xml:space="preserve"> Richard Flinton</w:t>
            </w:r>
            <w:r w:rsidR="006427A8">
              <w:rPr>
                <w:szCs w:val="22"/>
              </w:rPr>
              <w:t xml:space="preserve"> and Joanne Pitt</w:t>
            </w:r>
            <w:r w:rsidR="006427A8" w:rsidRPr="006427A8">
              <w:rPr>
                <w:szCs w:val="22"/>
              </w:rPr>
              <w:t>.</w:t>
            </w:r>
          </w:p>
          <w:p w14:paraId="7E2F10A3" w14:textId="77777777" w:rsidR="00DE16A0" w:rsidRPr="00DD0E58" w:rsidRDefault="00DE16A0" w:rsidP="00365DEC">
            <w:pPr>
              <w:rPr>
                <w:szCs w:val="22"/>
              </w:rPr>
            </w:pPr>
          </w:p>
        </w:tc>
        <w:tc>
          <w:tcPr>
            <w:tcW w:w="283" w:type="dxa"/>
          </w:tcPr>
          <w:p w14:paraId="6E9E4B6D" w14:textId="77777777" w:rsidR="00DE16A0" w:rsidRPr="00DD0E58" w:rsidRDefault="00DE16A0" w:rsidP="00365DEC">
            <w:pPr>
              <w:widowControl w:val="0"/>
              <w:ind w:left="2880"/>
              <w:jc w:val="center"/>
              <w:rPr>
                <w:bCs/>
                <w:szCs w:val="22"/>
              </w:rPr>
            </w:pPr>
          </w:p>
        </w:tc>
      </w:tr>
    </w:tbl>
    <w:p w14:paraId="7AB4DE41" w14:textId="77777777" w:rsidR="00DE16A0" w:rsidRPr="000C098C" w:rsidRDefault="00DE16A0" w:rsidP="00DE16A0">
      <w:pPr>
        <w:rPr>
          <w:vanish/>
          <w:szCs w:val="22"/>
        </w:rPr>
      </w:pPr>
      <w:r w:rsidRPr="000C098C">
        <w:rPr>
          <w:vanish/>
          <w:szCs w:val="22"/>
        </w:rPr>
        <w:t>&lt;/AI3&gt;</w:t>
      </w:r>
    </w:p>
    <w:p w14:paraId="07BF5043" w14:textId="77777777" w:rsidR="00DE16A0" w:rsidRPr="000C098C" w:rsidRDefault="00DE16A0" w:rsidP="00DE16A0">
      <w:pPr>
        <w:rPr>
          <w:vanish/>
          <w:szCs w:val="22"/>
        </w:rPr>
      </w:pPr>
      <w:r w:rsidRPr="000C098C">
        <w:rPr>
          <w:vanish/>
          <w:szCs w:val="22"/>
        </w:rPr>
        <w:t>&lt;AI4&gt;</w:t>
      </w:r>
    </w:p>
    <w:p w14:paraId="5176DC80" w14:textId="77777777" w:rsidR="00DE16A0" w:rsidRPr="000C098C" w:rsidRDefault="00DE16A0" w:rsidP="00DE16A0">
      <w:pPr>
        <w:rPr>
          <w:vanish/>
          <w:szCs w:val="22"/>
        </w:rPr>
      </w:pPr>
      <w:r w:rsidRPr="000C098C">
        <w:rPr>
          <w:vanish/>
          <w:szCs w:val="22"/>
        </w:rPr>
        <w:t>&lt;/AI4&gt;</w:t>
      </w:r>
    </w:p>
    <w:p w14:paraId="57F60340" w14:textId="77777777" w:rsidR="00DE16A0" w:rsidRPr="000C098C" w:rsidRDefault="00DE16A0" w:rsidP="00DE16A0">
      <w:pPr>
        <w:rPr>
          <w:vanish/>
          <w:szCs w:val="22"/>
        </w:rPr>
      </w:pPr>
      <w:r w:rsidRPr="000C098C">
        <w:rPr>
          <w:vanish/>
          <w:szCs w:val="22"/>
        </w:rPr>
        <w:t>&lt;AI5&gt;</w:t>
      </w:r>
    </w:p>
    <w:tbl>
      <w:tblPr>
        <w:tblW w:w="9792" w:type="dxa"/>
        <w:tblInd w:w="-720" w:type="dxa"/>
        <w:tblLayout w:type="fixed"/>
        <w:tblCellMar>
          <w:top w:w="115" w:type="dxa"/>
          <w:left w:w="115" w:type="dxa"/>
          <w:right w:w="115" w:type="dxa"/>
        </w:tblCellMar>
        <w:tblLook w:val="04A0" w:firstRow="1" w:lastRow="0" w:firstColumn="1" w:lastColumn="0" w:noHBand="0" w:noVBand="1"/>
      </w:tblPr>
      <w:tblGrid>
        <w:gridCol w:w="720"/>
        <w:gridCol w:w="8789"/>
        <w:gridCol w:w="283"/>
      </w:tblGrid>
      <w:tr w:rsidR="00DE16A0" w:rsidRPr="000C098C" w14:paraId="0BB2F38F" w14:textId="77777777" w:rsidTr="00365DEC">
        <w:tc>
          <w:tcPr>
            <w:tcW w:w="720" w:type="dxa"/>
            <w:hideMark/>
          </w:tcPr>
          <w:p w14:paraId="13E7858B" w14:textId="77777777" w:rsidR="00DE16A0" w:rsidRPr="000C098C" w:rsidRDefault="00DE16A0" w:rsidP="00365DEC">
            <w:pPr>
              <w:rPr>
                <w:b/>
                <w:szCs w:val="22"/>
              </w:rPr>
            </w:pPr>
            <w:r w:rsidRPr="000C098C">
              <w:rPr>
                <w:b/>
                <w:szCs w:val="22"/>
              </w:rPr>
              <w:t>2</w:t>
            </w:r>
          </w:p>
        </w:tc>
        <w:tc>
          <w:tcPr>
            <w:tcW w:w="8789" w:type="dxa"/>
            <w:hideMark/>
          </w:tcPr>
          <w:p w14:paraId="33FAF06D" w14:textId="77777777" w:rsidR="00DE16A0" w:rsidRPr="000C098C" w:rsidRDefault="00DE16A0" w:rsidP="00365DEC">
            <w:pPr>
              <w:widowControl w:val="0"/>
              <w:rPr>
                <w:b/>
                <w:szCs w:val="22"/>
              </w:rPr>
            </w:pPr>
            <w:r w:rsidRPr="000C098C">
              <w:rPr>
                <w:b/>
                <w:szCs w:val="22"/>
              </w:rPr>
              <w:t>Minutes of the last meeting</w:t>
            </w:r>
          </w:p>
          <w:p w14:paraId="3CE651A6" w14:textId="77777777" w:rsidR="00DE16A0" w:rsidRPr="000C098C" w:rsidRDefault="00DE16A0" w:rsidP="00365DEC">
            <w:pPr>
              <w:widowControl w:val="0"/>
              <w:rPr>
                <w:b/>
                <w:szCs w:val="22"/>
              </w:rPr>
            </w:pPr>
          </w:p>
          <w:p w14:paraId="6AD73527" w14:textId="77777777" w:rsidR="00DE16A0" w:rsidRPr="000C098C" w:rsidRDefault="00DE16A0" w:rsidP="00365DEC">
            <w:pPr>
              <w:widowControl w:val="0"/>
              <w:spacing w:after="240"/>
              <w:rPr>
                <w:szCs w:val="22"/>
              </w:rPr>
            </w:pPr>
            <w:r w:rsidRPr="000C098C">
              <w:rPr>
                <w:szCs w:val="22"/>
              </w:rPr>
              <w:t xml:space="preserve">The minutes were agreed as an accurate summary of the discussion held at the previous meeting. </w:t>
            </w:r>
          </w:p>
        </w:tc>
        <w:tc>
          <w:tcPr>
            <w:tcW w:w="283" w:type="dxa"/>
          </w:tcPr>
          <w:p w14:paraId="5D1F0FEE" w14:textId="77777777" w:rsidR="00DE16A0" w:rsidRPr="000C098C" w:rsidRDefault="00DE16A0" w:rsidP="00365DEC">
            <w:pPr>
              <w:widowControl w:val="0"/>
              <w:rPr>
                <w:bCs/>
                <w:szCs w:val="22"/>
              </w:rPr>
            </w:pPr>
          </w:p>
        </w:tc>
      </w:tr>
    </w:tbl>
    <w:p w14:paraId="6B365D1C" w14:textId="77777777" w:rsidR="00DE16A0" w:rsidRPr="00197550" w:rsidRDefault="00DE16A0" w:rsidP="00DE16A0">
      <w:pPr>
        <w:rPr>
          <w:vanish/>
          <w:szCs w:val="22"/>
        </w:rPr>
      </w:pPr>
      <w:r w:rsidRPr="00197550">
        <w:rPr>
          <w:vanish/>
          <w:szCs w:val="22"/>
        </w:rPr>
        <w:t>&lt;/AI5&gt;</w:t>
      </w:r>
    </w:p>
    <w:p w14:paraId="1F9EE2CD" w14:textId="77777777" w:rsidR="00DE16A0" w:rsidRPr="00197550" w:rsidRDefault="00DE16A0" w:rsidP="00DE16A0">
      <w:pPr>
        <w:rPr>
          <w:vanish/>
          <w:szCs w:val="22"/>
        </w:rPr>
      </w:pPr>
      <w:r w:rsidRPr="00197550">
        <w:rPr>
          <w:vanish/>
          <w:szCs w:val="22"/>
        </w:rPr>
        <w:t>&lt;AI6&gt;</w:t>
      </w:r>
    </w:p>
    <w:tbl>
      <w:tblPr>
        <w:tblW w:w="9792" w:type="dxa"/>
        <w:tblInd w:w="-720" w:type="dxa"/>
        <w:tblLayout w:type="fixed"/>
        <w:tblCellMar>
          <w:top w:w="115" w:type="dxa"/>
          <w:left w:w="115" w:type="dxa"/>
          <w:right w:w="115" w:type="dxa"/>
        </w:tblCellMar>
        <w:tblLook w:val="04A0" w:firstRow="1" w:lastRow="0" w:firstColumn="1" w:lastColumn="0" w:noHBand="0" w:noVBand="1"/>
      </w:tblPr>
      <w:tblGrid>
        <w:gridCol w:w="720"/>
        <w:gridCol w:w="8789"/>
        <w:gridCol w:w="283"/>
      </w:tblGrid>
      <w:tr w:rsidR="00DE16A0" w:rsidRPr="00197550" w14:paraId="63004AEF" w14:textId="77777777" w:rsidTr="00365DEC">
        <w:tc>
          <w:tcPr>
            <w:tcW w:w="720" w:type="dxa"/>
            <w:hideMark/>
          </w:tcPr>
          <w:p w14:paraId="2D6F8E0B" w14:textId="77777777" w:rsidR="00DE16A0" w:rsidRPr="00197550" w:rsidRDefault="00DE16A0" w:rsidP="00365DEC">
            <w:pPr>
              <w:rPr>
                <w:b/>
                <w:szCs w:val="22"/>
              </w:rPr>
            </w:pPr>
            <w:r>
              <w:rPr>
                <w:b/>
                <w:szCs w:val="22"/>
              </w:rPr>
              <w:t>3</w:t>
            </w:r>
          </w:p>
          <w:p w14:paraId="2BA8FEFC" w14:textId="77777777" w:rsidR="00DE16A0" w:rsidRPr="00197550" w:rsidRDefault="00DE16A0" w:rsidP="00365DEC">
            <w:pPr>
              <w:rPr>
                <w:b/>
                <w:szCs w:val="22"/>
              </w:rPr>
            </w:pPr>
          </w:p>
        </w:tc>
        <w:tc>
          <w:tcPr>
            <w:tcW w:w="8789" w:type="dxa"/>
            <w:hideMark/>
          </w:tcPr>
          <w:p w14:paraId="0D4ACBDD" w14:textId="77777777" w:rsidR="00DE16A0" w:rsidRPr="00DE16A0" w:rsidRDefault="00DE16A0" w:rsidP="00365DEC">
            <w:pPr>
              <w:widowControl w:val="0"/>
              <w:rPr>
                <w:rFonts w:cs="Arial"/>
                <w:b/>
                <w:szCs w:val="22"/>
              </w:rPr>
            </w:pPr>
            <w:r w:rsidRPr="00DE16A0">
              <w:rPr>
                <w:rStyle w:val="s1"/>
                <w:rFonts w:ascii="Arial" w:hAnsi="Arial" w:cs="Arial"/>
                <w:b/>
                <w:sz w:val="22"/>
                <w:szCs w:val="22"/>
              </w:rPr>
              <w:t>2019 Spending Review and next steps on reform – verbal update</w:t>
            </w:r>
            <w:r w:rsidRPr="00DE16A0">
              <w:rPr>
                <w:rStyle w:val="apple-converted-space"/>
                <w:rFonts w:cs="Arial"/>
                <w:b/>
                <w:szCs w:val="22"/>
              </w:rPr>
              <w:t>   </w:t>
            </w:r>
          </w:p>
        </w:tc>
        <w:tc>
          <w:tcPr>
            <w:tcW w:w="283" w:type="dxa"/>
          </w:tcPr>
          <w:p w14:paraId="097B8740" w14:textId="77777777" w:rsidR="00DE16A0" w:rsidRPr="00197550" w:rsidRDefault="00DE16A0" w:rsidP="00365DEC">
            <w:pPr>
              <w:widowControl w:val="0"/>
              <w:rPr>
                <w:bCs/>
                <w:szCs w:val="22"/>
              </w:rPr>
            </w:pPr>
          </w:p>
        </w:tc>
      </w:tr>
      <w:tr w:rsidR="00DE16A0" w:rsidRPr="00197550" w14:paraId="3D6F15F7" w14:textId="77777777" w:rsidTr="00365DEC">
        <w:tc>
          <w:tcPr>
            <w:tcW w:w="720" w:type="dxa"/>
          </w:tcPr>
          <w:p w14:paraId="1D47A4DE" w14:textId="77777777" w:rsidR="00DE16A0" w:rsidRPr="00DE16A0" w:rsidRDefault="00DE16A0" w:rsidP="00365DEC">
            <w:pPr>
              <w:rPr>
                <w:b/>
                <w:szCs w:val="22"/>
              </w:rPr>
            </w:pPr>
          </w:p>
        </w:tc>
        <w:tc>
          <w:tcPr>
            <w:tcW w:w="8789" w:type="dxa"/>
          </w:tcPr>
          <w:p w14:paraId="608C9DA8" w14:textId="1F3B9FCD" w:rsidR="00DE16A0" w:rsidRPr="00DE16A0" w:rsidRDefault="00DE16A0" w:rsidP="00DE16A0">
            <w:pPr>
              <w:pStyle w:val="p1"/>
              <w:rPr>
                <w:rFonts w:ascii="Arial" w:hAnsi="Arial" w:cs="Arial"/>
                <w:color w:val="auto"/>
                <w:sz w:val="22"/>
                <w:szCs w:val="22"/>
              </w:rPr>
            </w:pPr>
            <w:r w:rsidRPr="00DE16A0">
              <w:rPr>
                <w:rStyle w:val="s1"/>
                <w:rFonts w:ascii="Arial" w:hAnsi="Arial" w:cs="Arial"/>
                <w:color w:val="auto"/>
                <w:sz w:val="22"/>
                <w:szCs w:val="22"/>
              </w:rPr>
              <w:t xml:space="preserve">Alex Skinner, </w:t>
            </w:r>
            <w:r w:rsidR="006427A8" w:rsidRPr="00DE16A0">
              <w:rPr>
                <w:rStyle w:val="s1"/>
                <w:rFonts w:ascii="Arial" w:hAnsi="Arial" w:cs="Arial"/>
                <w:color w:val="auto"/>
                <w:sz w:val="22"/>
                <w:szCs w:val="22"/>
              </w:rPr>
              <w:t>M</w:t>
            </w:r>
            <w:r w:rsidR="006427A8">
              <w:rPr>
                <w:rStyle w:val="s1"/>
                <w:rFonts w:ascii="Arial" w:hAnsi="Arial" w:cs="Arial"/>
                <w:color w:val="auto"/>
                <w:sz w:val="22"/>
                <w:szCs w:val="22"/>
              </w:rPr>
              <w:t xml:space="preserve">inistry for </w:t>
            </w:r>
            <w:r w:rsidR="006427A8" w:rsidRPr="00DE16A0">
              <w:rPr>
                <w:rStyle w:val="s1"/>
                <w:rFonts w:ascii="Arial" w:hAnsi="Arial" w:cs="Arial"/>
                <w:color w:val="auto"/>
                <w:sz w:val="22"/>
                <w:szCs w:val="22"/>
              </w:rPr>
              <w:t>H</w:t>
            </w:r>
            <w:r w:rsidR="006427A8">
              <w:rPr>
                <w:rStyle w:val="s1"/>
                <w:rFonts w:ascii="Arial" w:hAnsi="Arial" w:cs="Arial"/>
                <w:color w:val="auto"/>
                <w:sz w:val="22"/>
                <w:szCs w:val="22"/>
              </w:rPr>
              <w:t xml:space="preserve">ousing, </w:t>
            </w:r>
            <w:r w:rsidRPr="00DE16A0">
              <w:rPr>
                <w:rStyle w:val="s1"/>
                <w:rFonts w:ascii="Arial" w:hAnsi="Arial" w:cs="Arial"/>
                <w:color w:val="auto"/>
                <w:sz w:val="22"/>
                <w:szCs w:val="22"/>
              </w:rPr>
              <w:t>C</w:t>
            </w:r>
            <w:r w:rsidR="006427A8">
              <w:rPr>
                <w:rStyle w:val="s1"/>
                <w:rFonts w:ascii="Arial" w:hAnsi="Arial" w:cs="Arial"/>
                <w:color w:val="auto"/>
                <w:sz w:val="22"/>
                <w:szCs w:val="22"/>
              </w:rPr>
              <w:t xml:space="preserve">ommunities and </w:t>
            </w:r>
            <w:r w:rsidRPr="00DE16A0">
              <w:rPr>
                <w:rStyle w:val="s1"/>
                <w:rFonts w:ascii="Arial" w:hAnsi="Arial" w:cs="Arial"/>
                <w:color w:val="auto"/>
                <w:sz w:val="22"/>
                <w:szCs w:val="22"/>
              </w:rPr>
              <w:t>L</w:t>
            </w:r>
            <w:r w:rsidR="006427A8">
              <w:rPr>
                <w:rStyle w:val="s1"/>
                <w:rFonts w:ascii="Arial" w:hAnsi="Arial" w:cs="Arial"/>
                <w:color w:val="auto"/>
                <w:sz w:val="22"/>
                <w:szCs w:val="22"/>
              </w:rPr>
              <w:t xml:space="preserve">ocal </w:t>
            </w:r>
            <w:r w:rsidRPr="00DE16A0">
              <w:rPr>
                <w:rStyle w:val="s1"/>
                <w:rFonts w:ascii="Arial" w:hAnsi="Arial" w:cs="Arial"/>
                <w:color w:val="auto"/>
                <w:sz w:val="22"/>
                <w:szCs w:val="22"/>
              </w:rPr>
              <w:t>G</w:t>
            </w:r>
            <w:r w:rsidR="006427A8">
              <w:rPr>
                <w:rStyle w:val="s1"/>
                <w:rFonts w:ascii="Arial" w:hAnsi="Arial" w:cs="Arial"/>
                <w:color w:val="auto"/>
                <w:sz w:val="22"/>
                <w:szCs w:val="22"/>
              </w:rPr>
              <w:t>overnment (MCHLG)</w:t>
            </w:r>
            <w:r w:rsidRPr="00DE16A0">
              <w:rPr>
                <w:rStyle w:val="s1"/>
                <w:rFonts w:ascii="Arial" w:hAnsi="Arial" w:cs="Arial"/>
                <w:color w:val="auto"/>
                <w:sz w:val="22"/>
                <w:szCs w:val="22"/>
              </w:rPr>
              <w:t>, provided a verbal update on the progress of the 2019 Spending Review. He noted that at the 2019 Spring Statement, the Chancellor had outlined the intent to hold a three year Spending Review, likely to be launched in June/July and reporting in late November alongside the Autumn Budget. Treasury has started to talk about guidance and are speaking to MHCLG about internal modelling, as well as the importance of capital and making sure things do</w:t>
            </w:r>
            <w:r w:rsidR="006427A8">
              <w:rPr>
                <w:rStyle w:val="s1"/>
                <w:rFonts w:ascii="Arial" w:hAnsi="Arial" w:cs="Arial"/>
                <w:color w:val="auto"/>
                <w:sz w:val="22"/>
                <w:szCs w:val="22"/>
              </w:rPr>
              <w:t xml:space="preserve"> no</w:t>
            </w:r>
            <w:r w:rsidRPr="00DE16A0">
              <w:rPr>
                <w:rStyle w:val="s1"/>
                <w:rFonts w:ascii="Arial" w:hAnsi="Arial" w:cs="Arial"/>
                <w:color w:val="auto"/>
                <w:sz w:val="22"/>
                <w:szCs w:val="22"/>
              </w:rPr>
              <w:t>t fall through the net. They have taken the message about the importance of certaint</w:t>
            </w:r>
            <w:r w:rsidR="00465B03">
              <w:rPr>
                <w:rStyle w:val="s1"/>
                <w:rFonts w:ascii="Arial" w:hAnsi="Arial" w:cs="Arial"/>
                <w:color w:val="auto"/>
                <w:sz w:val="22"/>
                <w:szCs w:val="22"/>
              </w:rPr>
              <w:t>y</w:t>
            </w:r>
            <w:r w:rsidR="00465B03">
              <w:t xml:space="preserve"> </w:t>
            </w:r>
            <w:r w:rsidR="00465B03" w:rsidRPr="00465B03">
              <w:rPr>
                <w:rStyle w:val="s1"/>
                <w:rFonts w:ascii="Arial" w:hAnsi="Arial" w:cs="Arial"/>
                <w:color w:val="auto"/>
                <w:sz w:val="22"/>
                <w:szCs w:val="22"/>
              </w:rPr>
              <w:t xml:space="preserve">but MHCLG noted a likely tension between securing an early settlement for the sector and Treasury’s preference to keep flexibility at the outset of the SR process. </w:t>
            </w:r>
            <w:r w:rsidRPr="00DE16A0">
              <w:rPr>
                <w:rStyle w:val="s1"/>
                <w:rFonts w:ascii="Arial" w:hAnsi="Arial" w:cs="Arial"/>
                <w:color w:val="auto"/>
                <w:sz w:val="22"/>
                <w:szCs w:val="22"/>
              </w:rPr>
              <w:t xml:space="preserve">There is also a tension between reform and certainty and an axis between the two and MHCLG are interested in what the sector thinks around this. The sector roundtables have received positive feedback so far and </w:t>
            </w:r>
            <w:r w:rsidR="00E40BC6">
              <w:rPr>
                <w:rStyle w:val="s1"/>
                <w:rFonts w:ascii="Arial" w:hAnsi="Arial" w:cs="Arial"/>
                <w:color w:val="auto"/>
                <w:sz w:val="22"/>
                <w:szCs w:val="22"/>
              </w:rPr>
              <w:t xml:space="preserve">suggestions </w:t>
            </w:r>
            <w:r w:rsidR="003D65BB">
              <w:rPr>
                <w:rStyle w:val="s1"/>
                <w:rFonts w:ascii="Arial" w:hAnsi="Arial" w:cs="Arial"/>
                <w:color w:val="auto"/>
                <w:sz w:val="22"/>
                <w:szCs w:val="22"/>
              </w:rPr>
              <w:t>for</w:t>
            </w:r>
            <w:r w:rsidR="003D65BB" w:rsidRPr="00DE16A0">
              <w:rPr>
                <w:rStyle w:val="s1"/>
                <w:rFonts w:ascii="Arial" w:hAnsi="Arial" w:cs="Arial"/>
                <w:color w:val="auto"/>
                <w:sz w:val="22"/>
                <w:szCs w:val="22"/>
              </w:rPr>
              <w:t xml:space="preserve"> future</w:t>
            </w:r>
            <w:r w:rsidRPr="00DE16A0">
              <w:rPr>
                <w:rStyle w:val="s1"/>
                <w:rFonts w:ascii="Arial" w:hAnsi="Arial" w:cs="Arial"/>
                <w:color w:val="auto"/>
                <w:sz w:val="22"/>
                <w:szCs w:val="22"/>
              </w:rPr>
              <w:t xml:space="preserve"> </w:t>
            </w:r>
            <w:r w:rsidR="00E40BC6">
              <w:rPr>
                <w:rStyle w:val="s1"/>
                <w:rFonts w:ascii="Arial" w:hAnsi="Arial" w:cs="Arial"/>
                <w:color w:val="auto"/>
                <w:sz w:val="22"/>
                <w:szCs w:val="22"/>
              </w:rPr>
              <w:t>roundtables</w:t>
            </w:r>
            <w:r w:rsidRPr="00DE16A0">
              <w:rPr>
                <w:rStyle w:val="s1"/>
                <w:rFonts w:ascii="Arial" w:hAnsi="Arial" w:cs="Arial"/>
                <w:color w:val="auto"/>
                <w:sz w:val="22"/>
                <w:szCs w:val="22"/>
              </w:rPr>
              <w:t xml:space="preserve"> are welcome. The Minister is interested in freedoms and flexibilities, particularly the pragmatic and the practical. Also noted awareness around DSG causing issues and that MHCLG were in close touch with the Department for Education who now have a clearer idea of what the problem is and what they can do.</w:t>
            </w:r>
          </w:p>
          <w:p w14:paraId="0D891B0A" w14:textId="77777777" w:rsidR="00DE16A0" w:rsidRPr="00DE16A0" w:rsidRDefault="00DE16A0" w:rsidP="00DE16A0">
            <w:pPr>
              <w:pStyle w:val="p2"/>
              <w:rPr>
                <w:rFonts w:ascii="Arial" w:hAnsi="Arial" w:cs="Arial"/>
                <w:color w:val="auto"/>
                <w:sz w:val="22"/>
                <w:szCs w:val="22"/>
              </w:rPr>
            </w:pPr>
          </w:p>
          <w:p w14:paraId="5FDEFC6A" w14:textId="77777777" w:rsidR="00DE16A0" w:rsidRPr="00DE16A0" w:rsidRDefault="00DE16A0" w:rsidP="00DE16A0">
            <w:pPr>
              <w:rPr>
                <w:rFonts w:cs="Arial"/>
                <w:szCs w:val="22"/>
              </w:rPr>
            </w:pPr>
            <w:r w:rsidRPr="00DE16A0">
              <w:rPr>
                <w:rStyle w:val="s1"/>
                <w:rFonts w:ascii="Arial" w:hAnsi="Arial" w:cs="Arial"/>
                <w:sz w:val="22"/>
                <w:szCs w:val="22"/>
              </w:rPr>
              <w:t>Stuart Hoggan</w:t>
            </w:r>
            <w:r w:rsidR="007B71F3">
              <w:rPr>
                <w:rStyle w:val="s1"/>
                <w:rFonts w:ascii="Arial" w:hAnsi="Arial" w:cs="Arial"/>
                <w:sz w:val="22"/>
                <w:szCs w:val="22"/>
              </w:rPr>
              <w:t xml:space="preserve"> (</w:t>
            </w:r>
            <w:r w:rsidRPr="00DE16A0">
              <w:rPr>
                <w:rStyle w:val="s1"/>
                <w:rFonts w:ascii="Arial" w:hAnsi="Arial" w:cs="Arial"/>
                <w:sz w:val="22"/>
                <w:szCs w:val="22"/>
              </w:rPr>
              <w:t>MHCLG</w:t>
            </w:r>
            <w:r w:rsidR="007B71F3">
              <w:rPr>
                <w:rStyle w:val="s1"/>
                <w:rFonts w:ascii="Arial" w:hAnsi="Arial" w:cs="Arial"/>
                <w:sz w:val="22"/>
                <w:szCs w:val="22"/>
              </w:rPr>
              <w:t>)</w:t>
            </w:r>
            <w:r w:rsidRPr="00DE16A0">
              <w:rPr>
                <w:rStyle w:val="s1"/>
                <w:rFonts w:ascii="Arial" w:hAnsi="Arial" w:cs="Arial"/>
                <w:sz w:val="22"/>
                <w:szCs w:val="22"/>
              </w:rPr>
              <w:t xml:space="preserve"> outlined the latest steps on reform. On the FFR, MHCLG have completed the analysis of consultation responses </w:t>
            </w:r>
            <w:r w:rsidRPr="00DE16A0">
              <w:rPr>
                <w:rFonts w:cs="Arial"/>
                <w:szCs w:val="22"/>
              </w:rPr>
              <w:t>and when ministers have taken decisions they plan to reconvene the Technical Working Group for the next phase. It is on track for implementation next year. There will be a further consultation in late spring with a provisional consultation in the autumn. However</w:t>
            </w:r>
            <w:r w:rsidR="006427A8">
              <w:rPr>
                <w:rFonts w:cs="Arial"/>
                <w:szCs w:val="22"/>
              </w:rPr>
              <w:t>,</w:t>
            </w:r>
            <w:r w:rsidRPr="00DE16A0">
              <w:rPr>
                <w:rFonts w:cs="Arial"/>
                <w:szCs w:val="22"/>
              </w:rPr>
              <w:t xml:space="preserve"> a late Spending Review and consequential delayed numbers could cause issues. Quantum and transition as well as </w:t>
            </w:r>
            <w:r w:rsidRPr="00DE16A0">
              <w:rPr>
                <w:rFonts w:cs="Arial"/>
                <w:szCs w:val="22"/>
              </w:rPr>
              <w:lastRenderedPageBreak/>
              <w:t xml:space="preserve">the future of IBCF and the NHB are outstanding issues. Question to consider is whether pressing ahead for next year outweighs delaying for a year, particularly as it is likely to be damped heavily.  One option would be to have a roll-over settlement; working in parallel on the </w:t>
            </w:r>
            <w:r w:rsidR="00DB73CA">
              <w:rPr>
                <w:rFonts w:cs="Arial"/>
                <w:szCs w:val="22"/>
              </w:rPr>
              <w:t>Review of Relative Needs and Resources</w:t>
            </w:r>
            <w:r w:rsidR="00A96641">
              <w:rPr>
                <w:rFonts w:cs="Arial"/>
                <w:szCs w:val="22"/>
              </w:rPr>
              <w:t xml:space="preserve"> (RRNR)</w:t>
            </w:r>
            <w:r w:rsidRPr="00DE16A0">
              <w:rPr>
                <w:rFonts w:cs="Arial"/>
                <w:szCs w:val="22"/>
              </w:rPr>
              <w:t xml:space="preserve">, </w:t>
            </w:r>
            <w:r w:rsidR="00F46BC9">
              <w:rPr>
                <w:rFonts w:cs="Arial"/>
                <w:szCs w:val="22"/>
              </w:rPr>
              <w:t>with a view to</w:t>
            </w:r>
            <w:r w:rsidRPr="00DE16A0">
              <w:rPr>
                <w:rFonts w:cs="Arial"/>
                <w:szCs w:val="22"/>
              </w:rPr>
              <w:t xml:space="preserve"> </w:t>
            </w:r>
            <w:r w:rsidR="00F46BC9">
              <w:rPr>
                <w:rFonts w:cs="Arial"/>
                <w:szCs w:val="22"/>
              </w:rPr>
              <w:t>consult</w:t>
            </w:r>
            <w:r w:rsidR="00F46BC9" w:rsidRPr="00DE16A0">
              <w:rPr>
                <w:rFonts w:cs="Arial"/>
                <w:szCs w:val="22"/>
              </w:rPr>
              <w:t xml:space="preserve"> </w:t>
            </w:r>
            <w:r w:rsidRPr="00DE16A0">
              <w:rPr>
                <w:rFonts w:cs="Arial"/>
                <w:szCs w:val="22"/>
              </w:rPr>
              <w:t>in ear</w:t>
            </w:r>
            <w:r w:rsidR="0032268F">
              <w:rPr>
                <w:rFonts w:cs="Arial"/>
                <w:szCs w:val="22"/>
              </w:rPr>
              <w:t>ly 2020 and implement in 2021.</w:t>
            </w:r>
          </w:p>
          <w:p w14:paraId="088647AD" w14:textId="77777777" w:rsidR="00DE16A0" w:rsidRPr="00DE16A0" w:rsidRDefault="00DE16A0" w:rsidP="00365DEC">
            <w:pPr>
              <w:rPr>
                <w:szCs w:val="22"/>
              </w:rPr>
            </w:pPr>
          </w:p>
          <w:p w14:paraId="2278712C" w14:textId="77777777" w:rsidR="00DE16A0" w:rsidRPr="00DE16A0" w:rsidRDefault="00DE16A0" w:rsidP="00365DEC">
            <w:pPr>
              <w:rPr>
                <w:szCs w:val="22"/>
              </w:rPr>
            </w:pPr>
            <w:r w:rsidRPr="00DE16A0">
              <w:rPr>
                <w:szCs w:val="22"/>
              </w:rPr>
              <w:t>Members of the steering group provided the following comments:</w:t>
            </w:r>
          </w:p>
          <w:p w14:paraId="019A56BE" w14:textId="77777777" w:rsidR="00DE16A0" w:rsidRPr="00DE16A0" w:rsidRDefault="00DE16A0" w:rsidP="00365DEC">
            <w:pPr>
              <w:rPr>
                <w:szCs w:val="22"/>
              </w:rPr>
            </w:pPr>
          </w:p>
          <w:p w14:paraId="18FE5B84" w14:textId="77777777" w:rsidR="00DE16A0" w:rsidRPr="00DE16A0" w:rsidRDefault="00DE16A0" w:rsidP="00DE16A0">
            <w:pPr>
              <w:pStyle w:val="p2"/>
              <w:numPr>
                <w:ilvl w:val="0"/>
                <w:numId w:val="6"/>
              </w:numPr>
              <w:rPr>
                <w:rFonts w:ascii="Arial" w:hAnsi="Arial" w:cs="Arial"/>
                <w:color w:val="auto"/>
                <w:sz w:val="22"/>
                <w:szCs w:val="22"/>
              </w:rPr>
            </w:pPr>
            <w:r w:rsidRPr="00DE16A0">
              <w:rPr>
                <w:rFonts w:ascii="Arial" w:hAnsi="Arial" w:cs="Arial"/>
                <w:color w:val="auto"/>
                <w:sz w:val="22"/>
                <w:szCs w:val="22"/>
              </w:rPr>
              <w:t>Nicola Morton</w:t>
            </w:r>
            <w:r w:rsidR="00A914ED">
              <w:rPr>
                <w:rFonts w:ascii="Arial" w:hAnsi="Arial" w:cs="Arial"/>
                <w:color w:val="auto"/>
                <w:sz w:val="22"/>
                <w:szCs w:val="22"/>
              </w:rPr>
              <w:t xml:space="preserve"> (</w:t>
            </w:r>
            <w:r w:rsidRPr="00DE16A0">
              <w:rPr>
                <w:rFonts w:ascii="Arial" w:hAnsi="Arial" w:cs="Arial"/>
                <w:color w:val="auto"/>
                <w:sz w:val="22"/>
                <w:szCs w:val="22"/>
              </w:rPr>
              <w:t>LGA</w:t>
            </w:r>
            <w:r w:rsidR="00A914ED">
              <w:rPr>
                <w:rFonts w:ascii="Arial" w:hAnsi="Arial" w:cs="Arial"/>
                <w:color w:val="auto"/>
                <w:sz w:val="22"/>
                <w:szCs w:val="22"/>
              </w:rPr>
              <w:t>)</w:t>
            </w:r>
            <w:r w:rsidRPr="00DE16A0">
              <w:rPr>
                <w:rFonts w:ascii="Arial" w:hAnsi="Arial" w:cs="Arial"/>
                <w:color w:val="auto"/>
                <w:sz w:val="22"/>
                <w:szCs w:val="22"/>
              </w:rPr>
              <w:t xml:space="preserve"> </w:t>
            </w:r>
            <w:r w:rsidR="00F46BC9">
              <w:rPr>
                <w:rFonts w:ascii="Arial" w:hAnsi="Arial" w:cs="Arial"/>
                <w:color w:val="auto"/>
                <w:sz w:val="22"/>
                <w:szCs w:val="22"/>
              </w:rPr>
              <w:t>wondered whether a delay to implementing the reforms</w:t>
            </w:r>
            <w:r w:rsidRPr="00DE16A0">
              <w:rPr>
                <w:rFonts w:ascii="Arial" w:hAnsi="Arial" w:cs="Arial"/>
                <w:color w:val="auto"/>
                <w:sz w:val="22"/>
                <w:szCs w:val="22"/>
              </w:rPr>
              <w:t xml:space="preserve"> could </w:t>
            </w:r>
            <w:r w:rsidR="00F46BC9">
              <w:rPr>
                <w:rFonts w:ascii="Arial" w:hAnsi="Arial" w:cs="Arial"/>
                <w:color w:val="auto"/>
                <w:sz w:val="22"/>
                <w:szCs w:val="22"/>
              </w:rPr>
              <w:t>lead to</w:t>
            </w:r>
            <w:r w:rsidRPr="00DE16A0">
              <w:rPr>
                <w:rFonts w:ascii="Arial" w:hAnsi="Arial" w:cs="Arial"/>
                <w:color w:val="auto"/>
                <w:sz w:val="22"/>
                <w:szCs w:val="22"/>
              </w:rPr>
              <w:t xml:space="preserve"> the same </w:t>
            </w:r>
            <w:r w:rsidR="00F4212A">
              <w:rPr>
                <w:rFonts w:ascii="Arial" w:hAnsi="Arial" w:cs="Arial"/>
                <w:color w:val="auto"/>
                <w:sz w:val="22"/>
                <w:szCs w:val="22"/>
              </w:rPr>
              <w:t>uncertainty</w:t>
            </w:r>
            <w:r w:rsidR="00F4212A" w:rsidRPr="00DE16A0">
              <w:rPr>
                <w:rFonts w:ascii="Arial" w:hAnsi="Arial" w:cs="Arial"/>
                <w:color w:val="auto"/>
                <w:sz w:val="22"/>
                <w:szCs w:val="22"/>
              </w:rPr>
              <w:t xml:space="preserve"> </w:t>
            </w:r>
            <w:r w:rsidRPr="00DE16A0">
              <w:rPr>
                <w:rFonts w:ascii="Arial" w:hAnsi="Arial" w:cs="Arial"/>
                <w:color w:val="auto"/>
                <w:sz w:val="22"/>
                <w:szCs w:val="22"/>
              </w:rPr>
              <w:t>this time next year</w:t>
            </w:r>
            <w:r w:rsidR="00F4212A">
              <w:rPr>
                <w:rFonts w:ascii="Arial" w:hAnsi="Arial" w:cs="Arial"/>
                <w:color w:val="auto"/>
                <w:sz w:val="22"/>
                <w:szCs w:val="22"/>
              </w:rPr>
              <w:t xml:space="preserve"> if the Spending Review was late in the year</w:t>
            </w:r>
            <w:r w:rsidRPr="00DE16A0">
              <w:rPr>
                <w:rFonts w:ascii="Arial" w:hAnsi="Arial" w:cs="Arial"/>
                <w:color w:val="auto"/>
                <w:sz w:val="22"/>
                <w:szCs w:val="22"/>
              </w:rPr>
              <w:t>. MHCLG could not speculate.</w:t>
            </w:r>
          </w:p>
          <w:p w14:paraId="71099C09" w14:textId="77777777" w:rsidR="00DE16A0" w:rsidRPr="00DE16A0" w:rsidRDefault="00DE16A0" w:rsidP="00DE16A0">
            <w:pPr>
              <w:pStyle w:val="p2"/>
              <w:numPr>
                <w:ilvl w:val="0"/>
                <w:numId w:val="6"/>
              </w:numPr>
              <w:rPr>
                <w:rFonts w:ascii="Arial" w:hAnsi="Arial" w:cs="Arial"/>
                <w:color w:val="auto"/>
                <w:sz w:val="22"/>
                <w:szCs w:val="22"/>
              </w:rPr>
            </w:pPr>
            <w:r w:rsidRPr="00DE16A0">
              <w:rPr>
                <w:rFonts w:ascii="Arial" w:hAnsi="Arial" w:cs="Arial"/>
                <w:color w:val="auto"/>
                <w:sz w:val="22"/>
                <w:szCs w:val="22"/>
              </w:rPr>
              <w:t>Sarah Pickup</w:t>
            </w:r>
            <w:r w:rsidR="00A914ED">
              <w:rPr>
                <w:rFonts w:ascii="Arial" w:hAnsi="Arial" w:cs="Arial"/>
                <w:color w:val="auto"/>
                <w:sz w:val="22"/>
                <w:szCs w:val="22"/>
              </w:rPr>
              <w:t xml:space="preserve"> (</w:t>
            </w:r>
            <w:r w:rsidRPr="00DE16A0">
              <w:rPr>
                <w:rFonts w:ascii="Arial" w:hAnsi="Arial" w:cs="Arial"/>
                <w:color w:val="auto"/>
                <w:sz w:val="22"/>
                <w:szCs w:val="22"/>
              </w:rPr>
              <w:t>LGA</w:t>
            </w:r>
            <w:r w:rsidR="00A914ED">
              <w:rPr>
                <w:rFonts w:ascii="Arial" w:hAnsi="Arial" w:cs="Arial"/>
                <w:color w:val="auto"/>
                <w:sz w:val="22"/>
                <w:szCs w:val="22"/>
              </w:rPr>
              <w:t>)</w:t>
            </w:r>
            <w:r w:rsidRPr="00DE16A0">
              <w:rPr>
                <w:rFonts w:ascii="Arial" w:hAnsi="Arial" w:cs="Arial"/>
                <w:color w:val="auto"/>
                <w:sz w:val="22"/>
                <w:szCs w:val="22"/>
              </w:rPr>
              <w:t xml:space="preserve"> </w:t>
            </w:r>
            <w:r w:rsidR="00C57EBB">
              <w:rPr>
                <w:rFonts w:ascii="Arial" w:hAnsi="Arial" w:cs="Arial"/>
                <w:color w:val="auto"/>
                <w:sz w:val="22"/>
                <w:szCs w:val="22"/>
              </w:rPr>
              <w:t>noted</w:t>
            </w:r>
            <w:r w:rsidR="00146A9C">
              <w:rPr>
                <w:rFonts w:ascii="Arial" w:hAnsi="Arial" w:cs="Arial"/>
                <w:color w:val="auto"/>
                <w:sz w:val="22"/>
                <w:szCs w:val="22"/>
              </w:rPr>
              <w:t xml:space="preserve"> that it would be helpful to have early certainty over </w:t>
            </w:r>
            <w:r w:rsidR="00733600">
              <w:rPr>
                <w:rFonts w:ascii="Arial" w:hAnsi="Arial" w:cs="Arial"/>
                <w:color w:val="auto"/>
                <w:sz w:val="22"/>
                <w:szCs w:val="22"/>
              </w:rPr>
              <w:t>funding</w:t>
            </w:r>
            <w:r w:rsidR="00146A9C">
              <w:rPr>
                <w:rFonts w:ascii="Arial" w:hAnsi="Arial" w:cs="Arial"/>
                <w:color w:val="auto"/>
                <w:sz w:val="22"/>
                <w:szCs w:val="22"/>
              </w:rPr>
              <w:t xml:space="preserve"> streams as well as </w:t>
            </w:r>
            <w:r w:rsidR="00A96641">
              <w:rPr>
                <w:rFonts w:ascii="Arial" w:hAnsi="Arial" w:cs="Arial"/>
                <w:color w:val="auto"/>
                <w:sz w:val="22"/>
                <w:szCs w:val="22"/>
              </w:rPr>
              <w:t>know what is happening on business rates retention</w:t>
            </w:r>
            <w:r w:rsidR="00C57EBB">
              <w:rPr>
                <w:rFonts w:ascii="Arial" w:hAnsi="Arial" w:cs="Arial"/>
                <w:color w:val="auto"/>
                <w:sz w:val="22"/>
                <w:szCs w:val="22"/>
              </w:rPr>
              <w:t xml:space="preserve">, </w:t>
            </w:r>
            <w:r w:rsidR="00A96641">
              <w:rPr>
                <w:rFonts w:ascii="Arial" w:hAnsi="Arial" w:cs="Arial"/>
                <w:color w:val="auto"/>
                <w:sz w:val="22"/>
                <w:szCs w:val="22"/>
              </w:rPr>
              <w:t xml:space="preserve">the RRNR </w:t>
            </w:r>
            <w:r w:rsidR="00146A9C">
              <w:rPr>
                <w:rFonts w:ascii="Arial" w:hAnsi="Arial" w:cs="Arial"/>
                <w:color w:val="auto"/>
                <w:sz w:val="22"/>
                <w:szCs w:val="22"/>
              </w:rPr>
              <w:t>and</w:t>
            </w:r>
            <w:r w:rsidR="00A96641">
              <w:rPr>
                <w:rFonts w:ascii="Arial" w:hAnsi="Arial" w:cs="Arial"/>
                <w:color w:val="auto"/>
                <w:sz w:val="22"/>
                <w:szCs w:val="22"/>
              </w:rPr>
              <w:t xml:space="preserve"> information on council tax referendum principles</w:t>
            </w:r>
            <w:r w:rsidRPr="00DE16A0">
              <w:rPr>
                <w:rFonts w:ascii="Arial" w:hAnsi="Arial" w:cs="Arial"/>
                <w:color w:val="auto"/>
                <w:sz w:val="22"/>
                <w:szCs w:val="22"/>
              </w:rPr>
              <w:t>.</w:t>
            </w:r>
            <w:r w:rsidR="00146A9C">
              <w:rPr>
                <w:rFonts w:ascii="Arial" w:hAnsi="Arial" w:cs="Arial"/>
                <w:color w:val="auto"/>
                <w:sz w:val="22"/>
                <w:szCs w:val="22"/>
              </w:rPr>
              <w:t xml:space="preserve">  There was general agreement that this would help </w:t>
            </w:r>
            <w:r w:rsidR="00AB13FD">
              <w:rPr>
                <w:rFonts w:ascii="Arial" w:hAnsi="Arial" w:cs="Arial"/>
                <w:color w:val="auto"/>
                <w:sz w:val="22"/>
                <w:szCs w:val="22"/>
              </w:rPr>
              <w:t>financial</w:t>
            </w:r>
            <w:r w:rsidR="00146A9C">
              <w:rPr>
                <w:rFonts w:ascii="Arial" w:hAnsi="Arial" w:cs="Arial"/>
                <w:color w:val="auto"/>
                <w:sz w:val="22"/>
                <w:szCs w:val="22"/>
              </w:rPr>
              <w:t xml:space="preserve"> planning.</w:t>
            </w:r>
            <w:r w:rsidR="00AB13FD">
              <w:rPr>
                <w:rFonts w:ascii="Arial" w:hAnsi="Arial" w:cs="Arial"/>
                <w:color w:val="auto"/>
                <w:sz w:val="22"/>
                <w:szCs w:val="22"/>
              </w:rPr>
              <w:t xml:space="preserve">  </w:t>
            </w:r>
            <w:r w:rsidR="00C57EBB">
              <w:rPr>
                <w:rFonts w:ascii="Arial" w:hAnsi="Arial" w:cs="Arial"/>
                <w:color w:val="auto"/>
                <w:sz w:val="22"/>
                <w:szCs w:val="22"/>
              </w:rPr>
              <w:t xml:space="preserve">Richard Paver (Greater Manchester Combined Authority) </w:t>
            </w:r>
            <w:r w:rsidR="00C32A82">
              <w:rPr>
                <w:rFonts w:ascii="Arial" w:hAnsi="Arial" w:cs="Arial"/>
                <w:color w:val="auto"/>
                <w:sz w:val="22"/>
                <w:szCs w:val="22"/>
              </w:rPr>
              <w:t xml:space="preserve">agreed that an early announcement on council tax referendum limits would also help Combined Authorities and Police and Crime Commissioners.  </w:t>
            </w:r>
            <w:r w:rsidR="00AB13FD">
              <w:rPr>
                <w:rFonts w:ascii="Arial" w:hAnsi="Arial" w:cs="Arial"/>
                <w:color w:val="auto"/>
                <w:sz w:val="22"/>
                <w:szCs w:val="22"/>
              </w:rPr>
              <w:t xml:space="preserve">MHCLG confirmed that they </w:t>
            </w:r>
            <w:r w:rsidR="00C57EBB">
              <w:rPr>
                <w:rFonts w:ascii="Arial" w:hAnsi="Arial" w:cs="Arial"/>
                <w:color w:val="auto"/>
                <w:sz w:val="22"/>
                <w:szCs w:val="22"/>
              </w:rPr>
              <w:t xml:space="preserve">had </w:t>
            </w:r>
            <w:r w:rsidR="00AB13FD">
              <w:rPr>
                <w:rFonts w:ascii="Arial" w:hAnsi="Arial" w:cs="Arial"/>
                <w:color w:val="auto"/>
                <w:sz w:val="22"/>
                <w:szCs w:val="22"/>
              </w:rPr>
              <w:t>heard the need for certainty.</w:t>
            </w:r>
          </w:p>
          <w:p w14:paraId="18B3FCBF" w14:textId="77777777" w:rsidR="00DE16A0" w:rsidRPr="00DE16A0" w:rsidRDefault="00DE16A0" w:rsidP="00DE16A0">
            <w:pPr>
              <w:pStyle w:val="p2"/>
              <w:numPr>
                <w:ilvl w:val="0"/>
                <w:numId w:val="6"/>
              </w:numPr>
              <w:rPr>
                <w:rFonts w:ascii="Arial" w:hAnsi="Arial" w:cs="Arial"/>
                <w:color w:val="auto"/>
                <w:sz w:val="22"/>
                <w:szCs w:val="22"/>
              </w:rPr>
            </w:pPr>
            <w:r w:rsidRPr="00DE16A0">
              <w:rPr>
                <w:rFonts w:ascii="Arial" w:hAnsi="Arial" w:cs="Arial"/>
                <w:color w:val="auto"/>
                <w:sz w:val="22"/>
                <w:szCs w:val="22"/>
              </w:rPr>
              <w:t>Mike Heiser</w:t>
            </w:r>
            <w:r w:rsidR="00A914ED">
              <w:rPr>
                <w:rFonts w:ascii="Arial" w:hAnsi="Arial" w:cs="Arial"/>
                <w:color w:val="auto"/>
                <w:sz w:val="22"/>
                <w:szCs w:val="22"/>
              </w:rPr>
              <w:t xml:space="preserve"> (</w:t>
            </w:r>
            <w:r w:rsidR="006427A8">
              <w:rPr>
                <w:rFonts w:ascii="Arial" w:hAnsi="Arial" w:cs="Arial"/>
                <w:color w:val="auto"/>
                <w:sz w:val="22"/>
                <w:szCs w:val="22"/>
              </w:rPr>
              <w:t>LGA</w:t>
            </w:r>
            <w:r w:rsidR="00A914ED">
              <w:rPr>
                <w:rFonts w:ascii="Arial" w:hAnsi="Arial" w:cs="Arial"/>
                <w:color w:val="auto"/>
                <w:sz w:val="22"/>
                <w:szCs w:val="22"/>
              </w:rPr>
              <w:t xml:space="preserve">) </w:t>
            </w:r>
            <w:r w:rsidR="00733600">
              <w:rPr>
                <w:rFonts w:ascii="Arial" w:hAnsi="Arial" w:cs="Arial"/>
                <w:color w:val="auto"/>
                <w:sz w:val="22"/>
                <w:szCs w:val="22"/>
              </w:rPr>
              <w:t xml:space="preserve">and Graham Soulsby (DCN) </w:t>
            </w:r>
            <w:r w:rsidRPr="00DE16A0">
              <w:rPr>
                <w:rFonts w:ascii="Arial" w:hAnsi="Arial" w:cs="Arial"/>
                <w:color w:val="auto"/>
                <w:sz w:val="22"/>
                <w:szCs w:val="22"/>
              </w:rPr>
              <w:t xml:space="preserve">queried </w:t>
            </w:r>
            <w:r w:rsidR="00A96641">
              <w:rPr>
                <w:rFonts w:ascii="Arial" w:hAnsi="Arial" w:cs="Arial"/>
                <w:color w:val="auto"/>
                <w:sz w:val="22"/>
                <w:szCs w:val="22"/>
              </w:rPr>
              <w:t xml:space="preserve">whether </w:t>
            </w:r>
            <w:r w:rsidR="00733600">
              <w:rPr>
                <w:rFonts w:ascii="Arial" w:hAnsi="Arial" w:cs="Arial"/>
                <w:color w:val="auto"/>
                <w:sz w:val="22"/>
                <w:szCs w:val="22"/>
              </w:rPr>
              <w:t xml:space="preserve">any of the reforms could be phased in rather than all at the same time.  </w:t>
            </w:r>
            <w:r w:rsidRPr="00DE16A0">
              <w:rPr>
                <w:rFonts w:ascii="Arial" w:hAnsi="Arial" w:cs="Arial"/>
                <w:color w:val="auto"/>
                <w:sz w:val="22"/>
                <w:szCs w:val="22"/>
              </w:rPr>
              <w:t xml:space="preserve">MHCLG said </w:t>
            </w:r>
            <w:r w:rsidR="00733600">
              <w:rPr>
                <w:rFonts w:ascii="Arial" w:hAnsi="Arial" w:cs="Arial"/>
                <w:color w:val="auto"/>
                <w:sz w:val="22"/>
                <w:szCs w:val="22"/>
              </w:rPr>
              <w:t>they were all linked</w:t>
            </w:r>
            <w:r w:rsidR="00F34A92">
              <w:rPr>
                <w:rFonts w:ascii="Arial" w:hAnsi="Arial" w:cs="Arial"/>
                <w:color w:val="auto"/>
                <w:sz w:val="22"/>
                <w:szCs w:val="22"/>
              </w:rPr>
              <w:t xml:space="preserve"> and it was difficult to phase in the RRNR</w:t>
            </w:r>
            <w:r w:rsidRPr="00DE16A0">
              <w:rPr>
                <w:rFonts w:ascii="Arial" w:hAnsi="Arial" w:cs="Arial"/>
                <w:color w:val="auto"/>
                <w:sz w:val="22"/>
                <w:szCs w:val="22"/>
              </w:rPr>
              <w:t>.</w:t>
            </w:r>
          </w:p>
          <w:p w14:paraId="4BF3E3CF" w14:textId="77777777" w:rsidR="00DE16A0" w:rsidRPr="00DE16A0" w:rsidRDefault="00DE16A0" w:rsidP="00DE16A0">
            <w:pPr>
              <w:pStyle w:val="p2"/>
              <w:numPr>
                <w:ilvl w:val="0"/>
                <w:numId w:val="6"/>
              </w:numPr>
              <w:rPr>
                <w:rFonts w:ascii="Arial" w:hAnsi="Arial" w:cs="Arial"/>
                <w:color w:val="auto"/>
                <w:sz w:val="22"/>
                <w:szCs w:val="22"/>
              </w:rPr>
            </w:pPr>
            <w:r w:rsidRPr="00DE16A0">
              <w:rPr>
                <w:rFonts w:ascii="Arial" w:hAnsi="Arial" w:cs="Arial"/>
                <w:color w:val="auto"/>
                <w:sz w:val="22"/>
                <w:szCs w:val="22"/>
              </w:rPr>
              <w:t>Guy Ware</w:t>
            </w:r>
            <w:r w:rsidR="006427A8">
              <w:rPr>
                <w:rFonts w:ascii="Arial" w:hAnsi="Arial" w:cs="Arial"/>
                <w:color w:val="auto"/>
                <w:sz w:val="22"/>
                <w:szCs w:val="22"/>
              </w:rPr>
              <w:t xml:space="preserve"> (</w:t>
            </w:r>
            <w:r w:rsidRPr="00DE16A0">
              <w:rPr>
                <w:rFonts w:ascii="Arial" w:hAnsi="Arial" w:cs="Arial"/>
                <w:color w:val="auto"/>
                <w:sz w:val="22"/>
                <w:szCs w:val="22"/>
              </w:rPr>
              <w:t>London Councils</w:t>
            </w:r>
            <w:r w:rsidR="006427A8">
              <w:rPr>
                <w:rFonts w:ascii="Arial" w:hAnsi="Arial" w:cs="Arial"/>
                <w:color w:val="auto"/>
                <w:sz w:val="22"/>
                <w:szCs w:val="22"/>
              </w:rPr>
              <w:t>)</w:t>
            </w:r>
            <w:r w:rsidRPr="00DE16A0">
              <w:rPr>
                <w:rFonts w:ascii="Arial" w:hAnsi="Arial" w:cs="Arial"/>
                <w:color w:val="auto"/>
                <w:sz w:val="22"/>
                <w:szCs w:val="22"/>
              </w:rPr>
              <w:t xml:space="preserve"> asked about settling baseline funding for three years and longer. MHCLG said that they might run the formula and give indicative allocations, on the lines of the four year deal. They could project forward. MHCLG </w:t>
            </w:r>
            <w:r w:rsidR="00AB13FD">
              <w:rPr>
                <w:rFonts w:ascii="Arial" w:hAnsi="Arial" w:cs="Arial"/>
                <w:color w:val="auto"/>
                <w:sz w:val="22"/>
                <w:szCs w:val="22"/>
              </w:rPr>
              <w:t>noted</w:t>
            </w:r>
            <w:r w:rsidRPr="00DE16A0">
              <w:rPr>
                <w:rFonts w:ascii="Arial" w:hAnsi="Arial" w:cs="Arial"/>
                <w:color w:val="auto"/>
                <w:sz w:val="22"/>
                <w:szCs w:val="22"/>
              </w:rPr>
              <w:t xml:space="preserve"> </w:t>
            </w:r>
            <w:r w:rsidR="00686FE5">
              <w:rPr>
                <w:rFonts w:ascii="Arial" w:hAnsi="Arial" w:cs="Arial"/>
                <w:color w:val="auto"/>
                <w:sz w:val="22"/>
                <w:szCs w:val="22"/>
              </w:rPr>
              <w:t xml:space="preserve">decisions on the </w:t>
            </w:r>
            <w:r w:rsidR="00AB13FD">
              <w:rPr>
                <w:rFonts w:ascii="Arial" w:hAnsi="Arial" w:cs="Arial"/>
                <w:color w:val="auto"/>
                <w:sz w:val="22"/>
                <w:szCs w:val="22"/>
              </w:rPr>
              <w:t>level</w:t>
            </w:r>
            <w:r w:rsidR="00686FE5">
              <w:rPr>
                <w:rFonts w:ascii="Arial" w:hAnsi="Arial" w:cs="Arial"/>
                <w:color w:val="auto"/>
                <w:sz w:val="22"/>
                <w:szCs w:val="22"/>
              </w:rPr>
              <w:t xml:space="preserve"> of spending going forward will impact on the </w:t>
            </w:r>
            <w:r w:rsidRPr="00DE16A0">
              <w:rPr>
                <w:rFonts w:ascii="Arial" w:hAnsi="Arial" w:cs="Arial"/>
                <w:color w:val="auto"/>
                <w:sz w:val="22"/>
                <w:szCs w:val="22"/>
              </w:rPr>
              <w:t xml:space="preserve">percentage </w:t>
            </w:r>
            <w:r w:rsidR="00686FE5">
              <w:rPr>
                <w:rFonts w:ascii="Arial" w:hAnsi="Arial" w:cs="Arial"/>
                <w:color w:val="auto"/>
                <w:sz w:val="22"/>
                <w:szCs w:val="22"/>
              </w:rPr>
              <w:t xml:space="preserve">of business rates </w:t>
            </w:r>
            <w:r w:rsidRPr="00DE16A0">
              <w:rPr>
                <w:rFonts w:ascii="Arial" w:hAnsi="Arial" w:cs="Arial"/>
                <w:color w:val="auto"/>
                <w:sz w:val="22"/>
                <w:szCs w:val="22"/>
              </w:rPr>
              <w:t>retention.</w:t>
            </w:r>
          </w:p>
          <w:p w14:paraId="66774D6B" w14:textId="77777777" w:rsidR="00DE16A0" w:rsidRPr="00DE16A0" w:rsidRDefault="00DE16A0" w:rsidP="00DE16A0">
            <w:pPr>
              <w:pStyle w:val="p2"/>
              <w:numPr>
                <w:ilvl w:val="0"/>
                <w:numId w:val="6"/>
              </w:numPr>
              <w:rPr>
                <w:rFonts w:ascii="Arial" w:hAnsi="Arial" w:cs="Arial"/>
                <w:color w:val="auto"/>
                <w:sz w:val="22"/>
                <w:szCs w:val="22"/>
              </w:rPr>
            </w:pPr>
            <w:r w:rsidRPr="00DE16A0">
              <w:rPr>
                <w:rFonts w:ascii="Arial" w:hAnsi="Arial" w:cs="Arial"/>
                <w:color w:val="auto"/>
                <w:sz w:val="22"/>
                <w:szCs w:val="22"/>
              </w:rPr>
              <w:t xml:space="preserve">Liz Passey (HM Treasury) noted that MHCLG had set out as much certainty as possible at the current time. She acknowledged it was helpful to hear the views in the room. Sarah Pickup reiterated </w:t>
            </w:r>
            <w:r w:rsidR="00AB13FD">
              <w:rPr>
                <w:rFonts w:ascii="Arial" w:hAnsi="Arial" w:cs="Arial"/>
                <w:color w:val="auto"/>
                <w:sz w:val="22"/>
                <w:szCs w:val="22"/>
              </w:rPr>
              <w:t xml:space="preserve">the view that </w:t>
            </w:r>
            <w:r w:rsidRPr="00DE16A0">
              <w:rPr>
                <w:rFonts w:ascii="Arial" w:hAnsi="Arial" w:cs="Arial"/>
                <w:color w:val="auto"/>
                <w:sz w:val="22"/>
                <w:szCs w:val="22"/>
              </w:rPr>
              <w:t>certaint</w:t>
            </w:r>
            <w:r w:rsidR="0069528A">
              <w:rPr>
                <w:rFonts w:ascii="Arial" w:hAnsi="Arial" w:cs="Arial"/>
                <w:color w:val="auto"/>
                <w:sz w:val="22"/>
                <w:szCs w:val="22"/>
              </w:rPr>
              <w:t xml:space="preserve">y </w:t>
            </w:r>
            <w:r w:rsidR="00AB13FD">
              <w:rPr>
                <w:rFonts w:ascii="Arial" w:hAnsi="Arial" w:cs="Arial"/>
                <w:color w:val="auto"/>
                <w:sz w:val="22"/>
                <w:szCs w:val="22"/>
              </w:rPr>
              <w:t>was important</w:t>
            </w:r>
            <w:r w:rsidRPr="00DE16A0">
              <w:rPr>
                <w:rFonts w:ascii="Arial" w:hAnsi="Arial" w:cs="Arial"/>
                <w:color w:val="auto"/>
                <w:sz w:val="22"/>
                <w:szCs w:val="22"/>
              </w:rPr>
              <w:t xml:space="preserve"> and urged </w:t>
            </w:r>
            <w:r w:rsidR="00AB13FD">
              <w:rPr>
                <w:rFonts w:ascii="Arial" w:hAnsi="Arial" w:cs="Arial"/>
                <w:color w:val="auto"/>
                <w:sz w:val="22"/>
                <w:szCs w:val="22"/>
              </w:rPr>
              <w:t>Liz</w:t>
            </w:r>
            <w:r w:rsidR="00AB13FD" w:rsidRPr="00DE16A0">
              <w:rPr>
                <w:rFonts w:ascii="Arial" w:hAnsi="Arial" w:cs="Arial"/>
                <w:color w:val="auto"/>
                <w:sz w:val="22"/>
                <w:szCs w:val="22"/>
              </w:rPr>
              <w:t xml:space="preserve"> </w:t>
            </w:r>
            <w:r w:rsidRPr="00DE16A0">
              <w:rPr>
                <w:rFonts w:ascii="Arial" w:hAnsi="Arial" w:cs="Arial"/>
                <w:color w:val="auto"/>
                <w:sz w:val="22"/>
                <w:szCs w:val="22"/>
              </w:rPr>
              <w:t>to take that message back to the Treasury.</w:t>
            </w:r>
          </w:p>
          <w:p w14:paraId="09E1FE2E" w14:textId="77777777" w:rsidR="00DE16A0" w:rsidRPr="00DE16A0" w:rsidRDefault="00C32A82" w:rsidP="00DE16A0">
            <w:pPr>
              <w:numPr>
                <w:ilvl w:val="0"/>
                <w:numId w:val="6"/>
              </w:numPr>
              <w:rPr>
                <w:rFonts w:cs="Arial"/>
                <w:szCs w:val="22"/>
              </w:rPr>
            </w:pPr>
            <w:r>
              <w:rPr>
                <w:rFonts w:cs="Arial"/>
                <w:szCs w:val="22"/>
              </w:rPr>
              <w:t>Tony Kirkham</w:t>
            </w:r>
            <w:r w:rsidR="00AF4895">
              <w:rPr>
                <w:rFonts w:cs="Arial"/>
                <w:szCs w:val="22"/>
              </w:rPr>
              <w:t xml:space="preserve"> (Solace)</w:t>
            </w:r>
            <w:r>
              <w:rPr>
                <w:rFonts w:cs="Arial"/>
                <w:szCs w:val="22"/>
              </w:rPr>
              <w:t xml:space="preserve"> stressed the importance of</w:t>
            </w:r>
            <w:r w:rsidR="00DE16A0" w:rsidRPr="00DE16A0">
              <w:rPr>
                <w:rFonts w:cs="Arial"/>
                <w:szCs w:val="22"/>
              </w:rPr>
              <w:t xml:space="preserve"> </w:t>
            </w:r>
            <w:r w:rsidR="006427A8">
              <w:rPr>
                <w:rFonts w:cs="Arial"/>
                <w:szCs w:val="22"/>
              </w:rPr>
              <w:t xml:space="preserve">removing </w:t>
            </w:r>
            <w:r w:rsidR="00DE16A0" w:rsidRPr="00DE16A0">
              <w:rPr>
                <w:rFonts w:cs="Arial"/>
                <w:szCs w:val="22"/>
              </w:rPr>
              <w:t xml:space="preserve">appeals risk earlier rather than later. </w:t>
            </w:r>
            <w:r>
              <w:rPr>
                <w:rFonts w:cs="Arial"/>
                <w:szCs w:val="22"/>
              </w:rPr>
              <w:t>Nicola Morton asked whether the alternative model could be implemented in April 2020, if the other reforms are delayed, as MHCLG had previously asserted that the alternative model would produce a similar result to the current system</w:t>
            </w:r>
            <w:r w:rsidR="00B77BBA">
              <w:rPr>
                <w:rFonts w:cs="Arial"/>
                <w:szCs w:val="22"/>
              </w:rPr>
              <w:t xml:space="preserve">. </w:t>
            </w:r>
            <w:r w:rsidR="00DE16A0" w:rsidRPr="00DE16A0">
              <w:rPr>
                <w:rFonts w:cs="Arial"/>
                <w:szCs w:val="22"/>
              </w:rPr>
              <w:t>MHCLG stated they want to test these sort</w:t>
            </w:r>
            <w:r w:rsidR="006D2623">
              <w:rPr>
                <w:rFonts w:cs="Arial"/>
                <w:szCs w:val="22"/>
              </w:rPr>
              <w:t>s</w:t>
            </w:r>
            <w:r w:rsidR="00DE16A0" w:rsidRPr="00DE16A0">
              <w:rPr>
                <w:rFonts w:cs="Arial"/>
                <w:szCs w:val="22"/>
              </w:rPr>
              <w:t xml:space="preserve"> of assumptions </w:t>
            </w:r>
            <w:r w:rsidR="00B77BBA">
              <w:rPr>
                <w:rFonts w:cs="Arial"/>
                <w:szCs w:val="22"/>
              </w:rPr>
              <w:t>as well as consider the interaction with revaluation</w:t>
            </w:r>
            <w:r w:rsidR="00DE16A0" w:rsidRPr="00DE16A0">
              <w:rPr>
                <w:rFonts w:cs="Arial"/>
                <w:szCs w:val="22"/>
              </w:rPr>
              <w:t>.</w:t>
            </w:r>
          </w:p>
          <w:p w14:paraId="3DE0EB4D" w14:textId="77777777" w:rsidR="00DE16A0" w:rsidRPr="00DE16A0" w:rsidRDefault="00DE16A0" w:rsidP="00DE16A0">
            <w:pPr>
              <w:pStyle w:val="p2"/>
              <w:numPr>
                <w:ilvl w:val="0"/>
                <w:numId w:val="6"/>
              </w:numPr>
              <w:rPr>
                <w:rFonts w:ascii="Arial" w:hAnsi="Arial" w:cs="Arial"/>
                <w:color w:val="auto"/>
                <w:sz w:val="22"/>
                <w:szCs w:val="22"/>
              </w:rPr>
            </w:pPr>
            <w:r w:rsidRPr="00DE16A0">
              <w:rPr>
                <w:rFonts w:ascii="Arial" w:hAnsi="Arial" w:cs="Arial"/>
                <w:color w:val="auto"/>
                <w:sz w:val="22"/>
                <w:szCs w:val="22"/>
              </w:rPr>
              <w:t xml:space="preserve">Gary Fielding (CCN) expressed keenness in pressing </w:t>
            </w:r>
            <w:r w:rsidR="00B77BBA">
              <w:rPr>
                <w:rFonts w:ascii="Arial" w:hAnsi="Arial" w:cs="Arial"/>
                <w:color w:val="auto"/>
                <w:sz w:val="22"/>
                <w:szCs w:val="22"/>
              </w:rPr>
              <w:t>ahead</w:t>
            </w:r>
            <w:r w:rsidR="00B77BBA" w:rsidRPr="00DE16A0">
              <w:rPr>
                <w:rFonts w:ascii="Arial" w:hAnsi="Arial" w:cs="Arial"/>
                <w:color w:val="auto"/>
                <w:sz w:val="22"/>
                <w:szCs w:val="22"/>
              </w:rPr>
              <w:t xml:space="preserve"> </w:t>
            </w:r>
            <w:r w:rsidRPr="00DE16A0">
              <w:rPr>
                <w:rFonts w:ascii="Arial" w:hAnsi="Arial" w:cs="Arial"/>
                <w:color w:val="auto"/>
                <w:sz w:val="22"/>
                <w:szCs w:val="22"/>
              </w:rPr>
              <w:t xml:space="preserve">with </w:t>
            </w:r>
            <w:r w:rsidR="00B77BBA">
              <w:rPr>
                <w:rFonts w:ascii="Arial" w:hAnsi="Arial" w:cs="Arial"/>
                <w:color w:val="auto"/>
                <w:sz w:val="22"/>
                <w:szCs w:val="22"/>
              </w:rPr>
              <w:t xml:space="preserve">business rates retention and RRNR </w:t>
            </w:r>
            <w:r w:rsidRPr="00DE16A0">
              <w:rPr>
                <w:rFonts w:ascii="Arial" w:hAnsi="Arial" w:cs="Arial"/>
                <w:color w:val="auto"/>
                <w:sz w:val="22"/>
                <w:szCs w:val="22"/>
              </w:rPr>
              <w:t>reform</w:t>
            </w:r>
            <w:r w:rsidR="00B77BBA">
              <w:rPr>
                <w:rFonts w:ascii="Arial" w:hAnsi="Arial" w:cs="Arial"/>
                <w:color w:val="auto"/>
                <w:sz w:val="22"/>
                <w:szCs w:val="22"/>
              </w:rPr>
              <w:t xml:space="preserve"> in April 2020</w:t>
            </w:r>
            <w:r w:rsidRPr="00DE16A0">
              <w:rPr>
                <w:rFonts w:ascii="Arial" w:hAnsi="Arial" w:cs="Arial"/>
                <w:color w:val="auto"/>
                <w:sz w:val="22"/>
                <w:szCs w:val="22"/>
              </w:rPr>
              <w:t xml:space="preserve">. </w:t>
            </w:r>
            <w:r w:rsidR="00B77BBA">
              <w:rPr>
                <w:rFonts w:ascii="Arial" w:hAnsi="Arial" w:cs="Arial"/>
                <w:color w:val="auto"/>
                <w:sz w:val="22"/>
                <w:szCs w:val="22"/>
              </w:rPr>
              <w:t xml:space="preserve">He also raised </w:t>
            </w:r>
            <w:r w:rsidRPr="00DE16A0">
              <w:rPr>
                <w:rFonts w:ascii="Arial" w:hAnsi="Arial" w:cs="Arial"/>
                <w:color w:val="auto"/>
                <w:sz w:val="22"/>
                <w:szCs w:val="22"/>
              </w:rPr>
              <w:t>concern</w:t>
            </w:r>
            <w:r w:rsidR="00B77BBA">
              <w:rPr>
                <w:rFonts w:ascii="Arial" w:hAnsi="Arial" w:cs="Arial"/>
                <w:color w:val="auto"/>
                <w:sz w:val="22"/>
                <w:szCs w:val="22"/>
              </w:rPr>
              <w:t>s</w:t>
            </w:r>
            <w:r w:rsidRPr="00DE16A0">
              <w:rPr>
                <w:rFonts w:ascii="Arial" w:hAnsi="Arial" w:cs="Arial"/>
                <w:color w:val="auto"/>
                <w:sz w:val="22"/>
                <w:szCs w:val="22"/>
              </w:rPr>
              <w:t xml:space="preserve"> regarding </w:t>
            </w:r>
            <w:r w:rsidR="007B71F3">
              <w:rPr>
                <w:rFonts w:ascii="Arial" w:hAnsi="Arial" w:cs="Arial"/>
                <w:color w:val="auto"/>
                <w:sz w:val="22"/>
                <w:szCs w:val="22"/>
              </w:rPr>
              <w:t>Department for Education</w:t>
            </w:r>
            <w:r w:rsidRPr="00DE16A0">
              <w:rPr>
                <w:rFonts w:ascii="Arial" w:hAnsi="Arial" w:cs="Arial"/>
                <w:color w:val="auto"/>
                <w:sz w:val="22"/>
                <w:szCs w:val="22"/>
              </w:rPr>
              <w:t xml:space="preserve"> advice on negative</w:t>
            </w:r>
            <w:r w:rsidR="00B77BBA">
              <w:rPr>
                <w:rFonts w:ascii="Arial" w:hAnsi="Arial" w:cs="Arial"/>
                <w:color w:val="auto"/>
                <w:sz w:val="22"/>
                <w:szCs w:val="22"/>
              </w:rPr>
              <w:t xml:space="preserve"> high needs</w:t>
            </w:r>
            <w:r w:rsidR="006D2623">
              <w:rPr>
                <w:rFonts w:ascii="Arial" w:hAnsi="Arial" w:cs="Arial"/>
                <w:color w:val="auto"/>
                <w:sz w:val="22"/>
                <w:szCs w:val="22"/>
              </w:rPr>
              <w:t xml:space="preserve"> </w:t>
            </w:r>
            <w:r w:rsidRPr="00DE16A0">
              <w:rPr>
                <w:rFonts w:ascii="Arial" w:hAnsi="Arial" w:cs="Arial"/>
                <w:color w:val="auto"/>
                <w:sz w:val="22"/>
                <w:szCs w:val="22"/>
              </w:rPr>
              <w:t xml:space="preserve">balances. MHCLG said they relayed </w:t>
            </w:r>
            <w:r w:rsidR="006427A8" w:rsidRPr="00DE16A0">
              <w:rPr>
                <w:rFonts w:ascii="Arial" w:hAnsi="Arial" w:cs="Arial"/>
                <w:color w:val="auto"/>
                <w:sz w:val="22"/>
                <w:szCs w:val="22"/>
              </w:rPr>
              <w:t>worries</w:t>
            </w:r>
            <w:r w:rsidRPr="00DE16A0">
              <w:rPr>
                <w:rFonts w:ascii="Arial" w:hAnsi="Arial" w:cs="Arial"/>
                <w:color w:val="auto"/>
                <w:sz w:val="22"/>
                <w:szCs w:val="22"/>
              </w:rPr>
              <w:t xml:space="preserve"> around this.</w:t>
            </w:r>
          </w:p>
          <w:p w14:paraId="78AFB279" w14:textId="77777777" w:rsidR="00DE16A0" w:rsidRPr="00DE16A0" w:rsidRDefault="00DE16A0" w:rsidP="00DE16A0">
            <w:pPr>
              <w:pStyle w:val="p2"/>
              <w:numPr>
                <w:ilvl w:val="0"/>
                <w:numId w:val="6"/>
              </w:numPr>
              <w:rPr>
                <w:rFonts w:ascii="Arial" w:hAnsi="Arial" w:cs="Arial"/>
                <w:color w:val="auto"/>
                <w:sz w:val="22"/>
                <w:szCs w:val="22"/>
              </w:rPr>
            </w:pPr>
            <w:r w:rsidRPr="00DE16A0">
              <w:rPr>
                <w:rFonts w:ascii="Arial" w:hAnsi="Arial" w:cs="Arial"/>
                <w:color w:val="auto"/>
                <w:sz w:val="22"/>
                <w:szCs w:val="22"/>
              </w:rPr>
              <w:t xml:space="preserve">Sarah Pickup </w:t>
            </w:r>
            <w:r w:rsidR="00A914ED">
              <w:rPr>
                <w:rFonts w:ascii="Arial" w:hAnsi="Arial" w:cs="Arial"/>
                <w:color w:val="auto"/>
                <w:sz w:val="22"/>
                <w:szCs w:val="22"/>
              </w:rPr>
              <w:t xml:space="preserve">(LGA) </w:t>
            </w:r>
            <w:r w:rsidR="00B77BBA">
              <w:rPr>
                <w:rFonts w:ascii="Arial" w:hAnsi="Arial" w:cs="Arial"/>
                <w:color w:val="auto"/>
                <w:sz w:val="22"/>
                <w:szCs w:val="22"/>
              </w:rPr>
              <w:t>argued</w:t>
            </w:r>
            <w:r w:rsidR="00B77BBA" w:rsidRPr="00DE16A0">
              <w:rPr>
                <w:rFonts w:ascii="Arial" w:hAnsi="Arial" w:cs="Arial"/>
                <w:color w:val="auto"/>
                <w:sz w:val="22"/>
                <w:szCs w:val="22"/>
              </w:rPr>
              <w:t xml:space="preserve"> </w:t>
            </w:r>
            <w:r w:rsidRPr="00DE16A0">
              <w:rPr>
                <w:rFonts w:ascii="Arial" w:hAnsi="Arial" w:cs="Arial"/>
                <w:color w:val="auto"/>
                <w:sz w:val="22"/>
                <w:szCs w:val="22"/>
              </w:rPr>
              <w:t>that a cash flat roll</w:t>
            </w:r>
            <w:r w:rsidR="006D2623">
              <w:rPr>
                <w:rFonts w:ascii="Arial" w:hAnsi="Arial" w:cs="Arial"/>
                <w:color w:val="auto"/>
                <w:sz w:val="22"/>
                <w:szCs w:val="22"/>
              </w:rPr>
              <w:t>-</w:t>
            </w:r>
            <w:r w:rsidRPr="00DE16A0">
              <w:rPr>
                <w:rFonts w:ascii="Arial" w:hAnsi="Arial" w:cs="Arial"/>
                <w:color w:val="auto"/>
                <w:sz w:val="22"/>
                <w:szCs w:val="22"/>
              </w:rPr>
              <w:t xml:space="preserve">over would not be acceptable given the £3 billion funding gap already facing local government </w:t>
            </w:r>
            <w:r w:rsidR="00B77BBA">
              <w:rPr>
                <w:rFonts w:ascii="Arial" w:hAnsi="Arial" w:cs="Arial"/>
                <w:color w:val="auto"/>
                <w:sz w:val="22"/>
                <w:szCs w:val="22"/>
              </w:rPr>
              <w:t>in 2019/20.  Future funding should be sufficient to reflect the current and future cost and demand pressures facing local government</w:t>
            </w:r>
            <w:r w:rsidR="003D65BB">
              <w:rPr>
                <w:rFonts w:ascii="Arial" w:hAnsi="Arial" w:cs="Arial"/>
                <w:color w:val="auto"/>
                <w:sz w:val="22"/>
                <w:szCs w:val="22"/>
              </w:rPr>
              <w:t>.</w:t>
            </w:r>
          </w:p>
          <w:p w14:paraId="5BE1E605" w14:textId="298D3C5B" w:rsidR="00DE16A0" w:rsidRPr="00825150" w:rsidRDefault="00CD64F1" w:rsidP="00825150">
            <w:pPr>
              <w:pStyle w:val="ListParagraph"/>
              <w:numPr>
                <w:ilvl w:val="0"/>
                <w:numId w:val="6"/>
              </w:numPr>
              <w:rPr>
                <w:szCs w:val="22"/>
              </w:rPr>
            </w:pPr>
            <w:r w:rsidRPr="00CD64F1">
              <w:rPr>
                <w:rFonts w:cs="Arial"/>
                <w:szCs w:val="22"/>
              </w:rPr>
              <w:t>Martin Clarke</w:t>
            </w:r>
            <w:r w:rsidR="00DE16A0" w:rsidRPr="00CD64F1">
              <w:rPr>
                <w:rFonts w:cs="Arial"/>
                <w:szCs w:val="22"/>
              </w:rPr>
              <w:t xml:space="preserve"> (GLA) </w:t>
            </w:r>
            <w:r w:rsidR="00B77BBA">
              <w:rPr>
                <w:rFonts w:cs="Arial"/>
                <w:szCs w:val="22"/>
              </w:rPr>
              <w:t xml:space="preserve">queried whether </w:t>
            </w:r>
            <w:r w:rsidR="00DE16A0" w:rsidRPr="00DE16A0">
              <w:rPr>
                <w:rFonts w:cs="Arial"/>
                <w:szCs w:val="22"/>
              </w:rPr>
              <w:t xml:space="preserve">the Home Office </w:t>
            </w:r>
            <w:r w:rsidR="00B77BBA">
              <w:rPr>
                <w:rFonts w:cs="Arial"/>
                <w:szCs w:val="22"/>
              </w:rPr>
              <w:t xml:space="preserve">were considering a “roll-over” approach for </w:t>
            </w:r>
            <w:r w:rsidR="00DE16A0" w:rsidRPr="00DE16A0">
              <w:rPr>
                <w:rFonts w:cs="Arial"/>
                <w:szCs w:val="22"/>
              </w:rPr>
              <w:t xml:space="preserve">police </w:t>
            </w:r>
            <w:r w:rsidR="00B77BBA">
              <w:rPr>
                <w:rFonts w:cs="Arial"/>
                <w:szCs w:val="22"/>
              </w:rPr>
              <w:t>funding and he felt that there should be consistency in the approach</w:t>
            </w:r>
            <w:r w:rsidR="00DE16A0" w:rsidRPr="00DE16A0">
              <w:rPr>
                <w:rFonts w:cs="Arial"/>
                <w:szCs w:val="22"/>
              </w:rPr>
              <w:t>. MHCLG noted things were dependent on timescales.</w:t>
            </w:r>
          </w:p>
          <w:p w14:paraId="04423D77" w14:textId="77777777" w:rsidR="00DE16A0" w:rsidRPr="00DE16A0" w:rsidRDefault="00DE16A0" w:rsidP="00DE16A0">
            <w:pPr>
              <w:rPr>
                <w:szCs w:val="22"/>
              </w:rPr>
            </w:pPr>
          </w:p>
        </w:tc>
        <w:tc>
          <w:tcPr>
            <w:tcW w:w="283" w:type="dxa"/>
          </w:tcPr>
          <w:p w14:paraId="7C3CA411" w14:textId="77777777" w:rsidR="00DE16A0" w:rsidRPr="00197550" w:rsidRDefault="00DE16A0" w:rsidP="00365DEC">
            <w:pPr>
              <w:widowControl w:val="0"/>
              <w:jc w:val="right"/>
              <w:rPr>
                <w:bCs/>
                <w:szCs w:val="22"/>
              </w:rPr>
            </w:pPr>
          </w:p>
        </w:tc>
      </w:tr>
    </w:tbl>
    <w:p w14:paraId="69AA6CE2" w14:textId="77777777" w:rsidR="00DE16A0" w:rsidRPr="00197550" w:rsidRDefault="00DE16A0" w:rsidP="00DE16A0">
      <w:pPr>
        <w:rPr>
          <w:vanish/>
          <w:szCs w:val="22"/>
        </w:rPr>
      </w:pPr>
      <w:r w:rsidRPr="00197550">
        <w:rPr>
          <w:vanish/>
          <w:szCs w:val="22"/>
        </w:rPr>
        <w:lastRenderedPageBreak/>
        <w:t>&lt;/AI6&gt;</w:t>
      </w:r>
    </w:p>
    <w:p w14:paraId="4A20173B" w14:textId="77777777" w:rsidR="00DE16A0" w:rsidRPr="00197550" w:rsidRDefault="00DE16A0" w:rsidP="00DE16A0">
      <w:pPr>
        <w:rPr>
          <w:vanish/>
          <w:szCs w:val="22"/>
        </w:rPr>
      </w:pPr>
      <w:r w:rsidRPr="00197550">
        <w:rPr>
          <w:vanish/>
          <w:szCs w:val="22"/>
        </w:rPr>
        <w:t>&lt;AI7&gt;</w:t>
      </w:r>
    </w:p>
    <w:tbl>
      <w:tblPr>
        <w:tblW w:w="979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4A0" w:firstRow="1" w:lastRow="0" w:firstColumn="1" w:lastColumn="0" w:noHBand="0" w:noVBand="1"/>
      </w:tblPr>
      <w:tblGrid>
        <w:gridCol w:w="720"/>
        <w:gridCol w:w="8789"/>
        <w:gridCol w:w="283"/>
      </w:tblGrid>
      <w:tr w:rsidR="00DE16A0" w:rsidRPr="00197550" w14:paraId="401CAC40" w14:textId="77777777" w:rsidTr="00365DEC">
        <w:trPr>
          <w:trHeight w:val="386"/>
        </w:trPr>
        <w:tc>
          <w:tcPr>
            <w:tcW w:w="720" w:type="dxa"/>
            <w:tcBorders>
              <w:top w:val="nil"/>
              <w:left w:val="nil"/>
              <w:bottom w:val="nil"/>
              <w:right w:val="nil"/>
            </w:tcBorders>
            <w:shd w:val="clear" w:color="auto" w:fill="auto"/>
          </w:tcPr>
          <w:p w14:paraId="4C28194F" w14:textId="77777777" w:rsidR="00DE16A0" w:rsidRPr="001250F6" w:rsidRDefault="00DE16A0" w:rsidP="00365DEC">
            <w:pPr>
              <w:rPr>
                <w:b/>
                <w:szCs w:val="22"/>
              </w:rPr>
            </w:pPr>
            <w:r w:rsidRPr="001250F6">
              <w:rPr>
                <w:b/>
                <w:szCs w:val="22"/>
              </w:rPr>
              <w:t>4</w:t>
            </w:r>
          </w:p>
        </w:tc>
        <w:tc>
          <w:tcPr>
            <w:tcW w:w="8789" w:type="dxa"/>
            <w:tcBorders>
              <w:top w:val="nil"/>
              <w:left w:val="nil"/>
              <w:bottom w:val="nil"/>
              <w:right w:val="nil"/>
            </w:tcBorders>
            <w:shd w:val="clear" w:color="auto" w:fill="auto"/>
          </w:tcPr>
          <w:p w14:paraId="395FD499" w14:textId="77777777" w:rsidR="00DE16A0" w:rsidRPr="00DE16A0" w:rsidRDefault="00DE16A0" w:rsidP="00365DEC">
            <w:pPr>
              <w:rPr>
                <w:rFonts w:cs="Arial"/>
                <w:b/>
                <w:szCs w:val="22"/>
              </w:rPr>
            </w:pPr>
            <w:r w:rsidRPr="00DE16A0">
              <w:rPr>
                <w:rStyle w:val="s1"/>
                <w:rFonts w:ascii="Arial" w:hAnsi="Arial" w:cs="Arial"/>
                <w:b/>
                <w:sz w:val="22"/>
                <w:szCs w:val="22"/>
              </w:rPr>
              <w:t>Notional Council Tax</w:t>
            </w:r>
          </w:p>
        </w:tc>
        <w:tc>
          <w:tcPr>
            <w:tcW w:w="283" w:type="dxa"/>
            <w:tcBorders>
              <w:top w:val="nil"/>
              <w:left w:val="nil"/>
              <w:bottom w:val="nil"/>
              <w:right w:val="nil"/>
            </w:tcBorders>
          </w:tcPr>
          <w:p w14:paraId="2C6BD6D0" w14:textId="77777777" w:rsidR="00DE16A0" w:rsidRPr="00197550" w:rsidRDefault="00DE16A0" w:rsidP="00365DEC">
            <w:pPr>
              <w:widowControl w:val="0"/>
              <w:rPr>
                <w:b/>
                <w:bCs/>
                <w:szCs w:val="22"/>
              </w:rPr>
            </w:pPr>
          </w:p>
        </w:tc>
      </w:tr>
      <w:tr w:rsidR="00DE16A0" w:rsidRPr="00197550" w14:paraId="731A490A" w14:textId="77777777" w:rsidTr="00365DEC">
        <w:tc>
          <w:tcPr>
            <w:tcW w:w="720" w:type="dxa"/>
            <w:tcBorders>
              <w:top w:val="nil"/>
              <w:left w:val="nil"/>
              <w:bottom w:val="nil"/>
              <w:right w:val="nil"/>
            </w:tcBorders>
          </w:tcPr>
          <w:p w14:paraId="2708E00E" w14:textId="77777777" w:rsidR="00DE16A0" w:rsidRPr="00197550" w:rsidRDefault="00DE16A0" w:rsidP="00365DEC">
            <w:pPr>
              <w:rPr>
                <w:b/>
                <w:szCs w:val="22"/>
              </w:rPr>
            </w:pPr>
          </w:p>
        </w:tc>
        <w:tc>
          <w:tcPr>
            <w:tcW w:w="8789" w:type="dxa"/>
            <w:tcBorders>
              <w:top w:val="nil"/>
              <w:left w:val="nil"/>
              <w:bottom w:val="nil"/>
              <w:right w:val="nil"/>
            </w:tcBorders>
          </w:tcPr>
          <w:p w14:paraId="1A883388" w14:textId="77777777" w:rsidR="003549F8" w:rsidRDefault="00DE16A0" w:rsidP="00DE16A0">
            <w:pPr>
              <w:pStyle w:val="p1"/>
              <w:rPr>
                <w:rFonts w:ascii="Arial" w:hAnsi="Arial" w:cs="Arial"/>
                <w:color w:val="000000" w:themeColor="text1"/>
                <w:sz w:val="22"/>
                <w:szCs w:val="22"/>
              </w:rPr>
            </w:pPr>
            <w:r w:rsidRPr="00DE16A0">
              <w:rPr>
                <w:rStyle w:val="s1"/>
                <w:rFonts w:ascii="Arial" w:hAnsi="Arial" w:cs="Arial"/>
                <w:color w:val="auto"/>
                <w:sz w:val="22"/>
                <w:szCs w:val="22"/>
              </w:rPr>
              <w:t>Stuart Hogg</w:t>
            </w:r>
            <w:r w:rsidRPr="00DE16A0">
              <w:rPr>
                <w:rStyle w:val="s1"/>
                <w:rFonts w:ascii="Arial" w:hAnsi="Arial" w:cs="Arial"/>
                <w:color w:val="000000" w:themeColor="text1"/>
                <w:sz w:val="22"/>
                <w:szCs w:val="22"/>
              </w:rPr>
              <w:t>an</w:t>
            </w:r>
            <w:r w:rsidR="00A914ED">
              <w:rPr>
                <w:rStyle w:val="s1"/>
                <w:rFonts w:ascii="Arial" w:hAnsi="Arial" w:cs="Arial"/>
                <w:color w:val="000000" w:themeColor="text1"/>
                <w:sz w:val="22"/>
                <w:szCs w:val="22"/>
              </w:rPr>
              <w:t xml:space="preserve"> (</w:t>
            </w:r>
            <w:r w:rsidRPr="00DE16A0">
              <w:rPr>
                <w:rStyle w:val="s1"/>
                <w:rFonts w:ascii="Arial" w:hAnsi="Arial" w:cs="Arial"/>
                <w:color w:val="000000" w:themeColor="text1"/>
                <w:sz w:val="22"/>
                <w:szCs w:val="22"/>
              </w:rPr>
              <w:t>MHCLG</w:t>
            </w:r>
            <w:r w:rsidR="00A914ED">
              <w:rPr>
                <w:rStyle w:val="s1"/>
                <w:rFonts w:ascii="Arial" w:hAnsi="Arial" w:cs="Arial"/>
                <w:color w:val="000000" w:themeColor="text1"/>
                <w:sz w:val="22"/>
                <w:szCs w:val="22"/>
              </w:rPr>
              <w:t>)</w:t>
            </w:r>
            <w:r w:rsidRPr="00DE16A0">
              <w:rPr>
                <w:rStyle w:val="s1"/>
                <w:rFonts w:ascii="Arial" w:hAnsi="Arial" w:cs="Arial"/>
                <w:color w:val="000000" w:themeColor="text1"/>
                <w:sz w:val="22"/>
                <w:szCs w:val="22"/>
              </w:rPr>
              <w:t xml:space="preserve"> introduced the paper, </w:t>
            </w:r>
            <w:r w:rsidRPr="00DE16A0">
              <w:rPr>
                <w:rFonts w:ascii="Arial" w:hAnsi="Arial" w:cs="Arial"/>
                <w:color w:val="000000" w:themeColor="text1"/>
                <w:sz w:val="22"/>
                <w:szCs w:val="22"/>
              </w:rPr>
              <w:t xml:space="preserve">pointing out that </w:t>
            </w:r>
            <w:r w:rsidR="006D2623">
              <w:rPr>
                <w:rFonts w:ascii="Arial" w:hAnsi="Arial" w:cs="Arial"/>
                <w:color w:val="000000" w:themeColor="text1"/>
                <w:sz w:val="22"/>
                <w:szCs w:val="22"/>
              </w:rPr>
              <w:t>the answer to who is better off under a higher or lower notional council tax scenario</w:t>
            </w:r>
            <w:r w:rsidRPr="00DE16A0">
              <w:rPr>
                <w:rFonts w:ascii="Arial" w:hAnsi="Arial" w:cs="Arial"/>
                <w:color w:val="000000" w:themeColor="text1"/>
                <w:sz w:val="22"/>
                <w:szCs w:val="22"/>
              </w:rPr>
              <w:t xml:space="preserve"> was about relative </w:t>
            </w:r>
            <w:r w:rsidRPr="00DE16A0">
              <w:rPr>
                <w:rFonts w:ascii="Arial" w:hAnsi="Arial" w:cs="Arial"/>
                <w:color w:val="000000" w:themeColor="text1"/>
                <w:sz w:val="22"/>
                <w:szCs w:val="22"/>
              </w:rPr>
              <w:lastRenderedPageBreak/>
              <w:t>shares of both needs an</w:t>
            </w:r>
            <w:r w:rsidR="00CD64F1">
              <w:rPr>
                <w:rFonts w:ascii="Arial" w:hAnsi="Arial" w:cs="Arial"/>
                <w:color w:val="000000" w:themeColor="text1"/>
                <w:sz w:val="22"/>
                <w:szCs w:val="22"/>
              </w:rPr>
              <w:t xml:space="preserve">d resources. In setting a </w:t>
            </w:r>
            <w:r w:rsidR="003549F8">
              <w:rPr>
                <w:rFonts w:ascii="Arial" w:hAnsi="Arial" w:cs="Arial"/>
                <w:color w:val="000000" w:themeColor="text1"/>
                <w:sz w:val="22"/>
                <w:szCs w:val="22"/>
              </w:rPr>
              <w:t xml:space="preserve">notional council tax </w:t>
            </w:r>
            <w:r w:rsidR="00CD64F1">
              <w:rPr>
                <w:rFonts w:ascii="Arial" w:hAnsi="Arial" w:cs="Arial"/>
                <w:color w:val="000000" w:themeColor="text1"/>
                <w:sz w:val="22"/>
                <w:szCs w:val="22"/>
              </w:rPr>
              <w:t xml:space="preserve">level, </w:t>
            </w:r>
            <w:r w:rsidRPr="00DE16A0">
              <w:rPr>
                <w:rFonts w:ascii="Arial" w:hAnsi="Arial" w:cs="Arial"/>
                <w:color w:val="000000" w:themeColor="text1"/>
                <w:sz w:val="22"/>
                <w:szCs w:val="22"/>
              </w:rPr>
              <w:t xml:space="preserve">ministers </w:t>
            </w:r>
            <w:r w:rsidR="003549F8">
              <w:rPr>
                <w:rFonts w:ascii="Arial" w:hAnsi="Arial" w:cs="Arial"/>
                <w:color w:val="000000" w:themeColor="text1"/>
                <w:sz w:val="22"/>
                <w:szCs w:val="22"/>
              </w:rPr>
              <w:t>will take a view on:</w:t>
            </w:r>
          </w:p>
          <w:p w14:paraId="762DB5F4" w14:textId="77777777" w:rsidR="003549F8" w:rsidRDefault="003549F8" w:rsidP="00DE16A0">
            <w:pPr>
              <w:pStyle w:val="p1"/>
              <w:rPr>
                <w:rFonts w:ascii="Arial" w:hAnsi="Arial" w:cs="Arial"/>
                <w:color w:val="000000" w:themeColor="text1"/>
                <w:sz w:val="22"/>
                <w:szCs w:val="22"/>
              </w:rPr>
            </w:pPr>
          </w:p>
          <w:p w14:paraId="52AA51C4" w14:textId="77777777" w:rsidR="003549F8" w:rsidRPr="00E83621" w:rsidRDefault="003549F8" w:rsidP="00E83621">
            <w:pPr>
              <w:pStyle w:val="p1"/>
              <w:numPr>
                <w:ilvl w:val="0"/>
                <w:numId w:val="12"/>
              </w:numPr>
              <w:rPr>
                <w:rFonts w:ascii="Arial" w:hAnsi="Arial" w:cs="Arial"/>
                <w:color w:val="auto"/>
                <w:sz w:val="22"/>
                <w:szCs w:val="22"/>
              </w:rPr>
            </w:pPr>
            <w:r>
              <w:rPr>
                <w:rFonts w:ascii="Arial" w:hAnsi="Arial" w:cs="Arial"/>
                <w:color w:val="000000" w:themeColor="text1"/>
                <w:sz w:val="22"/>
                <w:szCs w:val="22"/>
              </w:rPr>
              <w:t>The</w:t>
            </w:r>
            <w:r w:rsidR="00DE16A0" w:rsidRPr="00DE16A0">
              <w:rPr>
                <w:rFonts w:ascii="Arial" w:hAnsi="Arial" w:cs="Arial"/>
                <w:color w:val="000000" w:themeColor="text1"/>
                <w:sz w:val="22"/>
                <w:szCs w:val="22"/>
              </w:rPr>
              <w:t xml:space="preserve"> </w:t>
            </w:r>
            <w:r>
              <w:rPr>
                <w:rFonts w:ascii="Arial" w:hAnsi="Arial" w:cs="Arial"/>
                <w:color w:val="000000" w:themeColor="text1"/>
                <w:sz w:val="22"/>
                <w:szCs w:val="22"/>
              </w:rPr>
              <w:t xml:space="preserve">desired </w:t>
            </w:r>
            <w:r w:rsidR="00DE16A0" w:rsidRPr="00DE16A0">
              <w:rPr>
                <w:rFonts w:ascii="Arial" w:hAnsi="Arial" w:cs="Arial"/>
                <w:color w:val="000000" w:themeColor="text1"/>
                <w:sz w:val="22"/>
                <w:szCs w:val="22"/>
              </w:rPr>
              <w:t>degree of equalisation in the system</w:t>
            </w:r>
          </w:p>
          <w:p w14:paraId="6B0FBD6B" w14:textId="77777777" w:rsidR="003549F8" w:rsidRDefault="0069528A" w:rsidP="00E83621">
            <w:pPr>
              <w:pStyle w:val="p1"/>
              <w:numPr>
                <w:ilvl w:val="0"/>
                <w:numId w:val="12"/>
              </w:numPr>
              <w:rPr>
                <w:rFonts w:ascii="Arial" w:hAnsi="Arial" w:cs="Arial"/>
                <w:color w:val="auto"/>
                <w:sz w:val="22"/>
                <w:szCs w:val="22"/>
              </w:rPr>
            </w:pPr>
            <w:r w:rsidRPr="00FE4E59">
              <w:rPr>
                <w:rFonts w:ascii="Arial" w:hAnsi="Arial" w:cs="Arial"/>
                <w:color w:val="auto"/>
                <w:sz w:val="22"/>
                <w:szCs w:val="22"/>
              </w:rPr>
              <w:t>The risk</w:t>
            </w:r>
            <w:r w:rsidR="00DE16A0" w:rsidRPr="00FE4E59">
              <w:rPr>
                <w:rFonts w:ascii="Arial" w:hAnsi="Arial" w:cs="Arial"/>
                <w:color w:val="auto"/>
                <w:sz w:val="22"/>
                <w:szCs w:val="22"/>
              </w:rPr>
              <w:t xml:space="preserve"> of </w:t>
            </w:r>
            <w:r w:rsidR="003D70D6">
              <w:rPr>
                <w:rFonts w:ascii="Arial" w:hAnsi="Arial" w:cs="Arial"/>
                <w:color w:val="auto"/>
                <w:sz w:val="22"/>
                <w:szCs w:val="22"/>
              </w:rPr>
              <w:t>negative funding</w:t>
            </w:r>
            <w:r w:rsidR="006D2623">
              <w:rPr>
                <w:rFonts w:ascii="Arial" w:hAnsi="Arial" w:cs="Arial"/>
                <w:color w:val="auto"/>
                <w:sz w:val="22"/>
                <w:szCs w:val="22"/>
              </w:rPr>
              <w:t xml:space="preserve"> baselines</w:t>
            </w:r>
            <w:r w:rsidR="00DE16A0" w:rsidRPr="00FE4E59">
              <w:rPr>
                <w:rFonts w:ascii="Arial" w:hAnsi="Arial" w:cs="Arial"/>
                <w:color w:val="auto"/>
                <w:sz w:val="22"/>
                <w:szCs w:val="22"/>
              </w:rPr>
              <w:t xml:space="preserve"> </w:t>
            </w:r>
            <w:r w:rsidR="00F51DF3" w:rsidRPr="00FE4E59">
              <w:rPr>
                <w:rFonts w:ascii="Arial" w:hAnsi="Arial" w:cs="Arial"/>
                <w:color w:val="auto"/>
                <w:sz w:val="22"/>
                <w:szCs w:val="22"/>
              </w:rPr>
              <w:t>for</w:t>
            </w:r>
            <w:r w:rsidR="006D2623">
              <w:rPr>
                <w:rFonts w:ascii="Arial" w:hAnsi="Arial" w:cs="Arial"/>
                <w:color w:val="auto"/>
                <w:sz w:val="22"/>
                <w:szCs w:val="22"/>
              </w:rPr>
              <w:t xml:space="preserve"> some</w:t>
            </w:r>
            <w:r w:rsidR="00F51DF3" w:rsidRPr="00FE4E59">
              <w:rPr>
                <w:rFonts w:ascii="Arial" w:hAnsi="Arial" w:cs="Arial"/>
                <w:color w:val="auto"/>
                <w:sz w:val="22"/>
                <w:szCs w:val="22"/>
              </w:rPr>
              <w:t xml:space="preserve"> </w:t>
            </w:r>
            <w:r w:rsidR="00DE16A0" w:rsidRPr="00FE4E59">
              <w:rPr>
                <w:rFonts w:ascii="Arial" w:hAnsi="Arial" w:cs="Arial"/>
                <w:color w:val="auto"/>
                <w:sz w:val="22"/>
                <w:szCs w:val="22"/>
              </w:rPr>
              <w:t>authorities.</w:t>
            </w:r>
          </w:p>
          <w:p w14:paraId="55E29D51" w14:textId="77777777" w:rsidR="003549F8" w:rsidRDefault="003549F8" w:rsidP="00E83621">
            <w:pPr>
              <w:pStyle w:val="p1"/>
              <w:numPr>
                <w:ilvl w:val="0"/>
                <w:numId w:val="12"/>
              </w:numPr>
              <w:rPr>
                <w:rFonts w:ascii="Arial" w:hAnsi="Arial" w:cs="Arial"/>
                <w:color w:val="auto"/>
                <w:sz w:val="22"/>
                <w:szCs w:val="22"/>
              </w:rPr>
            </w:pPr>
            <w:r>
              <w:rPr>
                <w:rFonts w:ascii="Arial" w:hAnsi="Arial" w:cs="Arial"/>
                <w:color w:val="auto"/>
                <w:sz w:val="22"/>
                <w:szCs w:val="22"/>
              </w:rPr>
              <w:t>Distance from notional council tax and the need to avoid perverse incentives.</w:t>
            </w:r>
          </w:p>
          <w:p w14:paraId="71BA188B" w14:textId="77777777" w:rsidR="003549F8" w:rsidRDefault="003549F8" w:rsidP="00F97A9B">
            <w:pPr>
              <w:pStyle w:val="p1"/>
              <w:ind w:left="360"/>
              <w:rPr>
                <w:rFonts w:ascii="Arial" w:hAnsi="Arial" w:cs="Arial"/>
                <w:color w:val="auto"/>
                <w:sz w:val="22"/>
                <w:szCs w:val="22"/>
              </w:rPr>
            </w:pPr>
          </w:p>
          <w:p w14:paraId="0B4C90D3" w14:textId="77777777" w:rsidR="00DE16A0" w:rsidRPr="00DE16A0" w:rsidRDefault="00DE16A0" w:rsidP="003549F8">
            <w:pPr>
              <w:pStyle w:val="p1"/>
              <w:rPr>
                <w:rStyle w:val="s1"/>
                <w:rFonts w:ascii="Arial" w:hAnsi="Arial" w:cs="Arial"/>
                <w:color w:val="auto"/>
                <w:sz w:val="22"/>
                <w:szCs w:val="22"/>
              </w:rPr>
            </w:pPr>
            <w:r w:rsidRPr="00F97A9B">
              <w:rPr>
                <w:rStyle w:val="s1"/>
                <w:rFonts w:ascii="Arial" w:hAnsi="Arial"/>
                <w:color w:val="auto"/>
                <w:sz w:val="22"/>
                <w:szCs w:val="22"/>
              </w:rPr>
              <w:t xml:space="preserve">MHCLG acknowledged that </w:t>
            </w:r>
            <w:r w:rsidR="003549F8">
              <w:rPr>
                <w:rStyle w:val="s1"/>
                <w:rFonts w:ascii="Arial" w:hAnsi="Arial"/>
                <w:color w:val="auto"/>
                <w:sz w:val="22"/>
                <w:szCs w:val="22"/>
              </w:rPr>
              <w:t xml:space="preserve">they </w:t>
            </w:r>
            <w:r w:rsidRPr="00F97A9B">
              <w:rPr>
                <w:rStyle w:val="s1"/>
                <w:rFonts w:ascii="Arial" w:hAnsi="Arial"/>
                <w:color w:val="auto"/>
                <w:sz w:val="22"/>
                <w:szCs w:val="22"/>
              </w:rPr>
              <w:t xml:space="preserve">also need </w:t>
            </w:r>
            <w:r w:rsidR="003549F8">
              <w:rPr>
                <w:rStyle w:val="s1"/>
                <w:rFonts w:ascii="Arial" w:hAnsi="Arial"/>
                <w:color w:val="auto"/>
                <w:sz w:val="22"/>
                <w:szCs w:val="22"/>
              </w:rPr>
              <w:t>to consider how to split notional council tax between tiers</w:t>
            </w:r>
            <w:r w:rsidR="003D65BB">
              <w:rPr>
                <w:rStyle w:val="s1"/>
                <w:rFonts w:ascii="Arial" w:hAnsi="Arial"/>
                <w:color w:val="auto"/>
                <w:sz w:val="22"/>
                <w:szCs w:val="22"/>
              </w:rPr>
              <w:t>.</w:t>
            </w:r>
            <w:r w:rsidRPr="00F97A9B">
              <w:rPr>
                <w:rStyle w:val="s1"/>
                <w:rFonts w:ascii="Arial" w:hAnsi="Arial"/>
                <w:color w:val="auto"/>
                <w:sz w:val="22"/>
                <w:szCs w:val="22"/>
              </w:rPr>
              <w:t> </w:t>
            </w:r>
          </w:p>
          <w:p w14:paraId="135C99BD" w14:textId="77777777" w:rsidR="00DE16A0" w:rsidRPr="00C0740B" w:rsidRDefault="00DE16A0" w:rsidP="00365DEC"/>
          <w:p w14:paraId="6282AC25" w14:textId="77777777" w:rsidR="00DE16A0" w:rsidRPr="00C0740B" w:rsidRDefault="00DE16A0" w:rsidP="00365DEC">
            <w:pPr>
              <w:widowControl w:val="0"/>
              <w:spacing w:after="240"/>
              <w:rPr>
                <w:szCs w:val="22"/>
              </w:rPr>
            </w:pPr>
            <w:r w:rsidRPr="00C0740B">
              <w:rPr>
                <w:szCs w:val="22"/>
              </w:rPr>
              <w:t xml:space="preserve">Members of the steering group provided the following comments: </w:t>
            </w:r>
          </w:p>
          <w:p w14:paraId="4A12E208" w14:textId="77777777" w:rsidR="00DE16A0" w:rsidRDefault="00DE16A0" w:rsidP="00DE16A0">
            <w:pPr>
              <w:pStyle w:val="p2"/>
              <w:numPr>
                <w:ilvl w:val="0"/>
                <w:numId w:val="7"/>
              </w:numPr>
              <w:rPr>
                <w:rFonts w:ascii="Arial" w:hAnsi="Arial" w:cs="Arial"/>
                <w:color w:val="auto"/>
                <w:sz w:val="22"/>
                <w:szCs w:val="22"/>
              </w:rPr>
            </w:pPr>
            <w:r>
              <w:rPr>
                <w:rFonts w:ascii="Arial" w:hAnsi="Arial" w:cs="Arial"/>
                <w:color w:val="auto"/>
                <w:sz w:val="22"/>
                <w:szCs w:val="22"/>
              </w:rPr>
              <w:t xml:space="preserve">There was a concern that a </w:t>
            </w:r>
            <w:r w:rsidR="006D2623">
              <w:rPr>
                <w:rFonts w:ascii="Arial" w:hAnsi="Arial" w:cs="Arial"/>
                <w:color w:val="auto"/>
                <w:sz w:val="22"/>
                <w:szCs w:val="22"/>
              </w:rPr>
              <w:t xml:space="preserve">misunderstanding of the purpose of notional council tax </w:t>
            </w:r>
            <w:r>
              <w:rPr>
                <w:rFonts w:ascii="Arial" w:hAnsi="Arial" w:cs="Arial"/>
                <w:color w:val="auto"/>
                <w:sz w:val="22"/>
                <w:szCs w:val="22"/>
              </w:rPr>
              <w:t xml:space="preserve">would </w:t>
            </w:r>
            <w:r w:rsidR="005E498C">
              <w:rPr>
                <w:rFonts w:ascii="Arial" w:hAnsi="Arial" w:cs="Arial"/>
                <w:color w:val="auto"/>
                <w:sz w:val="22"/>
                <w:szCs w:val="22"/>
              </w:rPr>
              <w:t>create</w:t>
            </w:r>
            <w:r>
              <w:rPr>
                <w:rFonts w:ascii="Arial" w:hAnsi="Arial" w:cs="Arial"/>
                <w:color w:val="auto"/>
                <w:sz w:val="22"/>
                <w:szCs w:val="22"/>
              </w:rPr>
              <w:t xml:space="preserve"> pressure to increase council tax</w:t>
            </w:r>
            <w:r w:rsidR="006D2623">
              <w:rPr>
                <w:rFonts w:ascii="Arial" w:hAnsi="Arial" w:cs="Arial"/>
                <w:color w:val="auto"/>
                <w:sz w:val="22"/>
                <w:szCs w:val="22"/>
              </w:rPr>
              <w:t xml:space="preserve"> for low tax authorities</w:t>
            </w:r>
            <w:r>
              <w:rPr>
                <w:rFonts w:ascii="Arial" w:hAnsi="Arial" w:cs="Arial"/>
                <w:color w:val="auto"/>
                <w:sz w:val="22"/>
                <w:szCs w:val="22"/>
              </w:rPr>
              <w:t xml:space="preserve">. </w:t>
            </w:r>
          </w:p>
          <w:p w14:paraId="51761789" w14:textId="77777777" w:rsidR="00DE16A0" w:rsidRDefault="00DE16A0" w:rsidP="00DE16A0">
            <w:pPr>
              <w:pStyle w:val="p2"/>
              <w:numPr>
                <w:ilvl w:val="0"/>
                <w:numId w:val="7"/>
              </w:numPr>
              <w:rPr>
                <w:rFonts w:ascii="Arial" w:hAnsi="Arial" w:cs="Arial"/>
                <w:color w:val="auto"/>
                <w:sz w:val="22"/>
                <w:szCs w:val="22"/>
              </w:rPr>
            </w:pPr>
            <w:r>
              <w:rPr>
                <w:rFonts w:ascii="Arial" w:hAnsi="Arial" w:cs="Arial"/>
                <w:color w:val="auto"/>
                <w:sz w:val="22"/>
                <w:szCs w:val="22"/>
              </w:rPr>
              <w:t xml:space="preserve">Sarah Pickup </w:t>
            </w:r>
            <w:r w:rsidR="00282C49">
              <w:rPr>
                <w:rFonts w:ascii="Arial" w:hAnsi="Arial" w:cs="Arial"/>
                <w:color w:val="auto"/>
                <w:sz w:val="22"/>
                <w:szCs w:val="22"/>
              </w:rPr>
              <w:t xml:space="preserve">(LGA) </w:t>
            </w:r>
            <w:r w:rsidR="003549F8">
              <w:rPr>
                <w:rFonts w:ascii="Arial" w:hAnsi="Arial" w:cs="Arial"/>
                <w:color w:val="auto"/>
                <w:sz w:val="22"/>
                <w:szCs w:val="22"/>
              </w:rPr>
              <w:t xml:space="preserve">raised concerns that this setting of notional council tax would be based on judgement and felt that it should be based on </w:t>
            </w:r>
            <w:r w:rsidR="00F97A9B">
              <w:rPr>
                <w:rFonts w:ascii="Arial" w:hAnsi="Arial" w:cs="Arial"/>
                <w:color w:val="auto"/>
                <w:sz w:val="22"/>
                <w:szCs w:val="22"/>
              </w:rPr>
              <w:t>something</w:t>
            </w:r>
            <w:r w:rsidR="003549F8">
              <w:rPr>
                <w:rFonts w:ascii="Arial" w:hAnsi="Arial" w:cs="Arial"/>
                <w:color w:val="auto"/>
                <w:sz w:val="22"/>
                <w:szCs w:val="22"/>
              </w:rPr>
              <w:t xml:space="preserve"> objective and rational.  </w:t>
            </w:r>
            <w:r w:rsidR="00F97A9B">
              <w:rPr>
                <w:rFonts w:ascii="Arial" w:hAnsi="Arial" w:cs="Arial"/>
                <w:color w:val="auto"/>
                <w:sz w:val="22"/>
                <w:szCs w:val="22"/>
              </w:rPr>
              <w:t>T</w:t>
            </w:r>
            <w:r w:rsidR="006D2623">
              <w:rPr>
                <w:rFonts w:ascii="Arial" w:hAnsi="Arial" w:cs="Arial"/>
                <w:color w:val="auto"/>
                <w:sz w:val="22"/>
                <w:szCs w:val="22"/>
              </w:rPr>
              <w:t xml:space="preserve">here </w:t>
            </w:r>
            <w:r w:rsidR="00F97A9B">
              <w:rPr>
                <w:rFonts w:ascii="Arial" w:hAnsi="Arial" w:cs="Arial"/>
                <w:color w:val="auto"/>
                <w:sz w:val="22"/>
                <w:szCs w:val="22"/>
              </w:rPr>
              <w:t xml:space="preserve">will be </w:t>
            </w:r>
            <w:r w:rsidR="00F51DF3">
              <w:rPr>
                <w:rFonts w:ascii="Arial" w:hAnsi="Arial" w:cs="Arial"/>
                <w:color w:val="auto"/>
                <w:sz w:val="22"/>
                <w:szCs w:val="22"/>
              </w:rPr>
              <w:t>great interest</w:t>
            </w:r>
            <w:r>
              <w:rPr>
                <w:rFonts w:ascii="Arial" w:hAnsi="Arial" w:cs="Arial"/>
                <w:color w:val="auto"/>
                <w:sz w:val="22"/>
                <w:szCs w:val="22"/>
              </w:rPr>
              <w:t xml:space="preserve"> in how the levels will be set and what they are </w:t>
            </w:r>
            <w:r w:rsidR="00F97A9B">
              <w:rPr>
                <w:rFonts w:ascii="Arial" w:hAnsi="Arial" w:cs="Arial"/>
                <w:color w:val="auto"/>
                <w:sz w:val="22"/>
                <w:szCs w:val="22"/>
              </w:rPr>
              <w:t xml:space="preserve">to be </w:t>
            </w:r>
            <w:r>
              <w:rPr>
                <w:rFonts w:ascii="Arial" w:hAnsi="Arial" w:cs="Arial"/>
                <w:color w:val="auto"/>
                <w:sz w:val="22"/>
                <w:szCs w:val="22"/>
              </w:rPr>
              <w:t>based on. MHCLG responded that there was a decision to be made on this</w:t>
            </w:r>
            <w:r w:rsidR="006D2623">
              <w:rPr>
                <w:rFonts w:ascii="Arial" w:hAnsi="Arial" w:cs="Arial"/>
                <w:color w:val="auto"/>
                <w:sz w:val="22"/>
                <w:szCs w:val="22"/>
              </w:rPr>
              <w:t xml:space="preserve">. It would partly be based on ministerial judgement </w:t>
            </w:r>
            <w:r>
              <w:rPr>
                <w:rFonts w:ascii="Arial" w:hAnsi="Arial" w:cs="Arial"/>
                <w:color w:val="auto"/>
                <w:sz w:val="22"/>
                <w:szCs w:val="22"/>
              </w:rPr>
              <w:t xml:space="preserve">as </w:t>
            </w:r>
            <w:r w:rsidR="006D2623">
              <w:rPr>
                <w:rFonts w:ascii="Arial" w:hAnsi="Arial" w:cs="Arial"/>
                <w:color w:val="auto"/>
                <w:sz w:val="22"/>
                <w:szCs w:val="22"/>
              </w:rPr>
              <w:t>it is not possible to</w:t>
            </w:r>
            <w:r>
              <w:rPr>
                <w:rFonts w:ascii="Arial" w:hAnsi="Arial" w:cs="Arial"/>
                <w:color w:val="auto"/>
                <w:sz w:val="22"/>
                <w:szCs w:val="22"/>
              </w:rPr>
              <w:t xml:space="preserve"> arrive at one particular outcome</w:t>
            </w:r>
            <w:r w:rsidR="006D2623">
              <w:rPr>
                <w:rFonts w:ascii="Arial" w:hAnsi="Arial" w:cs="Arial"/>
                <w:color w:val="auto"/>
                <w:sz w:val="22"/>
                <w:szCs w:val="22"/>
              </w:rPr>
              <w:t xml:space="preserve"> through analysis</w:t>
            </w:r>
            <w:r>
              <w:rPr>
                <w:rFonts w:ascii="Arial" w:hAnsi="Arial" w:cs="Arial"/>
                <w:color w:val="auto"/>
                <w:sz w:val="22"/>
                <w:szCs w:val="22"/>
              </w:rPr>
              <w:t xml:space="preserve">. </w:t>
            </w:r>
          </w:p>
          <w:p w14:paraId="3A71B950" w14:textId="77777777" w:rsidR="00DE16A0" w:rsidRDefault="00F97A9B" w:rsidP="00DE16A0">
            <w:pPr>
              <w:pStyle w:val="p2"/>
              <w:numPr>
                <w:ilvl w:val="0"/>
                <w:numId w:val="7"/>
              </w:numPr>
              <w:rPr>
                <w:rFonts w:ascii="Arial" w:hAnsi="Arial" w:cs="Arial"/>
                <w:color w:val="auto"/>
                <w:sz w:val="22"/>
                <w:szCs w:val="22"/>
              </w:rPr>
            </w:pPr>
            <w:r>
              <w:rPr>
                <w:rFonts w:ascii="Arial" w:hAnsi="Arial" w:cs="Arial"/>
                <w:color w:val="auto"/>
                <w:sz w:val="22"/>
                <w:szCs w:val="22"/>
              </w:rPr>
              <w:t xml:space="preserve">Tony </w:t>
            </w:r>
            <w:r w:rsidR="00AD1A7B">
              <w:rPr>
                <w:rFonts w:ascii="Arial" w:hAnsi="Arial" w:cs="Arial"/>
                <w:color w:val="auto"/>
                <w:sz w:val="22"/>
                <w:szCs w:val="22"/>
              </w:rPr>
              <w:t xml:space="preserve">Kirkham </w:t>
            </w:r>
            <w:r w:rsidR="0069528A">
              <w:rPr>
                <w:rFonts w:ascii="Arial" w:hAnsi="Arial" w:cs="Arial"/>
                <w:color w:val="auto"/>
                <w:sz w:val="22"/>
                <w:szCs w:val="22"/>
              </w:rPr>
              <w:t>(Solace</w:t>
            </w:r>
            <w:r w:rsidR="00AD1A7B">
              <w:rPr>
                <w:rFonts w:ascii="Arial" w:hAnsi="Arial" w:cs="Arial"/>
                <w:color w:val="auto"/>
                <w:sz w:val="22"/>
                <w:szCs w:val="22"/>
              </w:rPr>
              <w:t xml:space="preserve">) noted that the social care precept adds complexity to this issue.  </w:t>
            </w:r>
            <w:r w:rsidR="00DE16A0">
              <w:rPr>
                <w:rFonts w:ascii="Arial" w:hAnsi="Arial" w:cs="Arial"/>
                <w:color w:val="auto"/>
                <w:sz w:val="22"/>
                <w:szCs w:val="22"/>
              </w:rPr>
              <w:t>Guy Ware (</w:t>
            </w:r>
            <w:r w:rsidR="00365DEC">
              <w:rPr>
                <w:rFonts w:ascii="Arial" w:hAnsi="Arial" w:cs="Arial"/>
                <w:color w:val="auto"/>
                <w:sz w:val="22"/>
                <w:szCs w:val="22"/>
              </w:rPr>
              <w:t>London Councils)</w:t>
            </w:r>
            <w:r w:rsidR="00DE16A0">
              <w:rPr>
                <w:rFonts w:ascii="Arial" w:hAnsi="Arial" w:cs="Arial"/>
                <w:color w:val="auto"/>
                <w:sz w:val="22"/>
                <w:szCs w:val="22"/>
              </w:rPr>
              <w:t xml:space="preserve"> questioned whether </w:t>
            </w:r>
            <w:r w:rsidR="006D2623">
              <w:rPr>
                <w:rFonts w:ascii="Arial" w:hAnsi="Arial" w:cs="Arial"/>
                <w:color w:val="auto"/>
                <w:sz w:val="22"/>
                <w:szCs w:val="22"/>
              </w:rPr>
              <w:t>the precept would continue</w:t>
            </w:r>
            <w:r w:rsidR="00AD1A7B">
              <w:rPr>
                <w:rFonts w:ascii="Arial" w:hAnsi="Arial" w:cs="Arial"/>
                <w:color w:val="auto"/>
                <w:sz w:val="22"/>
                <w:szCs w:val="22"/>
              </w:rPr>
              <w:t xml:space="preserve"> and if so how it would be dealt with.  Sarah </w:t>
            </w:r>
            <w:r w:rsidR="003D65BB">
              <w:rPr>
                <w:rFonts w:ascii="Arial" w:hAnsi="Arial" w:cs="Arial"/>
                <w:color w:val="auto"/>
                <w:sz w:val="22"/>
                <w:szCs w:val="22"/>
              </w:rPr>
              <w:t>Pickup noted</w:t>
            </w:r>
            <w:r w:rsidR="00AD1A7B">
              <w:rPr>
                <w:rFonts w:ascii="Arial" w:hAnsi="Arial" w:cs="Arial"/>
                <w:color w:val="auto"/>
                <w:sz w:val="22"/>
                <w:szCs w:val="22"/>
              </w:rPr>
              <w:t xml:space="preserve"> links with </w:t>
            </w:r>
            <w:r w:rsidR="006D2623">
              <w:rPr>
                <w:rFonts w:ascii="Arial" w:hAnsi="Arial" w:cs="Arial"/>
                <w:color w:val="auto"/>
                <w:sz w:val="22"/>
                <w:szCs w:val="22"/>
              </w:rPr>
              <w:t xml:space="preserve">notional council tax </w:t>
            </w:r>
            <w:r w:rsidR="00DE16A0">
              <w:rPr>
                <w:rFonts w:ascii="Arial" w:hAnsi="Arial" w:cs="Arial"/>
                <w:color w:val="auto"/>
                <w:sz w:val="22"/>
                <w:szCs w:val="22"/>
              </w:rPr>
              <w:t xml:space="preserve">and the </w:t>
            </w:r>
            <w:r w:rsidR="006D2623">
              <w:rPr>
                <w:rFonts w:ascii="Arial" w:hAnsi="Arial" w:cs="Arial"/>
                <w:color w:val="auto"/>
                <w:sz w:val="22"/>
                <w:szCs w:val="22"/>
              </w:rPr>
              <w:t>i</w:t>
            </w:r>
            <w:r w:rsidR="00DE16A0">
              <w:rPr>
                <w:rFonts w:ascii="Arial" w:hAnsi="Arial" w:cs="Arial"/>
                <w:color w:val="auto"/>
                <w:sz w:val="22"/>
                <w:szCs w:val="22"/>
              </w:rPr>
              <w:t>BCF</w:t>
            </w:r>
            <w:r w:rsidR="006D2623">
              <w:rPr>
                <w:rFonts w:ascii="Arial" w:hAnsi="Arial" w:cs="Arial"/>
                <w:color w:val="auto"/>
                <w:sz w:val="22"/>
                <w:szCs w:val="22"/>
              </w:rPr>
              <w:t xml:space="preserve"> in the future</w:t>
            </w:r>
            <w:r w:rsidR="00DE16A0">
              <w:rPr>
                <w:rFonts w:ascii="Arial" w:hAnsi="Arial" w:cs="Arial"/>
                <w:color w:val="auto"/>
                <w:sz w:val="22"/>
                <w:szCs w:val="22"/>
              </w:rPr>
              <w:t xml:space="preserve">. </w:t>
            </w:r>
          </w:p>
          <w:p w14:paraId="37DF0409" w14:textId="77777777" w:rsidR="00E930DA" w:rsidRDefault="00E930DA" w:rsidP="00DE16A0">
            <w:pPr>
              <w:pStyle w:val="p2"/>
              <w:numPr>
                <w:ilvl w:val="0"/>
                <w:numId w:val="7"/>
              </w:numPr>
              <w:rPr>
                <w:rFonts w:ascii="Arial" w:hAnsi="Arial" w:cs="Arial"/>
                <w:color w:val="auto"/>
                <w:sz w:val="22"/>
                <w:szCs w:val="22"/>
              </w:rPr>
            </w:pPr>
            <w:r>
              <w:rPr>
                <w:rFonts w:ascii="Arial" w:hAnsi="Arial" w:cs="Arial"/>
                <w:color w:val="auto"/>
                <w:sz w:val="22"/>
                <w:szCs w:val="22"/>
              </w:rPr>
              <w:t xml:space="preserve">Nicola Morton (LGA) raised the importance of </w:t>
            </w:r>
            <w:r w:rsidR="006D2623">
              <w:rPr>
                <w:rFonts w:ascii="Arial" w:hAnsi="Arial" w:cs="Arial"/>
                <w:color w:val="auto"/>
                <w:sz w:val="22"/>
                <w:szCs w:val="22"/>
              </w:rPr>
              <w:t xml:space="preserve">relative </w:t>
            </w:r>
            <w:r>
              <w:rPr>
                <w:rFonts w:ascii="Arial" w:hAnsi="Arial" w:cs="Arial"/>
                <w:color w:val="auto"/>
                <w:sz w:val="22"/>
                <w:szCs w:val="22"/>
              </w:rPr>
              <w:t>needs</w:t>
            </w:r>
            <w:r w:rsidR="00AD1A7B">
              <w:rPr>
                <w:rFonts w:ascii="Arial" w:hAnsi="Arial" w:cs="Arial"/>
                <w:color w:val="auto"/>
                <w:sz w:val="22"/>
                <w:szCs w:val="22"/>
              </w:rPr>
              <w:t xml:space="preserve"> in the equation in that it is an issue i</w:t>
            </w:r>
            <w:r>
              <w:rPr>
                <w:rFonts w:ascii="Arial" w:hAnsi="Arial" w:cs="Arial"/>
                <w:color w:val="auto"/>
                <w:sz w:val="22"/>
                <w:szCs w:val="22"/>
              </w:rPr>
              <w:t>f average council tax is used</w:t>
            </w:r>
            <w:r w:rsidR="00AD1A7B">
              <w:rPr>
                <w:rFonts w:ascii="Arial" w:hAnsi="Arial" w:cs="Arial"/>
                <w:color w:val="auto"/>
                <w:sz w:val="22"/>
                <w:szCs w:val="22"/>
              </w:rPr>
              <w:t xml:space="preserve"> but the control total given to needs is low</w:t>
            </w:r>
            <w:r w:rsidR="00E226C4">
              <w:rPr>
                <w:rFonts w:ascii="Arial" w:hAnsi="Arial" w:cs="Arial"/>
                <w:color w:val="auto"/>
                <w:sz w:val="22"/>
                <w:szCs w:val="22"/>
              </w:rPr>
              <w:t>.</w:t>
            </w:r>
          </w:p>
          <w:p w14:paraId="093601BB" w14:textId="2A513844" w:rsidR="00DE16A0" w:rsidRPr="00825150" w:rsidRDefault="00DE16A0" w:rsidP="00825150">
            <w:pPr>
              <w:pStyle w:val="p2"/>
              <w:numPr>
                <w:ilvl w:val="0"/>
                <w:numId w:val="7"/>
              </w:numPr>
              <w:rPr>
                <w:color w:val="FF0000"/>
              </w:rPr>
            </w:pPr>
            <w:r>
              <w:rPr>
                <w:rFonts w:ascii="Arial" w:hAnsi="Arial" w:cs="Arial"/>
                <w:color w:val="auto"/>
                <w:sz w:val="22"/>
                <w:szCs w:val="22"/>
              </w:rPr>
              <w:t xml:space="preserve">MHCLG noted that the Spending Review will ultimately set </w:t>
            </w:r>
            <w:r w:rsidR="006D2623">
              <w:rPr>
                <w:rFonts w:ascii="Arial" w:hAnsi="Arial" w:cs="Arial"/>
                <w:color w:val="auto"/>
                <w:sz w:val="22"/>
                <w:szCs w:val="22"/>
              </w:rPr>
              <w:t xml:space="preserve">the </w:t>
            </w:r>
            <w:r>
              <w:rPr>
                <w:rFonts w:ascii="Arial" w:hAnsi="Arial" w:cs="Arial"/>
                <w:color w:val="auto"/>
                <w:sz w:val="22"/>
                <w:szCs w:val="22"/>
              </w:rPr>
              <w:t>totals and that they do want to be more transparent</w:t>
            </w:r>
            <w:r w:rsidR="0069060E">
              <w:rPr>
                <w:rFonts w:ascii="Arial" w:hAnsi="Arial" w:cs="Arial"/>
                <w:color w:val="auto"/>
                <w:sz w:val="22"/>
                <w:szCs w:val="22"/>
              </w:rPr>
              <w:t xml:space="preserve"> and clear</w:t>
            </w:r>
            <w:r>
              <w:rPr>
                <w:rFonts w:ascii="Arial" w:hAnsi="Arial" w:cs="Arial"/>
                <w:color w:val="auto"/>
                <w:sz w:val="22"/>
                <w:szCs w:val="22"/>
              </w:rPr>
              <w:t xml:space="preserve"> on what factors have been taken into account</w:t>
            </w:r>
            <w:r w:rsidR="006D2623">
              <w:rPr>
                <w:rFonts w:ascii="Arial" w:hAnsi="Arial" w:cs="Arial"/>
                <w:color w:val="auto"/>
                <w:sz w:val="22"/>
                <w:szCs w:val="22"/>
              </w:rPr>
              <w:t xml:space="preserve"> in arriving at decisions on notional council tax</w:t>
            </w:r>
            <w:r>
              <w:rPr>
                <w:rFonts w:ascii="Arial" w:hAnsi="Arial" w:cs="Arial"/>
                <w:color w:val="auto"/>
                <w:sz w:val="22"/>
                <w:szCs w:val="22"/>
              </w:rPr>
              <w:t>.</w:t>
            </w:r>
          </w:p>
          <w:p w14:paraId="77ED09D2" w14:textId="77777777" w:rsidR="00DE16A0" w:rsidRPr="00C0740B" w:rsidRDefault="00DE16A0" w:rsidP="00365DEC"/>
        </w:tc>
        <w:tc>
          <w:tcPr>
            <w:tcW w:w="283" w:type="dxa"/>
            <w:tcBorders>
              <w:top w:val="nil"/>
              <w:left w:val="nil"/>
              <w:bottom w:val="nil"/>
              <w:right w:val="nil"/>
            </w:tcBorders>
          </w:tcPr>
          <w:p w14:paraId="5B9EB889" w14:textId="77777777" w:rsidR="00DE16A0" w:rsidRPr="00197550" w:rsidRDefault="00DE16A0" w:rsidP="00365DEC">
            <w:pPr>
              <w:widowControl w:val="0"/>
              <w:jc w:val="right"/>
              <w:rPr>
                <w:b/>
                <w:bCs/>
                <w:szCs w:val="22"/>
              </w:rPr>
            </w:pPr>
          </w:p>
        </w:tc>
      </w:tr>
      <w:tr w:rsidR="00DE16A0" w:rsidRPr="00197550" w14:paraId="05AEC56C" w14:textId="77777777" w:rsidTr="00365DEC">
        <w:trPr>
          <w:gridAfter w:val="1"/>
          <w:wAfter w:w="283" w:type="dxa"/>
        </w:trPr>
        <w:tc>
          <w:tcPr>
            <w:tcW w:w="720" w:type="dxa"/>
            <w:tcBorders>
              <w:top w:val="nil"/>
              <w:left w:val="nil"/>
              <w:bottom w:val="nil"/>
              <w:right w:val="nil"/>
            </w:tcBorders>
          </w:tcPr>
          <w:p w14:paraId="52710CB4" w14:textId="77777777" w:rsidR="00DE16A0" w:rsidRPr="00197550" w:rsidRDefault="00DE16A0" w:rsidP="00365DEC">
            <w:pPr>
              <w:rPr>
                <w:rFonts w:cs="Arial Bold"/>
                <w:b/>
                <w:szCs w:val="22"/>
              </w:rPr>
            </w:pPr>
            <w:r>
              <w:rPr>
                <w:rFonts w:cs="Arial Bold"/>
                <w:b/>
                <w:szCs w:val="22"/>
              </w:rPr>
              <w:lastRenderedPageBreak/>
              <w:t>5</w:t>
            </w:r>
          </w:p>
        </w:tc>
        <w:tc>
          <w:tcPr>
            <w:tcW w:w="8789" w:type="dxa"/>
            <w:tcBorders>
              <w:top w:val="nil"/>
              <w:left w:val="nil"/>
              <w:bottom w:val="nil"/>
              <w:right w:val="nil"/>
            </w:tcBorders>
          </w:tcPr>
          <w:p w14:paraId="560129D5" w14:textId="77777777" w:rsidR="00DE16A0" w:rsidRPr="00DE16A0" w:rsidRDefault="00DE16A0" w:rsidP="00365DEC">
            <w:pPr>
              <w:spacing w:line="360" w:lineRule="auto"/>
              <w:rPr>
                <w:rFonts w:cs="Arial"/>
                <w:b/>
                <w:szCs w:val="22"/>
              </w:rPr>
            </w:pPr>
            <w:r w:rsidRPr="00DE16A0">
              <w:rPr>
                <w:rStyle w:val="s1"/>
                <w:rFonts w:ascii="Arial" w:hAnsi="Arial" w:cs="Arial"/>
                <w:b/>
                <w:sz w:val="22"/>
                <w:szCs w:val="22"/>
              </w:rPr>
              <w:t>Area Cost Adjustment</w:t>
            </w:r>
          </w:p>
        </w:tc>
      </w:tr>
      <w:tr w:rsidR="00DE16A0" w:rsidRPr="00197550" w14:paraId="49B6BE77" w14:textId="77777777" w:rsidTr="00365DEC">
        <w:trPr>
          <w:gridAfter w:val="1"/>
          <w:wAfter w:w="283" w:type="dxa"/>
        </w:trPr>
        <w:tc>
          <w:tcPr>
            <w:tcW w:w="720" w:type="dxa"/>
            <w:tcBorders>
              <w:top w:val="nil"/>
              <w:left w:val="nil"/>
              <w:bottom w:val="nil"/>
              <w:right w:val="nil"/>
            </w:tcBorders>
          </w:tcPr>
          <w:p w14:paraId="1CD86913" w14:textId="77777777" w:rsidR="00DE16A0" w:rsidRPr="00197550" w:rsidRDefault="00DE16A0" w:rsidP="00365DEC">
            <w:pPr>
              <w:rPr>
                <w:b/>
                <w:szCs w:val="22"/>
              </w:rPr>
            </w:pPr>
          </w:p>
        </w:tc>
        <w:tc>
          <w:tcPr>
            <w:tcW w:w="8789" w:type="dxa"/>
            <w:tcBorders>
              <w:top w:val="nil"/>
              <w:left w:val="nil"/>
              <w:bottom w:val="nil"/>
              <w:right w:val="nil"/>
            </w:tcBorders>
          </w:tcPr>
          <w:p w14:paraId="3543B127" w14:textId="77777777" w:rsidR="00DE16A0" w:rsidRPr="00DE16A0" w:rsidRDefault="00DE16A0" w:rsidP="00DE16A0">
            <w:pPr>
              <w:pStyle w:val="p1"/>
              <w:rPr>
                <w:rStyle w:val="s1"/>
                <w:rFonts w:ascii="Arial" w:hAnsi="Arial" w:cs="Arial"/>
                <w:color w:val="auto"/>
                <w:sz w:val="22"/>
                <w:szCs w:val="22"/>
              </w:rPr>
            </w:pPr>
            <w:r w:rsidRPr="00DE16A0">
              <w:rPr>
                <w:rStyle w:val="s1"/>
                <w:rFonts w:ascii="Arial" w:hAnsi="Arial" w:cs="Arial"/>
                <w:color w:val="auto"/>
                <w:sz w:val="22"/>
                <w:szCs w:val="22"/>
              </w:rPr>
              <w:t xml:space="preserve">Stuart Hoggan and Charlotte </w:t>
            </w:r>
            <w:r w:rsidR="00AC40A4" w:rsidRPr="00AC40A4">
              <w:rPr>
                <w:rFonts w:ascii="Arial" w:hAnsi="Arial" w:cs="Arial"/>
                <w:color w:val="000000"/>
                <w:sz w:val="22"/>
                <w:szCs w:val="22"/>
              </w:rPr>
              <w:t>Woodacre</w:t>
            </w:r>
            <w:r w:rsidR="00A914ED">
              <w:rPr>
                <w:rStyle w:val="s1"/>
                <w:rFonts w:ascii="Arial" w:hAnsi="Arial" w:cs="Arial"/>
                <w:color w:val="auto"/>
                <w:sz w:val="22"/>
                <w:szCs w:val="22"/>
              </w:rPr>
              <w:t xml:space="preserve"> (</w:t>
            </w:r>
            <w:r w:rsidRPr="00DE16A0">
              <w:rPr>
                <w:rStyle w:val="s1"/>
                <w:rFonts w:ascii="Arial" w:hAnsi="Arial" w:cs="Arial"/>
                <w:color w:val="auto"/>
                <w:sz w:val="22"/>
                <w:szCs w:val="22"/>
              </w:rPr>
              <w:t>MHCLG</w:t>
            </w:r>
            <w:r w:rsidR="00A914ED">
              <w:rPr>
                <w:rStyle w:val="s1"/>
                <w:rFonts w:ascii="Arial" w:hAnsi="Arial" w:cs="Arial"/>
                <w:color w:val="auto"/>
                <w:sz w:val="22"/>
                <w:szCs w:val="22"/>
              </w:rPr>
              <w:t>)</w:t>
            </w:r>
            <w:r w:rsidRPr="00DE16A0">
              <w:rPr>
                <w:rStyle w:val="s1"/>
                <w:rFonts w:ascii="Arial" w:hAnsi="Arial" w:cs="Arial"/>
                <w:color w:val="auto"/>
                <w:sz w:val="22"/>
                <w:szCs w:val="22"/>
              </w:rPr>
              <w:t xml:space="preserve"> introduced the slides, noting they were trying to distinguish between costs and volumes</w:t>
            </w:r>
            <w:r w:rsidR="006D2623">
              <w:rPr>
                <w:rStyle w:val="s1"/>
                <w:rFonts w:ascii="Arial" w:hAnsi="Arial" w:cs="Arial"/>
                <w:color w:val="auto"/>
                <w:sz w:val="22"/>
                <w:szCs w:val="22"/>
              </w:rPr>
              <w:t xml:space="preserve">, with the formulas </w:t>
            </w:r>
            <w:r w:rsidR="00CD7167">
              <w:rPr>
                <w:rStyle w:val="s1"/>
                <w:rFonts w:ascii="Arial" w:hAnsi="Arial" w:cs="Arial"/>
                <w:color w:val="auto"/>
                <w:sz w:val="22"/>
                <w:szCs w:val="22"/>
              </w:rPr>
              <w:t>taking into account</w:t>
            </w:r>
            <w:r w:rsidR="006D2623">
              <w:rPr>
                <w:rStyle w:val="s1"/>
                <w:rFonts w:ascii="Arial" w:hAnsi="Arial" w:cs="Arial"/>
                <w:color w:val="auto"/>
                <w:sz w:val="22"/>
                <w:szCs w:val="22"/>
              </w:rPr>
              <w:t xml:space="preserve"> volumes and the area cost adjustment (ACA) adjusting for different costs of provision</w:t>
            </w:r>
            <w:r w:rsidRPr="00DE16A0">
              <w:rPr>
                <w:rStyle w:val="s1"/>
                <w:rFonts w:ascii="Arial" w:hAnsi="Arial" w:cs="Arial"/>
                <w:color w:val="auto"/>
                <w:sz w:val="22"/>
                <w:szCs w:val="22"/>
              </w:rPr>
              <w:t xml:space="preserve">. They have been as comprehensive as possible in </w:t>
            </w:r>
            <w:r w:rsidR="006D2623">
              <w:rPr>
                <w:rStyle w:val="s1"/>
                <w:rFonts w:ascii="Arial" w:hAnsi="Arial" w:cs="Arial"/>
                <w:color w:val="auto"/>
                <w:sz w:val="22"/>
                <w:szCs w:val="22"/>
              </w:rPr>
              <w:t>refreshing the ACAs</w:t>
            </w:r>
            <w:r w:rsidRPr="00DE16A0">
              <w:rPr>
                <w:rStyle w:val="s1"/>
                <w:rFonts w:ascii="Arial" w:hAnsi="Arial" w:cs="Arial"/>
                <w:color w:val="auto"/>
                <w:sz w:val="22"/>
                <w:szCs w:val="22"/>
              </w:rPr>
              <w:t>. They have used the best available evidence</w:t>
            </w:r>
            <w:r w:rsidR="00CD7167">
              <w:rPr>
                <w:rStyle w:val="s1"/>
                <w:rFonts w:ascii="Arial" w:hAnsi="Arial" w:cs="Arial"/>
                <w:color w:val="auto"/>
                <w:sz w:val="22"/>
                <w:szCs w:val="22"/>
              </w:rPr>
              <w:t>, taking into account submissions by local authorities,</w:t>
            </w:r>
            <w:r w:rsidRPr="00DE16A0">
              <w:rPr>
                <w:rStyle w:val="s1"/>
                <w:rFonts w:ascii="Arial" w:hAnsi="Arial" w:cs="Arial"/>
                <w:color w:val="auto"/>
                <w:sz w:val="22"/>
                <w:szCs w:val="22"/>
              </w:rPr>
              <w:t xml:space="preserve"> and think the overall approach is much improved, but not perfect. </w:t>
            </w:r>
            <w:r w:rsidR="00CD7167">
              <w:rPr>
                <w:rStyle w:val="s1"/>
                <w:rFonts w:ascii="Arial" w:hAnsi="Arial" w:cs="Arial"/>
                <w:color w:val="auto"/>
                <w:sz w:val="22"/>
                <w:szCs w:val="22"/>
              </w:rPr>
              <w:t>They noted the</w:t>
            </w:r>
            <w:r w:rsidR="00AA0F13">
              <w:rPr>
                <w:rStyle w:val="s1"/>
                <w:rFonts w:ascii="Arial" w:hAnsi="Arial" w:cs="Arial"/>
                <w:color w:val="auto"/>
                <w:sz w:val="22"/>
                <w:szCs w:val="22"/>
              </w:rPr>
              <w:t>y</w:t>
            </w:r>
            <w:r w:rsidR="00CD7167">
              <w:rPr>
                <w:rStyle w:val="s1"/>
                <w:rFonts w:ascii="Arial" w:hAnsi="Arial" w:cs="Arial"/>
                <w:color w:val="auto"/>
                <w:sz w:val="22"/>
                <w:szCs w:val="22"/>
              </w:rPr>
              <w:t xml:space="preserve"> wanted to avoid cliff edges.  </w:t>
            </w:r>
            <w:r w:rsidRPr="00DE16A0">
              <w:rPr>
                <w:rStyle w:val="s1"/>
                <w:rFonts w:ascii="Arial" w:hAnsi="Arial" w:cs="Arial"/>
                <w:color w:val="auto"/>
                <w:sz w:val="22"/>
                <w:szCs w:val="22"/>
              </w:rPr>
              <w:t>MHCLG welcomed comments and suggestions from steering group members.</w:t>
            </w:r>
          </w:p>
          <w:p w14:paraId="00F0084D" w14:textId="77777777" w:rsidR="00DE16A0" w:rsidRDefault="00DE16A0" w:rsidP="00DE16A0">
            <w:pPr>
              <w:pStyle w:val="p1"/>
              <w:rPr>
                <w:rStyle w:val="s1"/>
                <w:rFonts w:cs="Arial"/>
                <w:color w:val="auto"/>
                <w:sz w:val="22"/>
                <w:szCs w:val="22"/>
              </w:rPr>
            </w:pPr>
          </w:p>
          <w:p w14:paraId="137B315D" w14:textId="77777777" w:rsidR="00DE16A0" w:rsidRDefault="00DE16A0" w:rsidP="00365DEC">
            <w:pPr>
              <w:widowControl w:val="0"/>
              <w:spacing w:after="240"/>
              <w:rPr>
                <w:szCs w:val="22"/>
              </w:rPr>
            </w:pPr>
            <w:r>
              <w:rPr>
                <w:szCs w:val="22"/>
              </w:rPr>
              <w:t xml:space="preserve">Members of the steering group provided the following comments: </w:t>
            </w:r>
          </w:p>
          <w:p w14:paraId="782189E2" w14:textId="77777777" w:rsidR="00577AEB" w:rsidRDefault="00DE16A0" w:rsidP="00592451">
            <w:pPr>
              <w:pStyle w:val="p2"/>
              <w:numPr>
                <w:ilvl w:val="0"/>
                <w:numId w:val="7"/>
              </w:numPr>
              <w:rPr>
                <w:rFonts w:ascii="Arial" w:hAnsi="Arial" w:cs="Arial"/>
                <w:color w:val="auto"/>
                <w:sz w:val="22"/>
                <w:szCs w:val="22"/>
              </w:rPr>
            </w:pPr>
            <w:r>
              <w:rPr>
                <w:rFonts w:ascii="Arial" w:hAnsi="Arial" w:cs="Arial"/>
                <w:color w:val="auto"/>
                <w:sz w:val="22"/>
                <w:szCs w:val="22"/>
              </w:rPr>
              <w:t xml:space="preserve">Gary Fielding (CCN) noted it may be useful to </w:t>
            </w:r>
            <w:r w:rsidR="003935F2">
              <w:rPr>
                <w:rFonts w:ascii="Arial" w:hAnsi="Arial" w:cs="Arial"/>
                <w:color w:val="auto"/>
                <w:sz w:val="22"/>
                <w:szCs w:val="22"/>
              </w:rPr>
              <w:t>provide an example of how the ACA would be derived for a particular service</w:t>
            </w:r>
            <w:r w:rsidR="00577AEB">
              <w:rPr>
                <w:rFonts w:ascii="Arial" w:hAnsi="Arial" w:cs="Arial"/>
                <w:color w:val="auto"/>
                <w:sz w:val="22"/>
                <w:szCs w:val="22"/>
              </w:rPr>
              <w:t xml:space="preserve"> including outsource</w:t>
            </w:r>
            <w:r w:rsidR="007A0D71">
              <w:rPr>
                <w:rFonts w:ascii="Arial" w:hAnsi="Arial" w:cs="Arial"/>
                <w:color w:val="auto"/>
                <w:sz w:val="22"/>
                <w:szCs w:val="22"/>
              </w:rPr>
              <w:t>d</w:t>
            </w:r>
            <w:r w:rsidR="00577AEB">
              <w:rPr>
                <w:rFonts w:ascii="Arial" w:hAnsi="Arial" w:cs="Arial"/>
                <w:color w:val="auto"/>
                <w:sz w:val="22"/>
                <w:szCs w:val="22"/>
              </w:rPr>
              <w:t xml:space="preserve"> services</w:t>
            </w:r>
            <w:r>
              <w:rPr>
                <w:rFonts w:ascii="Arial" w:hAnsi="Arial" w:cs="Arial"/>
                <w:color w:val="auto"/>
                <w:sz w:val="22"/>
                <w:szCs w:val="22"/>
              </w:rPr>
              <w:t xml:space="preserve">. </w:t>
            </w:r>
            <w:r w:rsidR="00577AEB">
              <w:rPr>
                <w:rFonts w:ascii="Arial" w:hAnsi="Arial" w:cs="Arial"/>
                <w:color w:val="auto"/>
                <w:sz w:val="22"/>
                <w:szCs w:val="22"/>
              </w:rPr>
              <w:t>MHCLG replied that SAR data would be used to help weight labour costs and rates costs</w:t>
            </w:r>
            <w:r>
              <w:rPr>
                <w:rFonts w:ascii="Arial" w:hAnsi="Arial" w:cs="Arial"/>
                <w:color w:val="auto"/>
                <w:sz w:val="22"/>
                <w:szCs w:val="22"/>
              </w:rPr>
              <w:t>.</w:t>
            </w:r>
          </w:p>
          <w:p w14:paraId="39B3AB49" w14:textId="77777777" w:rsidR="00577AEB" w:rsidRDefault="00577AEB" w:rsidP="00592451">
            <w:pPr>
              <w:pStyle w:val="p2"/>
              <w:numPr>
                <w:ilvl w:val="0"/>
                <w:numId w:val="7"/>
              </w:numPr>
              <w:rPr>
                <w:rFonts w:ascii="Arial" w:hAnsi="Arial" w:cs="Arial"/>
                <w:color w:val="auto"/>
                <w:sz w:val="22"/>
                <w:szCs w:val="22"/>
              </w:rPr>
            </w:pPr>
            <w:r>
              <w:rPr>
                <w:rFonts w:ascii="Arial" w:hAnsi="Arial" w:cs="Arial"/>
                <w:color w:val="auto"/>
                <w:sz w:val="22"/>
                <w:szCs w:val="22"/>
              </w:rPr>
              <w:t>Tony Kirkham (</w:t>
            </w:r>
            <w:r w:rsidR="00BA74E2">
              <w:rPr>
                <w:rFonts w:ascii="Arial" w:hAnsi="Arial" w:cs="Arial"/>
                <w:color w:val="auto"/>
                <w:sz w:val="22"/>
                <w:szCs w:val="22"/>
              </w:rPr>
              <w:t>Solace</w:t>
            </w:r>
            <w:r>
              <w:rPr>
                <w:rFonts w:ascii="Arial" w:hAnsi="Arial" w:cs="Arial"/>
                <w:color w:val="auto"/>
                <w:sz w:val="22"/>
                <w:szCs w:val="22"/>
              </w:rPr>
              <w:t xml:space="preserve">) asked how profit is removed from outsourced services for ACA </w:t>
            </w:r>
            <w:r w:rsidR="00A47503">
              <w:rPr>
                <w:rFonts w:ascii="Arial" w:hAnsi="Arial" w:cs="Arial"/>
                <w:color w:val="auto"/>
                <w:sz w:val="22"/>
                <w:szCs w:val="22"/>
              </w:rPr>
              <w:t>purposes</w:t>
            </w:r>
            <w:r>
              <w:rPr>
                <w:rFonts w:ascii="Arial" w:hAnsi="Arial" w:cs="Arial"/>
                <w:color w:val="auto"/>
                <w:sz w:val="22"/>
                <w:szCs w:val="22"/>
              </w:rPr>
              <w:t>.  MHCLG responded that not all costs were included.</w:t>
            </w:r>
          </w:p>
          <w:p w14:paraId="3CBEDB46" w14:textId="77777777" w:rsidR="00A47503" w:rsidRPr="00A47503" w:rsidRDefault="00A47503" w:rsidP="00A47503">
            <w:pPr>
              <w:pStyle w:val="p2"/>
              <w:numPr>
                <w:ilvl w:val="0"/>
                <w:numId w:val="7"/>
              </w:numPr>
              <w:rPr>
                <w:rFonts w:ascii="Arial" w:hAnsi="Arial" w:cs="Arial"/>
                <w:color w:val="auto"/>
                <w:sz w:val="22"/>
                <w:szCs w:val="22"/>
              </w:rPr>
            </w:pPr>
            <w:r>
              <w:rPr>
                <w:rFonts w:ascii="Arial" w:hAnsi="Arial" w:cs="Arial"/>
                <w:color w:val="auto"/>
                <w:sz w:val="22"/>
                <w:szCs w:val="22"/>
              </w:rPr>
              <w:t xml:space="preserve">Guy Ware (London Councils) questioned how significant remoteness is. MHCLG said that LG Futures research had found mixed evidence, with more remote areas seeing increased costs for some services and reduced costs for others. </w:t>
            </w:r>
            <w:r>
              <w:rPr>
                <w:rFonts w:ascii="Arial" w:hAnsi="Arial" w:cs="Arial"/>
                <w:color w:val="auto"/>
                <w:sz w:val="22"/>
                <w:szCs w:val="22"/>
              </w:rPr>
              <w:lastRenderedPageBreak/>
              <w:t xml:space="preserve">MHCLG </w:t>
            </w:r>
            <w:r w:rsidRPr="00D9298D">
              <w:rPr>
                <w:rFonts w:ascii="Arial" w:hAnsi="Arial" w:cs="Arial"/>
                <w:color w:val="auto"/>
                <w:sz w:val="22"/>
                <w:szCs w:val="22"/>
              </w:rPr>
              <w:t>accepted there was a need for</w:t>
            </w:r>
            <w:r>
              <w:rPr>
                <w:rFonts w:ascii="Arial" w:hAnsi="Arial" w:cs="Arial"/>
                <w:color w:val="auto"/>
                <w:sz w:val="22"/>
                <w:szCs w:val="22"/>
              </w:rPr>
              <w:t xml:space="preserve"> further </w:t>
            </w:r>
            <w:r w:rsidRPr="00D9298D">
              <w:rPr>
                <w:rFonts w:ascii="Arial" w:hAnsi="Arial" w:cs="Arial"/>
                <w:color w:val="auto"/>
                <w:sz w:val="22"/>
                <w:szCs w:val="22"/>
              </w:rPr>
              <w:t>testing of the data with the sector.</w:t>
            </w:r>
            <w:r>
              <w:rPr>
                <w:rFonts w:ascii="Arial" w:hAnsi="Arial" w:cs="Arial"/>
                <w:color w:val="auto"/>
                <w:sz w:val="22"/>
                <w:szCs w:val="22"/>
              </w:rPr>
              <w:t xml:space="preserve">  Guy also asked if MHCLG could do a full survey rather than </w:t>
            </w:r>
            <w:r w:rsidR="00BA74E2">
              <w:rPr>
                <w:rFonts w:ascii="Arial" w:hAnsi="Arial" w:cs="Arial"/>
                <w:color w:val="auto"/>
                <w:sz w:val="22"/>
                <w:szCs w:val="22"/>
              </w:rPr>
              <w:t>u</w:t>
            </w:r>
            <w:r>
              <w:rPr>
                <w:rFonts w:ascii="Arial" w:hAnsi="Arial" w:cs="Arial"/>
                <w:color w:val="auto"/>
                <w:sz w:val="22"/>
                <w:szCs w:val="22"/>
              </w:rPr>
              <w:t>se SAR data which is based on a sample.</w:t>
            </w:r>
          </w:p>
          <w:p w14:paraId="00EED869" w14:textId="77777777" w:rsidR="00DE16A0" w:rsidRDefault="00DE16A0" w:rsidP="00577AEB">
            <w:pPr>
              <w:pStyle w:val="p2"/>
              <w:numPr>
                <w:ilvl w:val="0"/>
                <w:numId w:val="7"/>
              </w:numPr>
              <w:rPr>
                <w:rFonts w:ascii="Arial" w:hAnsi="Arial" w:cs="Arial"/>
                <w:color w:val="auto"/>
                <w:sz w:val="22"/>
                <w:szCs w:val="22"/>
              </w:rPr>
            </w:pPr>
            <w:r>
              <w:rPr>
                <w:rFonts w:ascii="Arial" w:hAnsi="Arial" w:cs="Arial"/>
                <w:color w:val="auto"/>
                <w:sz w:val="22"/>
                <w:szCs w:val="22"/>
              </w:rPr>
              <w:t>MHCLG confirmed that the</w:t>
            </w:r>
            <w:r w:rsidR="00A47503">
              <w:rPr>
                <w:rFonts w:ascii="Arial" w:hAnsi="Arial" w:cs="Arial"/>
                <w:color w:val="auto"/>
                <w:sz w:val="22"/>
                <w:szCs w:val="22"/>
              </w:rPr>
              <w:t xml:space="preserve">re would be no </w:t>
            </w:r>
            <w:r>
              <w:rPr>
                <w:rFonts w:ascii="Arial" w:hAnsi="Arial" w:cs="Arial"/>
                <w:color w:val="auto"/>
                <w:sz w:val="22"/>
                <w:szCs w:val="22"/>
              </w:rPr>
              <w:t xml:space="preserve">lower limit </w:t>
            </w:r>
            <w:r w:rsidR="00A47503">
              <w:rPr>
                <w:rFonts w:ascii="Arial" w:hAnsi="Arial" w:cs="Arial"/>
                <w:color w:val="auto"/>
                <w:sz w:val="22"/>
                <w:szCs w:val="22"/>
              </w:rPr>
              <w:t>(set at</w:t>
            </w:r>
            <w:r w:rsidR="006D2623">
              <w:rPr>
                <w:rFonts w:ascii="Arial" w:hAnsi="Arial" w:cs="Arial"/>
                <w:color w:val="auto"/>
                <w:sz w:val="22"/>
                <w:szCs w:val="22"/>
              </w:rPr>
              <w:t xml:space="preserve"> 1 </w:t>
            </w:r>
            <w:r w:rsidR="00A47503">
              <w:rPr>
                <w:rFonts w:ascii="Arial" w:hAnsi="Arial" w:cs="Arial"/>
                <w:color w:val="auto"/>
                <w:sz w:val="22"/>
                <w:szCs w:val="22"/>
              </w:rPr>
              <w:t xml:space="preserve">in current ACAs) </w:t>
            </w:r>
            <w:r>
              <w:rPr>
                <w:rFonts w:ascii="Arial" w:hAnsi="Arial" w:cs="Arial"/>
                <w:color w:val="auto"/>
                <w:sz w:val="22"/>
                <w:szCs w:val="22"/>
              </w:rPr>
              <w:t>under the proposals.</w:t>
            </w:r>
          </w:p>
          <w:p w14:paraId="65F0EEA9" w14:textId="77777777" w:rsidR="00A47503" w:rsidRDefault="00A47503" w:rsidP="00577AEB">
            <w:pPr>
              <w:pStyle w:val="p2"/>
              <w:numPr>
                <w:ilvl w:val="0"/>
                <w:numId w:val="7"/>
              </w:numPr>
              <w:rPr>
                <w:rFonts w:ascii="Arial" w:hAnsi="Arial" w:cs="Arial"/>
                <w:color w:val="auto"/>
                <w:sz w:val="22"/>
                <w:szCs w:val="22"/>
              </w:rPr>
            </w:pPr>
            <w:r>
              <w:rPr>
                <w:rFonts w:ascii="Arial" w:hAnsi="Arial" w:cs="Arial"/>
                <w:color w:val="auto"/>
                <w:sz w:val="22"/>
                <w:szCs w:val="22"/>
              </w:rPr>
              <w:t>T</w:t>
            </w:r>
            <w:r w:rsidR="00BA74E2">
              <w:rPr>
                <w:rFonts w:ascii="Arial" w:hAnsi="Arial" w:cs="Arial"/>
                <w:color w:val="auto"/>
                <w:sz w:val="22"/>
                <w:szCs w:val="22"/>
              </w:rPr>
              <w:t xml:space="preserve">here was a discussion over </w:t>
            </w:r>
            <w:r>
              <w:rPr>
                <w:rFonts w:ascii="Arial" w:hAnsi="Arial" w:cs="Arial"/>
                <w:color w:val="auto"/>
                <w:sz w:val="22"/>
                <w:szCs w:val="22"/>
              </w:rPr>
              <w:t>national versus local markets determining costs.</w:t>
            </w:r>
          </w:p>
          <w:p w14:paraId="6700C447" w14:textId="77777777" w:rsidR="00704C22" w:rsidRDefault="00704C22" w:rsidP="00592451">
            <w:pPr>
              <w:pStyle w:val="p2"/>
              <w:numPr>
                <w:ilvl w:val="0"/>
                <w:numId w:val="7"/>
              </w:numPr>
              <w:rPr>
                <w:rFonts w:ascii="Arial" w:hAnsi="Arial" w:cs="Arial"/>
                <w:color w:val="auto"/>
                <w:sz w:val="22"/>
                <w:szCs w:val="22"/>
              </w:rPr>
            </w:pPr>
            <w:r>
              <w:rPr>
                <w:rFonts w:ascii="Arial" w:hAnsi="Arial" w:cs="Arial"/>
                <w:color w:val="auto"/>
                <w:sz w:val="22"/>
                <w:szCs w:val="22"/>
              </w:rPr>
              <w:t xml:space="preserve">Sarah Pickup (LGA) highlighted </w:t>
            </w:r>
            <w:r w:rsidR="004F59A9">
              <w:rPr>
                <w:rFonts w:ascii="Arial" w:hAnsi="Arial" w:cs="Arial"/>
                <w:color w:val="auto"/>
                <w:sz w:val="22"/>
                <w:szCs w:val="22"/>
              </w:rPr>
              <w:t xml:space="preserve">Slide 5 of the presentation regarding additional costs </w:t>
            </w:r>
            <w:r w:rsidR="006D2623">
              <w:rPr>
                <w:rFonts w:ascii="Arial" w:hAnsi="Arial" w:cs="Arial"/>
                <w:color w:val="auto"/>
                <w:sz w:val="22"/>
                <w:szCs w:val="22"/>
              </w:rPr>
              <w:t xml:space="preserve">due to journey times </w:t>
            </w:r>
            <w:r w:rsidR="004F59A9">
              <w:rPr>
                <w:rFonts w:ascii="Arial" w:hAnsi="Arial" w:cs="Arial"/>
                <w:color w:val="auto"/>
                <w:sz w:val="22"/>
                <w:szCs w:val="22"/>
              </w:rPr>
              <w:t>and sought clarification</w:t>
            </w:r>
            <w:r w:rsidR="00FE4E59">
              <w:rPr>
                <w:rFonts w:ascii="Arial" w:hAnsi="Arial" w:cs="Arial"/>
                <w:color w:val="auto"/>
                <w:sz w:val="22"/>
                <w:szCs w:val="22"/>
              </w:rPr>
              <w:t xml:space="preserve"> on</w:t>
            </w:r>
            <w:r w:rsidR="004F59A9">
              <w:rPr>
                <w:rFonts w:ascii="Arial" w:hAnsi="Arial" w:cs="Arial"/>
                <w:color w:val="auto"/>
                <w:sz w:val="22"/>
                <w:szCs w:val="22"/>
              </w:rPr>
              <w:t xml:space="preserve"> if it </w:t>
            </w:r>
            <w:r w:rsidR="00FE4E59">
              <w:rPr>
                <w:rFonts w:ascii="Arial" w:hAnsi="Arial" w:cs="Arial"/>
                <w:color w:val="auto"/>
                <w:sz w:val="22"/>
                <w:szCs w:val="22"/>
              </w:rPr>
              <w:t>related to</w:t>
            </w:r>
            <w:r w:rsidR="004F59A9">
              <w:rPr>
                <w:rFonts w:ascii="Arial" w:hAnsi="Arial" w:cs="Arial"/>
                <w:color w:val="auto"/>
                <w:sz w:val="22"/>
                <w:szCs w:val="22"/>
              </w:rPr>
              <w:t xml:space="preserve"> ‘time’ or ‘distance’. MHCLG confirmed it was time.</w:t>
            </w:r>
            <w:r w:rsidR="00592451">
              <w:rPr>
                <w:rFonts w:ascii="Arial" w:hAnsi="Arial" w:cs="Arial"/>
                <w:color w:val="auto"/>
                <w:sz w:val="22"/>
                <w:szCs w:val="22"/>
              </w:rPr>
              <w:t xml:space="preserve"> </w:t>
            </w:r>
            <w:r w:rsidR="004166D1">
              <w:rPr>
                <w:rFonts w:ascii="Arial" w:hAnsi="Arial" w:cs="Arial"/>
                <w:color w:val="auto"/>
                <w:sz w:val="22"/>
                <w:szCs w:val="22"/>
              </w:rPr>
              <w:t>Guy Ware (London Councils) noted the importance of steering group memb</w:t>
            </w:r>
            <w:r w:rsidR="004166D1" w:rsidRPr="004166D1">
              <w:rPr>
                <w:rFonts w:ascii="Arial" w:hAnsi="Arial" w:cs="Arial"/>
                <w:color w:val="auto"/>
                <w:sz w:val="22"/>
                <w:szCs w:val="22"/>
              </w:rPr>
              <w:t>ers knowing the impact of the measures that have been chosen.</w:t>
            </w:r>
          </w:p>
          <w:p w14:paraId="2376B8E7" w14:textId="77777777" w:rsidR="00DE16A0" w:rsidRPr="00D90BD4" w:rsidRDefault="00A47503" w:rsidP="00365DEC">
            <w:pPr>
              <w:numPr>
                <w:ilvl w:val="0"/>
                <w:numId w:val="7"/>
              </w:numPr>
              <w:rPr>
                <w:rFonts w:ascii=".SFUIText" w:hAnsi=".SFUIText" w:cs="Arial"/>
                <w:szCs w:val="22"/>
              </w:rPr>
            </w:pPr>
            <w:r>
              <w:t xml:space="preserve">Nicola Morton (LGA) asked for more information on how the ACA would be calculated and what evidence it will be based on.  </w:t>
            </w:r>
            <w:r w:rsidR="00D9298D">
              <w:t xml:space="preserve">Members agreed </w:t>
            </w:r>
            <w:r>
              <w:t>with the need for further informat</w:t>
            </w:r>
            <w:r w:rsidR="00BA74E2">
              <w:t>ion including draft factors. I</w:t>
            </w:r>
            <w:r>
              <w:t>t was recognised that this should go through the Technical Working Group</w:t>
            </w:r>
            <w:r w:rsidR="00E718C7">
              <w:t xml:space="preserve"> before coming to the Steering Group</w:t>
            </w:r>
            <w:r w:rsidR="00D9298D">
              <w:t xml:space="preserve"> </w:t>
            </w:r>
            <w:r w:rsidR="004166D1">
              <w:t xml:space="preserve">MHCLG </w:t>
            </w:r>
            <w:r w:rsidR="00E718C7">
              <w:t>agreed with the needs for further information</w:t>
            </w:r>
            <w:r w:rsidR="00D9298D">
              <w:t>.</w:t>
            </w:r>
            <w:r w:rsidR="004F59A9">
              <w:t xml:space="preserve"> </w:t>
            </w:r>
          </w:p>
          <w:p w14:paraId="1CA038FB" w14:textId="77777777" w:rsidR="00DE16A0" w:rsidRPr="002F03C6" w:rsidRDefault="00DE16A0" w:rsidP="00365DEC">
            <w:pPr>
              <w:rPr>
                <w:szCs w:val="22"/>
              </w:rPr>
            </w:pPr>
          </w:p>
        </w:tc>
      </w:tr>
      <w:tr w:rsidR="00DE16A0" w:rsidRPr="00197550" w14:paraId="298CB9E9" w14:textId="77777777" w:rsidTr="00365DEC">
        <w:trPr>
          <w:gridAfter w:val="1"/>
          <w:wAfter w:w="283" w:type="dxa"/>
        </w:trPr>
        <w:tc>
          <w:tcPr>
            <w:tcW w:w="720" w:type="dxa"/>
            <w:tcBorders>
              <w:top w:val="nil"/>
              <w:left w:val="nil"/>
              <w:bottom w:val="nil"/>
              <w:right w:val="nil"/>
            </w:tcBorders>
          </w:tcPr>
          <w:p w14:paraId="02B5A770" w14:textId="77777777" w:rsidR="00DE16A0" w:rsidRDefault="00DE16A0" w:rsidP="00365DEC">
            <w:pPr>
              <w:rPr>
                <w:b/>
                <w:szCs w:val="22"/>
              </w:rPr>
            </w:pPr>
            <w:r>
              <w:rPr>
                <w:b/>
                <w:szCs w:val="22"/>
              </w:rPr>
              <w:lastRenderedPageBreak/>
              <w:t>6</w:t>
            </w:r>
          </w:p>
        </w:tc>
        <w:tc>
          <w:tcPr>
            <w:tcW w:w="8789" w:type="dxa"/>
            <w:tcBorders>
              <w:top w:val="nil"/>
              <w:left w:val="nil"/>
              <w:bottom w:val="nil"/>
              <w:right w:val="nil"/>
            </w:tcBorders>
          </w:tcPr>
          <w:p w14:paraId="0DE51CC0" w14:textId="77777777" w:rsidR="00DE16A0" w:rsidRPr="00DE16A0" w:rsidRDefault="00DE16A0" w:rsidP="00365DEC">
            <w:pPr>
              <w:rPr>
                <w:rFonts w:cs="Arial"/>
                <w:b/>
                <w:szCs w:val="22"/>
              </w:rPr>
            </w:pPr>
            <w:r w:rsidRPr="00DE16A0">
              <w:rPr>
                <w:rStyle w:val="s1"/>
                <w:rFonts w:ascii="Arial" w:hAnsi="Arial" w:cs="Arial"/>
                <w:b/>
                <w:sz w:val="22"/>
                <w:szCs w:val="22"/>
              </w:rPr>
              <w:t>RRNR – Summary of Consultation Responses</w:t>
            </w:r>
          </w:p>
        </w:tc>
      </w:tr>
      <w:tr w:rsidR="00DE16A0" w:rsidRPr="00197550" w14:paraId="0429E885" w14:textId="77777777" w:rsidTr="00365DEC">
        <w:trPr>
          <w:gridAfter w:val="1"/>
          <w:wAfter w:w="283" w:type="dxa"/>
        </w:trPr>
        <w:tc>
          <w:tcPr>
            <w:tcW w:w="720" w:type="dxa"/>
            <w:tcBorders>
              <w:top w:val="nil"/>
              <w:left w:val="nil"/>
              <w:bottom w:val="nil"/>
              <w:right w:val="nil"/>
            </w:tcBorders>
          </w:tcPr>
          <w:p w14:paraId="16C4E70E" w14:textId="77777777" w:rsidR="00DE16A0" w:rsidRDefault="00DE16A0" w:rsidP="00365DEC">
            <w:pPr>
              <w:rPr>
                <w:b/>
                <w:szCs w:val="22"/>
              </w:rPr>
            </w:pPr>
          </w:p>
        </w:tc>
        <w:tc>
          <w:tcPr>
            <w:tcW w:w="8789" w:type="dxa"/>
            <w:tcBorders>
              <w:top w:val="nil"/>
              <w:left w:val="nil"/>
              <w:bottom w:val="nil"/>
              <w:right w:val="nil"/>
            </w:tcBorders>
          </w:tcPr>
          <w:p w14:paraId="1AE0BB89" w14:textId="77777777" w:rsidR="00DE16A0" w:rsidRDefault="00DE16A0" w:rsidP="00365DEC">
            <w:pPr>
              <w:rPr>
                <w:b/>
                <w:szCs w:val="22"/>
              </w:rPr>
            </w:pPr>
          </w:p>
          <w:p w14:paraId="3A873A21" w14:textId="77777777" w:rsidR="00DE16A0" w:rsidRPr="00365DEC" w:rsidRDefault="00365DEC" w:rsidP="00365DEC">
            <w:pPr>
              <w:rPr>
                <w:szCs w:val="22"/>
              </w:rPr>
            </w:pPr>
            <w:r>
              <w:rPr>
                <w:szCs w:val="22"/>
              </w:rPr>
              <w:t>Emily Gascoigne</w:t>
            </w:r>
            <w:r w:rsidR="00A914ED">
              <w:rPr>
                <w:szCs w:val="22"/>
              </w:rPr>
              <w:t xml:space="preserve"> (</w:t>
            </w:r>
            <w:r>
              <w:rPr>
                <w:szCs w:val="22"/>
              </w:rPr>
              <w:t>MHCLG</w:t>
            </w:r>
            <w:r w:rsidR="00A914ED">
              <w:rPr>
                <w:szCs w:val="22"/>
              </w:rPr>
              <w:t xml:space="preserve">) </w:t>
            </w:r>
            <w:r>
              <w:rPr>
                <w:szCs w:val="22"/>
              </w:rPr>
              <w:t>introduced the paper, noting the large number of responses received. She welcomed feedback on the summary outlined in the paper</w:t>
            </w:r>
            <w:r w:rsidR="0018306B">
              <w:rPr>
                <w:szCs w:val="22"/>
              </w:rPr>
              <w:t xml:space="preserve">, </w:t>
            </w:r>
            <w:r w:rsidR="008B7B79">
              <w:rPr>
                <w:szCs w:val="22"/>
              </w:rPr>
              <w:t>which</w:t>
            </w:r>
            <w:r w:rsidR="0018306B">
              <w:rPr>
                <w:szCs w:val="22"/>
              </w:rPr>
              <w:t xml:space="preserve"> focussed on responses from representative bodies</w:t>
            </w:r>
            <w:r>
              <w:rPr>
                <w:szCs w:val="22"/>
              </w:rPr>
              <w:t>.</w:t>
            </w:r>
          </w:p>
          <w:p w14:paraId="70CDE924" w14:textId="77777777" w:rsidR="00DE16A0" w:rsidRDefault="00DE16A0" w:rsidP="00365DEC">
            <w:pPr>
              <w:rPr>
                <w:b/>
                <w:szCs w:val="22"/>
              </w:rPr>
            </w:pPr>
          </w:p>
          <w:p w14:paraId="2675EC29" w14:textId="77777777" w:rsidR="00DE16A0" w:rsidRDefault="00DE16A0" w:rsidP="00365DEC">
            <w:pPr>
              <w:widowControl w:val="0"/>
              <w:spacing w:after="240"/>
              <w:rPr>
                <w:szCs w:val="22"/>
              </w:rPr>
            </w:pPr>
            <w:r>
              <w:rPr>
                <w:szCs w:val="22"/>
              </w:rPr>
              <w:t xml:space="preserve">Members of the steering group provided the following comments: </w:t>
            </w:r>
          </w:p>
          <w:p w14:paraId="14F1B1E5" w14:textId="77777777" w:rsidR="00DE16A0" w:rsidRDefault="00365DEC" w:rsidP="00365DEC">
            <w:pPr>
              <w:pStyle w:val="ListParagraph"/>
              <w:numPr>
                <w:ilvl w:val="0"/>
                <w:numId w:val="7"/>
              </w:numPr>
              <w:rPr>
                <w:szCs w:val="22"/>
              </w:rPr>
            </w:pPr>
            <w:r w:rsidRPr="00365DEC">
              <w:rPr>
                <w:szCs w:val="22"/>
              </w:rPr>
              <w:t xml:space="preserve">Richard </w:t>
            </w:r>
            <w:r>
              <w:rPr>
                <w:szCs w:val="22"/>
              </w:rPr>
              <w:t xml:space="preserve">Paver (Greater Manchester Combined Authority) noted a lack of recognition of Combined Authorities </w:t>
            </w:r>
            <w:r w:rsidR="0018306B">
              <w:rPr>
                <w:szCs w:val="22"/>
              </w:rPr>
              <w:t>in t</w:t>
            </w:r>
            <w:r w:rsidR="006D2623">
              <w:rPr>
                <w:szCs w:val="22"/>
              </w:rPr>
              <w:t xml:space="preserve">he summary </w:t>
            </w:r>
            <w:r>
              <w:rPr>
                <w:szCs w:val="22"/>
              </w:rPr>
              <w:t>and the need to look into their sustainable funding going forward. MHCLG noted they did have individual response</w:t>
            </w:r>
            <w:r w:rsidR="006D2623">
              <w:rPr>
                <w:szCs w:val="22"/>
              </w:rPr>
              <w:t>s</w:t>
            </w:r>
            <w:r>
              <w:rPr>
                <w:szCs w:val="22"/>
              </w:rPr>
              <w:t xml:space="preserve"> from Mayoral Combined Authorities and would consider</w:t>
            </w:r>
            <w:r w:rsidR="00BA74E2">
              <w:rPr>
                <w:szCs w:val="22"/>
              </w:rPr>
              <w:t xml:space="preserve"> the issue</w:t>
            </w:r>
            <w:r>
              <w:rPr>
                <w:szCs w:val="22"/>
              </w:rPr>
              <w:t>.</w:t>
            </w:r>
          </w:p>
          <w:p w14:paraId="17425F3B" w14:textId="77777777" w:rsidR="003828D8" w:rsidRPr="003828D8" w:rsidRDefault="00365DEC" w:rsidP="003828D8">
            <w:pPr>
              <w:pStyle w:val="ListParagraph"/>
              <w:numPr>
                <w:ilvl w:val="0"/>
                <w:numId w:val="7"/>
              </w:numPr>
              <w:rPr>
                <w:rFonts w:cs="Arial"/>
                <w:szCs w:val="22"/>
              </w:rPr>
            </w:pPr>
            <w:r w:rsidRPr="003828D8">
              <w:rPr>
                <w:rFonts w:cs="Arial"/>
                <w:szCs w:val="22"/>
              </w:rPr>
              <w:t xml:space="preserve">Sarah Pickup (LGA) highlighted </w:t>
            </w:r>
            <w:r w:rsidR="003828D8" w:rsidRPr="003828D8">
              <w:rPr>
                <w:rFonts w:cs="Arial"/>
                <w:szCs w:val="22"/>
              </w:rPr>
              <w:t xml:space="preserve">summary </w:t>
            </w:r>
            <w:r w:rsidR="003828D8" w:rsidRPr="003828D8">
              <w:rPr>
                <w:rStyle w:val="s1"/>
                <w:rFonts w:ascii="Arial" w:hAnsi="Arial" w:cs="Arial"/>
                <w:sz w:val="22"/>
                <w:szCs w:val="22"/>
              </w:rPr>
              <w:t>point 7 in the paper, regarding widespread calls for the publication of more data, analysis and exemplification, and noted that this was an important point in every one of the areas as it was necessary to see how things are derived</w:t>
            </w:r>
            <w:r w:rsidR="0018306B">
              <w:rPr>
                <w:rStyle w:val="s1"/>
                <w:rFonts w:ascii="Arial" w:hAnsi="Arial" w:cs="Arial"/>
                <w:sz w:val="22"/>
                <w:szCs w:val="22"/>
              </w:rPr>
              <w:t xml:space="preserve"> and the impact of decisions as soon as possible to allow better financial planning</w:t>
            </w:r>
            <w:r w:rsidR="003828D8" w:rsidRPr="003828D8">
              <w:rPr>
                <w:rStyle w:val="s1"/>
                <w:rFonts w:ascii="Arial" w:hAnsi="Arial" w:cs="Arial"/>
                <w:sz w:val="22"/>
                <w:szCs w:val="22"/>
              </w:rPr>
              <w:t xml:space="preserve">. </w:t>
            </w:r>
          </w:p>
          <w:p w14:paraId="684C2762" w14:textId="77777777" w:rsidR="00453B4E" w:rsidRPr="00453B4E" w:rsidRDefault="00453B4E" w:rsidP="00365DEC">
            <w:pPr>
              <w:pStyle w:val="ListParagraph"/>
              <w:numPr>
                <w:ilvl w:val="0"/>
                <w:numId w:val="7"/>
              </w:numPr>
              <w:rPr>
                <w:szCs w:val="22"/>
              </w:rPr>
            </w:pPr>
            <w:r>
              <w:rPr>
                <w:szCs w:val="22"/>
              </w:rPr>
              <w:t>Guy Ware (London Councils) noted his surprise at the collection rates point</w:t>
            </w:r>
            <w:r w:rsidR="003828D8">
              <w:rPr>
                <w:szCs w:val="22"/>
              </w:rPr>
              <w:t xml:space="preserve"> and the idea of doing a level of statistical analysis giving a notional collection rate for every authority in the country. He expressed</w:t>
            </w:r>
            <w:r>
              <w:rPr>
                <w:szCs w:val="22"/>
              </w:rPr>
              <w:t xml:space="preserve"> concern about every Treasurer in the country being held to account to explain why they are not reaching a theoretical level. </w:t>
            </w:r>
          </w:p>
          <w:p w14:paraId="4C8FC958" w14:textId="77777777" w:rsidR="008C6700" w:rsidRDefault="003828D8" w:rsidP="00365DEC">
            <w:pPr>
              <w:pStyle w:val="ListParagraph"/>
              <w:numPr>
                <w:ilvl w:val="0"/>
                <w:numId w:val="7"/>
              </w:numPr>
              <w:rPr>
                <w:szCs w:val="22"/>
              </w:rPr>
            </w:pPr>
            <w:r>
              <w:rPr>
                <w:szCs w:val="22"/>
              </w:rPr>
              <w:t>Members noted that some form of small adjustment</w:t>
            </w:r>
            <w:r w:rsidR="0020541C">
              <w:rPr>
                <w:szCs w:val="22"/>
              </w:rPr>
              <w:t xml:space="preserve"> for collection rates</w:t>
            </w:r>
            <w:r>
              <w:rPr>
                <w:szCs w:val="22"/>
              </w:rPr>
              <w:t xml:space="preserve"> would be helpful</w:t>
            </w:r>
            <w:r w:rsidRPr="0082516B">
              <w:rPr>
                <w:szCs w:val="22"/>
              </w:rPr>
              <w:t>, but without a full</w:t>
            </w:r>
            <w:r w:rsidR="009C7DF6">
              <w:rPr>
                <w:szCs w:val="22"/>
              </w:rPr>
              <w:t xml:space="preserve"> exercise setting individual </w:t>
            </w:r>
            <w:r w:rsidRPr="0082516B">
              <w:rPr>
                <w:szCs w:val="22"/>
              </w:rPr>
              <w:t xml:space="preserve">notional </w:t>
            </w:r>
            <w:r w:rsidR="009C7DF6">
              <w:rPr>
                <w:szCs w:val="22"/>
              </w:rPr>
              <w:t>collection rates</w:t>
            </w:r>
          </w:p>
          <w:p w14:paraId="432C20A4" w14:textId="77777777" w:rsidR="00453B4E" w:rsidRPr="00365DEC" w:rsidRDefault="00453B4E" w:rsidP="00365DEC">
            <w:pPr>
              <w:pStyle w:val="ListParagraph"/>
              <w:numPr>
                <w:ilvl w:val="0"/>
                <w:numId w:val="7"/>
              </w:numPr>
              <w:rPr>
                <w:szCs w:val="22"/>
              </w:rPr>
            </w:pPr>
            <w:r>
              <w:rPr>
                <w:szCs w:val="22"/>
              </w:rPr>
              <w:t>MHCLG noted the</w:t>
            </w:r>
            <w:r w:rsidR="009C7DF6">
              <w:rPr>
                <w:szCs w:val="22"/>
              </w:rPr>
              <w:t xml:space="preserve"> members’ views on the</w:t>
            </w:r>
            <w:r>
              <w:rPr>
                <w:szCs w:val="22"/>
              </w:rPr>
              <w:t xml:space="preserve"> need to take into account deprivation in different areas.</w:t>
            </w:r>
          </w:p>
          <w:p w14:paraId="0B2ACDE8" w14:textId="77777777" w:rsidR="00D90BD4" w:rsidRPr="00DE16A0" w:rsidRDefault="00D90BD4" w:rsidP="00DE16A0">
            <w:pPr>
              <w:rPr>
                <w:b/>
                <w:szCs w:val="22"/>
              </w:rPr>
            </w:pPr>
          </w:p>
        </w:tc>
      </w:tr>
      <w:tr w:rsidR="00DE16A0" w:rsidRPr="00197550" w14:paraId="69A514E5" w14:textId="77777777" w:rsidTr="00FE4E59">
        <w:trPr>
          <w:gridAfter w:val="1"/>
          <w:wAfter w:w="283" w:type="dxa"/>
          <w:trHeight w:val="14"/>
        </w:trPr>
        <w:tc>
          <w:tcPr>
            <w:tcW w:w="720" w:type="dxa"/>
            <w:tcBorders>
              <w:top w:val="nil"/>
              <w:left w:val="nil"/>
              <w:bottom w:val="nil"/>
              <w:right w:val="nil"/>
            </w:tcBorders>
          </w:tcPr>
          <w:p w14:paraId="56C9E260" w14:textId="77777777" w:rsidR="00DE16A0" w:rsidRPr="00197550" w:rsidRDefault="00DE16A0" w:rsidP="00365DEC">
            <w:pPr>
              <w:rPr>
                <w:b/>
                <w:szCs w:val="22"/>
              </w:rPr>
            </w:pPr>
            <w:r>
              <w:rPr>
                <w:b/>
                <w:szCs w:val="22"/>
              </w:rPr>
              <w:t>7</w:t>
            </w:r>
          </w:p>
        </w:tc>
        <w:tc>
          <w:tcPr>
            <w:tcW w:w="8789" w:type="dxa"/>
            <w:tcBorders>
              <w:top w:val="nil"/>
              <w:left w:val="nil"/>
              <w:bottom w:val="nil"/>
              <w:right w:val="nil"/>
            </w:tcBorders>
          </w:tcPr>
          <w:p w14:paraId="19FE4F39" w14:textId="77777777" w:rsidR="00DE16A0" w:rsidRDefault="00DE16A0" w:rsidP="00365DEC">
            <w:pPr>
              <w:rPr>
                <w:rStyle w:val="s1"/>
                <w:rFonts w:ascii="Arial" w:hAnsi="Arial" w:cs="Arial"/>
                <w:b/>
                <w:sz w:val="22"/>
                <w:szCs w:val="22"/>
              </w:rPr>
            </w:pPr>
            <w:r w:rsidRPr="00DE16A0">
              <w:rPr>
                <w:rStyle w:val="s1"/>
                <w:rFonts w:ascii="Arial" w:hAnsi="Arial" w:cs="Arial"/>
                <w:b/>
                <w:sz w:val="22"/>
                <w:szCs w:val="22"/>
              </w:rPr>
              <w:t>BRR – Summary of Consultation Responses</w:t>
            </w:r>
          </w:p>
          <w:p w14:paraId="4C320916" w14:textId="77777777" w:rsidR="00365DEC" w:rsidRDefault="00365DEC" w:rsidP="00365DEC">
            <w:pPr>
              <w:rPr>
                <w:rStyle w:val="s1"/>
                <w:rFonts w:ascii="Arial" w:hAnsi="Arial" w:cs="Arial"/>
                <w:b/>
                <w:sz w:val="22"/>
                <w:szCs w:val="22"/>
              </w:rPr>
            </w:pPr>
          </w:p>
          <w:p w14:paraId="3693607E" w14:textId="08E84DF1" w:rsidR="00365DEC" w:rsidRPr="00365DEC" w:rsidRDefault="00453B4E" w:rsidP="00365DEC">
            <w:pPr>
              <w:rPr>
                <w:rStyle w:val="s1"/>
                <w:rFonts w:ascii="Arial" w:hAnsi="Arial" w:cs="Arial"/>
                <w:sz w:val="22"/>
                <w:szCs w:val="22"/>
              </w:rPr>
            </w:pPr>
            <w:r w:rsidRPr="003828D8">
              <w:rPr>
                <w:rStyle w:val="s1"/>
                <w:rFonts w:ascii="Arial" w:hAnsi="Arial" w:cs="Arial"/>
                <w:sz w:val="22"/>
                <w:szCs w:val="22"/>
              </w:rPr>
              <w:t>Tahmina Adan</w:t>
            </w:r>
            <w:r w:rsidR="00A829CA">
              <w:rPr>
                <w:rStyle w:val="s1"/>
                <w:rFonts w:ascii="Arial" w:hAnsi="Arial" w:cs="Arial"/>
                <w:sz w:val="22"/>
                <w:szCs w:val="22"/>
              </w:rPr>
              <w:t xml:space="preserve"> (</w:t>
            </w:r>
            <w:r w:rsidR="00365DEC">
              <w:rPr>
                <w:rStyle w:val="s1"/>
                <w:rFonts w:ascii="Arial" w:hAnsi="Arial" w:cs="Arial"/>
                <w:sz w:val="22"/>
                <w:szCs w:val="22"/>
              </w:rPr>
              <w:t>MHCLG</w:t>
            </w:r>
            <w:r w:rsidR="00A829CA">
              <w:rPr>
                <w:rStyle w:val="s1"/>
                <w:rFonts w:ascii="Arial" w:hAnsi="Arial" w:cs="Arial"/>
                <w:sz w:val="22"/>
                <w:szCs w:val="22"/>
              </w:rPr>
              <w:t>)</w:t>
            </w:r>
            <w:r w:rsidR="00365DEC">
              <w:rPr>
                <w:rStyle w:val="s1"/>
                <w:rFonts w:ascii="Arial" w:hAnsi="Arial" w:cs="Arial"/>
                <w:sz w:val="22"/>
                <w:szCs w:val="22"/>
              </w:rPr>
              <w:t xml:space="preserve"> introduced the item and </w:t>
            </w:r>
            <w:r>
              <w:rPr>
                <w:rStyle w:val="s1"/>
                <w:rFonts w:ascii="Arial" w:hAnsi="Arial" w:cs="Arial"/>
                <w:sz w:val="22"/>
                <w:szCs w:val="22"/>
              </w:rPr>
              <w:t xml:space="preserve">thanked steering group members for responses received. They confirmed that next steps would be to develop </w:t>
            </w:r>
            <w:r w:rsidR="000915F5">
              <w:rPr>
                <w:rStyle w:val="s1"/>
                <w:rFonts w:ascii="Arial" w:hAnsi="Arial" w:cs="Arial"/>
                <w:sz w:val="22"/>
                <w:szCs w:val="22"/>
              </w:rPr>
              <w:t xml:space="preserve">the alternative model of business rates retention </w:t>
            </w:r>
            <w:r>
              <w:rPr>
                <w:rStyle w:val="s1"/>
                <w:rFonts w:ascii="Arial" w:hAnsi="Arial" w:cs="Arial"/>
                <w:sz w:val="22"/>
                <w:szCs w:val="22"/>
              </w:rPr>
              <w:t xml:space="preserve">and </w:t>
            </w:r>
            <w:r w:rsidR="000915F5">
              <w:rPr>
                <w:rStyle w:val="s1"/>
                <w:rFonts w:ascii="Arial" w:hAnsi="Arial" w:cs="Arial"/>
                <w:sz w:val="22"/>
                <w:szCs w:val="22"/>
              </w:rPr>
              <w:t>MHCL</w:t>
            </w:r>
            <w:r w:rsidR="00632217">
              <w:rPr>
                <w:rStyle w:val="s1"/>
                <w:rFonts w:ascii="Arial" w:hAnsi="Arial" w:cs="Arial"/>
                <w:sz w:val="22"/>
                <w:szCs w:val="22"/>
              </w:rPr>
              <w:t>G</w:t>
            </w:r>
            <w:r w:rsidR="000915F5">
              <w:rPr>
                <w:rStyle w:val="s1"/>
                <w:rFonts w:ascii="Arial" w:hAnsi="Arial" w:cs="Arial"/>
                <w:sz w:val="22"/>
                <w:szCs w:val="22"/>
              </w:rPr>
              <w:t xml:space="preserve"> hope to </w:t>
            </w:r>
            <w:r>
              <w:rPr>
                <w:rStyle w:val="s1"/>
                <w:rFonts w:ascii="Arial" w:hAnsi="Arial" w:cs="Arial"/>
                <w:sz w:val="22"/>
                <w:szCs w:val="22"/>
              </w:rPr>
              <w:t xml:space="preserve">publish </w:t>
            </w:r>
            <w:r w:rsidR="000915F5">
              <w:rPr>
                <w:rStyle w:val="s1"/>
                <w:rFonts w:ascii="Arial" w:hAnsi="Arial" w:cs="Arial"/>
                <w:sz w:val="22"/>
                <w:szCs w:val="22"/>
              </w:rPr>
              <w:t>a further consultation</w:t>
            </w:r>
            <w:r>
              <w:rPr>
                <w:rStyle w:val="s1"/>
                <w:rFonts w:ascii="Arial" w:hAnsi="Arial" w:cs="Arial"/>
                <w:sz w:val="22"/>
                <w:szCs w:val="22"/>
              </w:rPr>
              <w:t xml:space="preserve"> by spring/summer this year.</w:t>
            </w:r>
          </w:p>
          <w:p w14:paraId="4EE990E6" w14:textId="77777777" w:rsidR="00DE16A0" w:rsidRDefault="00DE16A0" w:rsidP="00365DEC">
            <w:pPr>
              <w:rPr>
                <w:rStyle w:val="s1"/>
                <w:rFonts w:ascii="Arial" w:hAnsi="Arial" w:cs="Arial"/>
                <w:b/>
                <w:sz w:val="22"/>
                <w:szCs w:val="22"/>
              </w:rPr>
            </w:pPr>
          </w:p>
          <w:p w14:paraId="71689A33" w14:textId="77777777" w:rsidR="00DE16A0" w:rsidRDefault="00DE16A0" w:rsidP="00DE16A0">
            <w:pPr>
              <w:widowControl w:val="0"/>
              <w:spacing w:after="240"/>
              <w:rPr>
                <w:szCs w:val="22"/>
              </w:rPr>
            </w:pPr>
            <w:r>
              <w:rPr>
                <w:szCs w:val="22"/>
              </w:rPr>
              <w:lastRenderedPageBreak/>
              <w:t xml:space="preserve">Members of the steering group provided the following comments: </w:t>
            </w:r>
          </w:p>
          <w:p w14:paraId="54F07DC7" w14:textId="5302C3BB" w:rsidR="00453B4E" w:rsidRDefault="00453B4E" w:rsidP="00453B4E">
            <w:pPr>
              <w:pStyle w:val="ListParagraph"/>
              <w:widowControl w:val="0"/>
              <w:numPr>
                <w:ilvl w:val="0"/>
                <w:numId w:val="9"/>
              </w:numPr>
              <w:spacing w:after="240"/>
              <w:rPr>
                <w:szCs w:val="22"/>
              </w:rPr>
            </w:pPr>
            <w:r>
              <w:rPr>
                <w:szCs w:val="22"/>
              </w:rPr>
              <w:t xml:space="preserve">There was discussion around the proposals on moving lists. MHCLG noted there had been very few proposals and that this would be included in the full summary. </w:t>
            </w:r>
            <w:r w:rsidR="000915F5">
              <w:rPr>
                <w:szCs w:val="22"/>
              </w:rPr>
              <w:t xml:space="preserve">MHCLG said they would reflect on this point and that there would be other ways of getting candidates. </w:t>
            </w:r>
            <w:r>
              <w:rPr>
                <w:szCs w:val="22"/>
              </w:rPr>
              <w:t xml:space="preserve">Richard Paver (Greater Manchester Combined Authority) noted </w:t>
            </w:r>
            <w:r w:rsidR="00A234A9">
              <w:rPr>
                <w:szCs w:val="22"/>
              </w:rPr>
              <w:t xml:space="preserve">that </w:t>
            </w:r>
            <w:r w:rsidR="000915F5">
              <w:rPr>
                <w:szCs w:val="22"/>
              </w:rPr>
              <w:t xml:space="preserve">local government did </w:t>
            </w:r>
            <w:r w:rsidR="00344EE0">
              <w:rPr>
                <w:szCs w:val="22"/>
              </w:rPr>
              <w:t xml:space="preserve">not </w:t>
            </w:r>
            <w:r w:rsidR="000915F5">
              <w:rPr>
                <w:szCs w:val="22"/>
              </w:rPr>
              <w:t xml:space="preserve">benefit from increases in business rates due to infrastructure </w:t>
            </w:r>
            <w:r w:rsidR="00344EE0">
              <w:rPr>
                <w:szCs w:val="22"/>
              </w:rPr>
              <w:t>such as railway stations</w:t>
            </w:r>
            <w:r w:rsidR="000915F5">
              <w:rPr>
                <w:szCs w:val="22"/>
              </w:rPr>
              <w:t xml:space="preserve"> that are on the central list</w:t>
            </w:r>
            <w:r w:rsidR="00A234A9">
              <w:rPr>
                <w:szCs w:val="22"/>
              </w:rPr>
              <w:t>.</w:t>
            </w:r>
          </w:p>
          <w:p w14:paraId="291620D3" w14:textId="77777777" w:rsidR="00A234A9" w:rsidRPr="009D1F75" w:rsidRDefault="00A234A9" w:rsidP="009D1F75">
            <w:pPr>
              <w:pStyle w:val="ListParagraph"/>
              <w:widowControl w:val="0"/>
              <w:numPr>
                <w:ilvl w:val="0"/>
                <w:numId w:val="9"/>
              </w:numPr>
              <w:spacing w:after="240"/>
              <w:rPr>
                <w:rFonts w:cs="Arial"/>
                <w:szCs w:val="22"/>
              </w:rPr>
            </w:pPr>
            <w:r>
              <w:rPr>
                <w:szCs w:val="22"/>
              </w:rPr>
              <w:t>Sarah Pickup (LG</w:t>
            </w:r>
            <w:r w:rsidR="009D1F75">
              <w:rPr>
                <w:szCs w:val="22"/>
              </w:rPr>
              <w:t xml:space="preserve">A) highlighted summary point 6 </w:t>
            </w:r>
            <w:r>
              <w:rPr>
                <w:szCs w:val="22"/>
              </w:rPr>
              <w:t>that the majority of respons</w:t>
            </w:r>
            <w:r w:rsidR="009D1F75">
              <w:rPr>
                <w:szCs w:val="22"/>
              </w:rPr>
              <w:t xml:space="preserve">es called for further </w:t>
            </w:r>
            <w:r w:rsidR="009D1F75" w:rsidRPr="009D1F75">
              <w:rPr>
                <w:rFonts w:cs="Arial"/>
                <w:szCs w:val="22"/>
              </w:rPr>
              <w:t xml:space="preserve">modelling </w:t>
            </w:r>
            <w:r w:rsidR="009D1F75" w:rsidRPr="009D1F75">
              <w:rPr>
                <w:rStyle w:val="s1"/>
                <w:rFonts w:ascii="Arial" w:hAnsi="Arial" w:cs="Arial"/>
                <w:sz w:val="22"/>
                <w:szCs w:val="22"/>
              </w:rPr>
              <w:t>and worked examples to illustrate the impact of each option on different authority types. She noted a theme and work for the technical working group would be helpful.</w:t>
            </w:r>
            <w:r w:rsidRPr="009D1F75">
              <w:rPr>
                <w:rFonts w:cs="Arial"/>
                <w:szCs w:val="22"/>
              </w:rPr>
              <w:t xml:space="preserve"> </w:t>
            </w:r>
          </w:p>
          <w:p w14:paraId="070BC584" w14:textId="414A988E" w:rsidR="00DE16A0" w:rsidRPr="00825150" w:rsidRDefault="00A234A9" w:rsidP="00825150">
            <w:pPr>
              <w:pStyle w:val="ListParagraph"/>
              <w:widowControl w:val="0"/>
              <w:numPr>
                <w:ilvl w:val="0"/>
                <w:numId w:val="9"/>
              </w:numPr>
              <w:spacing w:after="240"/>
              <w:rPr>
                <w:rFonts w:cs="Arial"/>
                <w:b/>
                <w:szCs w:val="22"/>
              </w:rPr>
            </w:pPr>
            <w:r w:rsidRPr="009D1F75">
              <w:rPr>
                <w:rFonts w:cs="Arial"/>
                <w:szCs w:val="22"/>
              </w:rPr>
              <w:t xml:space="preserve">Guy Ware (London Councils) </w:t>
            </w:r>
            <w:r w:rsidR="00FD2B9A">
              <w:rPr>
                <w:rFonts w:cs="Arial"/>
                <w:szCs w:val="22"/>
              </w:rPr>
              <w:t xml:space="preserve">asked about the potential for financial incentives </w:t>
            </w:r>
            <w:r w:rsidR="00FD2B9A">
              <w:rPr>
                <w:szCs w:val="22"/>
              </w:rPr>
              <w:t>for</w:t>
            </w:r>
            <w:r>
              <w:rPr>
                <w:szCs w:val="22"/>
              </w:rPr>
              <w:t xml:space="preserve"> po</w:t>
            </w:r>
            <w:r w:rsidR="004D2901">
              <w:rPr>
                <w:szCs w:val="22"/>
              </w:rPr>
              <w:t>o</w:t>
            </w:r>
            <w:r>
              <w:rPr>
                <w:szCs w:val="22"/>
              </w:rPr>
              <w:t xml:space="preserve">ling (Para 22-23). It was suggested that </w:t>
            </w:r>
            <w:r w:rsidR="00AF4895">
              <w:rPr>
                <w:szCs w:val="22"/>
              </w:rPr>
              <w:t>a different level of council tax for equalisation could be an incentive; a national level could in effect e</w:t>
            </w:r>
            <w:r>
              <w:rPr>
                <w:szCs w:val="22"/>
              </w:rPr>
              <w:t>qualise for additional resources which</w:t>
            </w:r>
            <w:r w:rsidR="00344EE0">
              <w:rPr>
                <w:szCs w:val="22"/>
              </w:rPr>
              <w:t xml:space="preserve"> would</w:t>
            </w:r>
            <w:r>
              <w:rPr>
                <w:szCs w:val="22"/>
              </w:rPr>
              <w:t xml:space="preserve"> have not otherwise</w:t>
            </w:r>
            <w:r w:rsidR="00344EE0">
              <w:rPr>
                <w:szCs w:val="22"/>
              </w:rPr>
              <w:t xml:space="preserve"> have</w:t>
            </w:r>
            <w:r>
              <w:rPr>
                <w:szCs w:val="22"/>
              </w:rPr>
              <w:t xml:space="preserve"> existed. MHCLG </w:t>
            </w:r>
            <w:r w:rsidR="00D80441">
              <w:rPr>
                <w:szCs w:val="22"/>
              </w:rPr>
              <w:t xml:space="preserve">said they would reflect on this </w:t>
            </w:r>
            <w:r w:rsidR="004D2901">
              <w:rPr>
                <w:szCs w:val="22"/>
              </w:rPr>
              <w:t xml:space="preserve">but </w:t>
            </w:r>
            <w:r w:rsidR="00D80441">
              <w:rPr>
                <w:szCs w:val="22"/>
              </w:rPr>
              <w:t xml:space="preserve">ministers have emphasised </w:t>
            </w:r>
            <w:r w:rsidR="004D2901" w:rsidRPr="004D2901">
              <w:rPr>
                <w:rStyle w:val="s1"/>
                <w:rFonts w:ascii="Arial" w:hAnsi="Arial" w:cs="Arial"/>
                <w:sz w:val="22"/>
                <w:szCs w:val="22"/>
              </w:rPr>
              <w:t>fiscal neutrality and finding incentives with</w:t>
            </w:r>
            <w:r w:rsidR="005274A0">
              <w:rPr>
                <w:rStyle w:val="s1"/>
                <w:rFonts w:ascii="Arial" w:hAnsi="Arial" w:cs="Arial"/>
                <w:sz w:val="22"/>
                <w:szCs w:val="22"/>
              </w:rPr>
              <w:t>in</w:t>
            </w:r>
            <w:r w:rsidR="004D2901" w:rsidRPr="004D2901">
              <w:rPr>
                <w:rStyle w:val="s1"/>
                <w:rFonts w:ascii="Arial" w:hAnsi="Arial" w:cs="Arial"/>
                <w:sz w:val="22"/>
                <w:szCs w:val="22"/>
              </w:rPr>
              <w:t xml:space="preserve"> the system</w:t>
            </w:r>
            <w:r w:rsidR="001403F7">
              <w:rPr>
                <w:rStyle w:val="s1"/>
                <w:rFonts w:ascii="Arial" w:hAnsi="Arial" w:cs="Arial"/>
                <w:sz w:val="22"/>
                <w:szCs w:val="22"/>
              </w:rPr>
              <w:t>.</w:t>
            </w:r>
          </w:p>
        </w:tc>
      </w:tr>
      <w:tr w:rsidR="00DE16A0" w:rsidRPr="00197550" w14:paraId="3375D0D0" w14:textId="77777777" w:rsidTr="00365DEC">
        <w:trPr>
          <w:gridAfter w:val="1"/>
          <w:wAfter w:w="283" w:type="dxa"/>
        </w:trPr>
        <w:tc>
          <w:tcPr>
            <w:tcW w:w="720" w:type="dxa"/>
            <w:tcBorders>
              <w:top w:val="nil"/>
              <w:left w:val="nil"/>
              <w:bottom w:val="nil"/>
              <w:right w:val="nil"/>
            </w:tcBorders>
          </w:tcPr>
          <w:p w14:paraId="7D1F7B04" w14:textId="77777777" w:rsidR="00DE16A0" w:rsidRDefault="00DE16A0" w:rsidP="00365DEC">
            <w:pPr>
              <w:rPr>
                <w:b/>
                <w:szCs w:val="22"/>
              </w:rPr>
            </w:pPr>
            <w:r>
              <w:rPr>
                <w:b/>
                <w:szCs w:val="22"/>
              </w:rPr>
              <w:lastRenderedPageBreak/>
              <w:t>8</w:t>
            </w:r>
          </w:p>
        </w:tc>
        <w:tc>
          <w:tcPr>
            <w:tcW w:w="8789" w:type="dxa"/>
            <w:tcBorders>
              <w:top w:val="nil"/>
              <w:left w:val="nil"/>
              <w:bottom w:val="nil"/>
              <w:right w:val="nil"/>
            </w:tcBorders>
          </w:tcPr>
          <w:p w14:paraId="3BBF42E3" w14:textId="447D646B" w:rsidR="00DE16A0" w:rsidRPr="00DE16A0" w:rsidRDefault="00DE16A0" w:rsidP="00365DEC">
            <w:pPr>
              <w:rPr>
                <w:rFonts w:cs="Arial"/>
                <w:b/>
                <w:szCs w:val="22"/>
              </w:rPr>
            </w:pPr>
            <w:r w:rsidRPr="00DE16A0">
              <w:rPr>
                <w:rStyle w:val="s1"/>
                <w:rFonts w:ascii="Arial" w:hAnsi="Arial" w:cs="Arial"/>
                <w:b/>
                <w:sz w:val="22"/>
                <w:szCs w:val="22"/>
              </w:rPr>
              <w:t xml:space="preserve">The </w:t>
            </w:r>
            <w:r w:rsidR="001403F7">
              <w:rPr>
                <w:rStyle w:val="s1"/>
                <w:rFonts w:ascii="Arial" w:hAnsi="Arial" w:cs="Arial"/>
                <w:b/>
                <w:sz w:val="22"/>
                <w:szCs w:val="22"/>
              </w:rPr>
              <w:t>A</w:t>
            </w:r>
            <w:r w:rsidRPr="00DE16A0">
              <w:rPr>
                <w:rStyle w:val="s1"/>
                <w:rFonts w:ascii="Arial" w:hAnsi="Arial" w:cs="Arial"/>
                <w:b/>
                <w:sz w:val="22"/>
                <w:szCs w:val="22"/>
              </w:rPr>
              <w:t xml:space="preserve">lternative </w:t>
            </w:r>
            <w:r w:rsidR="001403F7">
              <w:rPr>
                <w:rStyle w:val="s1"/>
                <w:rFonts w:ascii="Arial" w:hAnsi="Arial" w:cs="Arial"/>
                <w:b/>
                <w:sz w:val="22"/>
                <w:szCs w:val="22"/>
              </w:rPr>
              <w:t>Mo</w:t>
            </w:r>
            <w:r w:rsidRPr="00DE16A0">
              <w:rPr>
                <w:rStyle w:val="s1"/>
                <w:rFonts w:ascii="Arial" w:hAnsi="Arial" w:cs="Arial"/>
                <w:b/>
                <w:sz w:val="22"/>
                <w:szCs w:val="22"/>
              </w:rPr>
              <w:t>del</w:t>
            </w:r>
          </w:p>
        </w:tc>
      </w:tr>
      <w:tr w:rsidR="00DE16A0" w:rsidRPr="00197550" w14:paraId="1587C2B7" w14:textId="77777777" w:rsidTr="00365DEC">
        <w:trPr>
          <w:gridAfter w:val="1"/>
          <w:wAfter w:w="283" w:type="dxa"/>
        </w:trPr>
        <w:tc>
          <w:tcPr>
            <w:tcW w:w="720" w:type="dxa"/>
            <w:tcBorders>
              <w:top w:val="nil"/>
              <w:left w:val="nil"/>
              <w:bottom w:val="nil"/>
              <w:right w:val="nil"/>
            </w:tcBorders>
          </w:tcPr>
          <w:p w14:paraId="49D886F1" w14:textId="77777777" w:rsidR="00DE16A0" w:rsidRDefault="00DE16A0" w:rsidP="00365DEC">
            <w:pPr>
              <w:rPr>
                <w:b/>
                <w:szCs w:val="22"/>
              </w:rPr>
            </w:pPr>
          </w:p>
        </w:tc>
        <w:tc>
          <w:tcPr>
            <w:tcW w:w="8789" w:type="dxa"/>
            <w:tcBorders>
              <w:top w:val="nil"/>
              <w:left w:val="nil"/>
              <w:bottom w:val="nil"/>
              <w:right w:val="nil"/>
            </w:tcBorders>
          </w:tcPr>
          <w:p w14:paraId="12BD9B0E" w14:textId="77777777" w:rsidR="00DE16A0" w:rsidRDefault="00DE16A0" w:rsidP="00365DEC"/>
          <w:p w14:paraId="0EF210DA" w14:textId="77777777" w:rsidR="00D61278" w:rsidRPr="00D61278" w:rsidRDefault="00A234A9" w:rsidP="00D61278">
            <w:pPr>
              <w:pStyle w:val="p1"/>
              <w:rPr>
                <w:rFonts w:ascii="Arial" w:hAnsi="Arial" w:cs="Arial"/>
                <w:color w:val="auto"/>
                <w:sz w:val="22"/>
                <w:szCs w:val="22"/>
              </w:rPr>
            </w:pPr>
            <w:r w:rsidRPr="00D61278">
              <w:rPr>
                <w:rFonts w:ascii="Arial" w:hAnsi="Arial" w:cs="Arial"/>
                <w:color w:val="auto"/>
                <w:sz w:val="22"/>
                <w:szCs w:val="22"/>
              </w:rPr>
              <w:t>Mark Barnett</w:t>
            </w:r>
            <w:r w:rsidR="00E83436">
              <w:rPr>
                <w:rFonts w:ascii="Arial" w:hAnsi="Arial" w:cs="Arial"/>
                <w:color w:val="auto"/>
                <w:sz w:val="22"/>
                <w:szCs w:val="22"/>
              </w:rPr>
              <w:t xml:space="preserve"> (</w:t>
            </w:r>
            <w:r w:rsidRPr="00D61278">
              <w:rPr>
                <w:rFonts w:ascii="Arial" w:hAnsi="Arial" w:cs="Arial"/>
                <w:color w:val="auto"/>
                <w:sz w:val="22"/>
                <w:szCs w:val="22"/>
              </w:rPr>
              <w:t>MHCLG</w:t>
            </w:r>
            <w:r w:rsidR="00E83436">
              <w:rPr>
                <w:rFonts w:ascii="Arial" w:hAnsi="Arial" w:cs="Arial"/>
                <w:color w:val="auto"/>
                <w:sz w:val="22"/>
                <w:szCs w:val="22"/>
              </w:rPr>
              <w:t>)</w:t>
            </w:r>
            <w:r w:rsidRPr="00D61278">
              <w:rPr>
                <w:rFonts w:ascii="Arial" w:hAnsi="Arial" w:cs="Arial"/>
                <w:color w:val="auto"/>
                <w:sz w:val="22"/>
                <w:szCs w:val="22"/>
              </w:rPr>
              <w:t xml:space="preserve"> introduced the paper setting out </w:t>
            </w:r>
            <w:r w:rsidR="00B365CA">
              <w:rPr>
                <w:rFonts w:ascii="Arial" w:hAnsi="Arial" w:cs="Arial"/>
                <w:color w:val="auto"/>
                <w:sz w:val="22"/>
                <w:szCs w:val="22"/>
              </w:rPr>
              <w:t xml:space="preserve">on options for the alternative model.  He stressed this this was government policy but officer thoughts </w:t>
            </w:r>
            <w:r w:rsidR="00B00C75">
              <w:rPr>
                <w:rFonts w:ascii="Arial" w:hAnsi="Arial" w:cs="Arial"/>
                <w:color w:val="auto"/>
                <w:sz w:val="22"/>
                <w:szCs w:val="22"/>
              </w:rPr>
              <w:t>and</w:t>
            </w:r>
            <w:r w:rsidR="00B365CA">
              <w:rPr>
                <w:rFonts w:ascii="Arial" w:hAnsi="Arial" w:cs="Arial"/>
                <w:color w:val="auto"/>
                <w:sz w:val="22"/>
                <w:szCs w:val="22"/>
              </w:rPr>
              <w:t xml:space="preserve"> options.</w:t>
            </w:r>
            <w:r w:rsidRPr="00D61278">
              <w:rPr>
                <w:rFonts w:ascii="Arial" w:hAnsi="Arial" w:cs="Arial"/>
                <w:color w:val="auto"/>
                <w:sz w:val="22"/>
                <w:szCs w:val="22"/>
              </w:rPr>
              <w:t xml:space="preserve"> </w:t>
            </w:r>
            <w:r w:rsidR="00FE4E59">
              <w:rPr>
                <w:rFonts w:ascii="Arial" w:hAnsi="Arial" w:cs="Arial"/>
                <w:color w:val="auto"/>
                <w:sz w:val="22"/>
                <w:szCs w:val="22"/>
              </w:rPr>
              <w:t>He</w:t>
            </w:r>
            <w:r w:rsidR="00D61278" w:rsidRPr="00D61278">
              <w:rPr>
                <w:rFonts w:ascii="Arial" w:hAnsi="Arial" w:cs="Arial"/>
                <w:color w:val="auto"/>
                <w:sz w:val="22"/>
                <w:szCs w:val="22"/>
              </w:rPr>
              <w:t xml:space="preserve"> noted it was not for detailed discussion at this meeting</w:t>
            </w:r>
            <w:r w:rsidR="00D61278" w:rsidRPr="00D61278">
              <w:rPr>
                <w:rStyle w:val="ListParagraphChar"/>
                <w:rFonts w:eastAsiaTheme="minorHAnsi" w:cs="Arial"/>
                <w:color w:val="auto"/>
                <w:sz w:val="22"/>
                <w:szCs w:val="22"/>
              </w:rPr>
              <w:t xml:space="preserve"> but w</w:t>
            </w:r>
            <w:r w:rsidR="00D61278" w:rsidRPr="00D61278">
              <w:rPr>
                <w:rStyle w:val="s1"/>
                <w:rFonts w:ascii="Arial" w:hAnsi="Arial" w:cs="Arial"/>
                <w:color w:val="auto"/>
                <w:sz w:val="22"/>
                <w:szCs w:val="22"/>
              </w:rPr>
              <w:t>ant</w:t>
            </w:r>
            <w:r w:rsidR="00FE4E59">
              <w:rPr>
                <w:rStyle w:val="s1"/>
                <w:rFonts w:ascii="Arial" w:hAnsi="Arial" w:cs="Arial"/>
                <w:color w:val="auto"/>
                <w:sz w:val="22"/>
                <w:szCs w:val="22"/>
              </w:rPr>
              <w:t>ed</w:t>
            </w:r>
            <w:r w:rsidR="00D61278" w:rsidRPr="00D61278">
              <w:rPr>
                <w:rStyle w:val="s1"/>
                <w:rFonts w:ascii="Arial" w:hAnsi="Arial" w:cs="Arial"/>
                <w:color w:val="auto"/>
                <w:sz w:val="22"/>
                <w:szCs w:val="22"/>
              </w:rPr>
              <w:t xml:space="preserve"> to use </w:t>
            </w:r>
            <w:r w:rsidR="00FE4E59">
              <w:rPr>
                <w:rStyle w:val="s1"/>
                <w:rFonts w:ascii="Arial" w:hAnsi="Arial" w:cs="Arial"/>
                <w:color w:val="auto"/>
                <w:sz w:val="22"/>
                <w:szCs w:val="22"/>
              </w:rPr>
              <w:t xml:space="preserve">the </w:t>
            </w:r>
            <w:r w:rsidR="00D61278" w:rsidRPr="00D61278">
              <w:rPr>
                <w:rStyle w:val="s1"/>
                <w:rFonts w:ascii="Arial" w:hAnsi="Arial" w:cs="Arial"/>
                <w:color w:val="auto"/>
                <w:sz w:val="22"/>
                <w:szCs w:val="22"/>
              </w:rPr>
              <w:t xml:space="preserve">paper as an opportunity to start </w:t>
            </w:r>
            <w:r w:rsidR="00AF4895">
              <w:rPr>
                <w:rStyle w:val="s1"/>
                <w:rFonts w:ascii="Arial" w:hAnsi="Arial" w:cs="Arial"/>
                <w:color w:val="auto"/>
                <w:sz w:val="22"/>
                <w:szCs w:val="22"/>
              </w:rPr>
              <w:t xml:space="preserve">a </w:t>
            </w:r>
            <w:r w:rsidR="00D61278" w:rsidRPr="00D61278">
              <w:rPr>
                <w:rStyle w:val="s1"/>
                <w:rFonts w:ascii="Arial" w:hAnsi="Arial" w:cs="Arial"/>
                <w:color w:val="auto"/>
                <w:sz w:val="22"/>
                <w:szCs w:val="22"/>
              </w:rPr>
              <w:t>wider discussion</w:t>
            </w:r>
            <w:r w:rsidR="00D61278">
              <w:rPr>
                <w:rStyle w:val="s1"/>
                <w:rFonts w:ascii="Arial" w:hAnsi="Arial" w:cs="Arial"/>
                <w:color w:val="auto"/>
                <w:sz w:val="22"/>
                <w:szCs w:val="22"/>
              </w:rPr>
              <w:t>, a point the</w:t>
            </w:r>
            <w:r w:rsidR="00D61278" w:rsidRPr="00D61278">
              <w:rPr>
                <w:rStyle w:val="s1"/>
                <w:rFonts w:ascii="Arial" w:hAnsi="Arial" w:cs="Arial"/>
                <w:color w:val="auto"/>
                <w:sz w:val="22"/>
                <w:szCs w:val="22"/>
              </w:rPr>
              <w:t xml:space="preserve"> sector was calling for in </w:t>
            </w:r>
            <w:r w:rsidR="00D61278">
              <w:rPr>
                <w:rStyle w:val="s1"/>
                <w:rFonts w:ascii="Arial" w:hAnsi="Arial" w:cs="Arial"/>
                <w:color w:val="auto"/>
                <w:sz w:val="22"/>
                <w:szCs w:val="22"/>
              </w:rPr>
              <w:t>the December consultation document.</w:t>
            </w:r>
            <w:r w:rsidR="00FE4E59">
              <w:rPr>
                <w:rStyle w:val="s1"/>
                <w:rFonts w:ascii="Arial" w:hAnsi="Arial" w:cs="Arial"/>
                <w:color w:val="auto"/>
                <w:sz w:val="22"/>
                <w:szCs w:val="22"/>
              </w:rPr>
              <w:t xml:space="preserve"> </w:t>
            </w:r>
          </w:p>
          <w:p w14:paraId="777D277A" w14:textId="77777777" w:rsidR="00A234A9" w:rsidRDefault="00A234A9" w:rsidP="00365DEC">
            <w:pPr>
              <w:rPr>
                <w:szCs w:val="22"/>
              </w:rPr>
            </w:pPr>
          </w:p>
          <w:p w14:paraId="17605A93" w14:textId="77777777" w:rsidR="00A234A9" w:rsidRDefault="00A234A9" w:rsidP="00A234A9">
            <w:pPr>
              <w:widowControl w:val="0"/>
              <w:spacing w:after="240"/>
              <w:rPr>
                <w:szCs w:val="22"/>
              </w:rPr>
            </w:pPr>
            <w:r>
              <w:rPr>
                <w:szCs w:val="22"/>
              </w:rPr>
              <w:t xml:space="preserve">Members of the steering group provided the following comments: </w:t>
            </w:r>
          </w:p>
          <w:p w14:paraId="667F7891" w14:textId="77777777" w:rsidR="00A234A9" w:rsidRDefault="00A234A9" w:rsidP="00A234A9">
            <w:pPr>
              <w:pStyle w:val="ListParagraph"/>
              <w:numPr>
                <w:ilvl w:val="0"/>
                <w:numId w:val="10"/>
              </w:numPr>
              <w:rPr>
                <w:szCs w:val="22"/>
              </w:rPr>
            </w:pPr>
            <w:r>
              <w:rPr>
                <w:szCs w:val="22"/>
              </w:rPr>
              <w:t>Members were content for the paper to go</w:t>
            </w:r>
            <w:r w:rsidR="00D61278">
              <w:rPr>
                <w:szCs w:val="22"/>
              </w:rPr>
              <w:t xml:space="preserve"> </w:t>
            </w:r>
            <w:r>
              <w:rPr>
                <w:szCs w:val="22"/>
              </w:rPr>
              <w:t xml:space="preserve">to </w:t>
            </w:r>
            <w:r w:rsidR="00D61278">
              <w:rPr>
                <w:szCs w:val="22"/>
              </w:rPr>
              <w:t>t</w:t>
            </w:r>
            <w:r w:rsidR="00D61278" w:rsidRPr="00704C22">
              <w:rPr>
                <w:szCs w:val="22"/>
              </w:rPr>
              <w:t>he S</w:t>
            </w:r>
            <w:r w:rsidR="00704C22" w:rsidRPr="00704C22">
              <w:rPr>
                <w:szCs w:val="22"/>
              </w:rPr>
              <w:t>ystem Design Working Group</w:t>
            </w:r>
            <w:r w:rsidR="00D61278" w:rsidRPr="00704C22">
              <w:rPr>
                <w:szCs w:val="22"/>
              </w:rPr>
              <w:t xml:space="preserve"> and </w:t>
            </w:r>
            <w:r w:rsidR="00704C22" w:rsidRPr="00704C22">
              <w:rPr>
                <w:szCs w:val="22"/>
              </w:rPr>
              <w:t>Implementation Working Group</w:t>
            </w:r>
            <w:r w:rsidR="00B365CA">
              <w:rPr>
                <w:szCs w:val="22"/>
              </w:rPr>
              <w:t xml:space="preserve"> and welcomed wider engagement with local government on the alternative model.</w:t>
            </w:r>
          </w:p>
          <w:p w14:paraId="4341313C" w14:textId="77777777" w:rsidR="00A234A9" w:rsidRDefault="00B365CA" w:rsidP="00D61278">
            <w:pPr>
              <w:pStyle w:val="ListParagraph"/>
              <w:numPr>
                <w:ilvl w:val="0"/>
                <w:numId w:val="10"/>
              </w:numPr>
              <w:rPr>
                <w:szCs w:val="22"/>
              </w:rPr>
            </w:pPr>
            <w:r>
              <w:rPr>
                <w:szCs w:val="22"/>
              </w:rPr>
              <w:t xml:space="preserve">Richard Paver (Greater Manchester Combined Authority) </w:t>
            </w:r>
            <w:r w:rsidR="00D61278">
              <w:rPr>
                <w:szCs w:val="22"/>
              </w:rPr>
              <w:t xml:space="preserve">highlighted that growth on a gross or net basis was </w:t>
            </w:r>
            <w:r w:rsidR="00704C22">
              <w:rPr>
                <w:szCs w:val="22"/>
              </w:rPr>
              <w:t>an important</w:t>
            </w:r>
            <w:r w:rsidR="00D61278">
              <w:rPr>
                <w:szCs w:val="22"/>
              </w:rPr>
              <w:t xml:space="preserve"> </w:t>
            </w:r>
            <w:r w:rsidR="00AF4895">
              <w:rPr>
                <w:szCs w:val="22"/>
              </w:rPr>
              <w:t xml:space="preserve">issue </w:t>
            </w:r>
            <w:r>
              <w:rPr>
                <w:szCs w:val="22"/>
              </w:rPr>
              <w:t xml:space="preserve">and </w:t>
            </w:r>
            <w:r w:rsidR="00D61278">
              <w:rPr>
                <w:szCs w:val="22"/>
              </w:rPr>
              <w:t xml:space="preserve">raised the issue of growth </w:t>
            </w:r>
            <w:r>
              <w:rPr>
                <w:szCs w:val="22"/>
              </w:rPr>
              <w:t xml:space="preserve">in the </w:t>
            </w:r>
            <w:r w:rsidR="00AF4895">
              <w:rPr>
                <w:szCs w:val="22"/>
              </w:rPr>
              <w:t>university</w:t>
            </w:r>
            <w:r>
              <w:rPr>
                <w:szCs w:val="22"/>
              </w:rPr>
              <w:t xml:space="preserve"> sector which would not lead to business rate gain under the current arrangements</w:t>
            </w:r>
            <w:r w:rsidR="00D61278">
              <w:rPr>
                <w:szCs w:val="22"/>
              </w:rPr>
              <w:t>.</w:t>
            </w:r>
          </w:p>
          <w:p w14:paraId="370AAD7A" w14:textId="77777777" w:rsidR="00D61278" w:rsidRDefault="00D61278" w:rsidP="00D61278">
            <w:pPr>
              <w:pStyle w:val="ListParagraph"/>
              <w:numPr>
                <w:ilvl w:val="0"/>
                <w:numId w:val="10"/>
              </w:numPr>
              <w:rPr>
                <w:szCs w:val="22"/>
              </w:rPr>
            </w:pPr>
            <w:r>
              <w:rPr>
                <w:szCs w:val="22"/>
              </w:rPr>
              <w:t>Members highlighted the need to address EZs where there is no allowance for appeals.</w:t>
            </w:r>
          </w:p>
          <w:p w14:paraId="2FAE03A1" w14:textId="77777777" w:rsidR="00D61278" w:rsidRDefault="00D61278" w:rsidP="00D61278">
            <w:pPr>
              <w:pStyle w:val="ListParagraph"/>
              <w:numPr>
                <w:ilvl w:val="0"/>
                <w:numId w:val="10"/>
              </w:numPr>
              <w:rPr>
                <w:szCs w:val="22"/>
              </w:rPr>
            </w:pPr>
            <w:r>
              <w:rPr>
                <w:szCs w:val="22"/>
              </w:rPr>
              <w:t xml:space="preserve">Mike Heiser (LGA) noted the </w:t>
            </w:r>
            <w:r w:rsidR="004F17ED">
              <w:rPr>
                <w:szCs w:val="22"/>
              </w:rPr>
              <w:t>issue of potential data lags in when authorities benefit f</w:t>
            </w:r>
            <w:r w:rsidR="00344EE0">
              <w:rPr>
                <w:szCs w:val="22"/>
              </w:rPr>
              <w:t>ro</w:t>
            </w:r>
            <w:r w:rsidR="004F17ED">
              <w:rPr>
                <w:szCs w:val="22"/>
              </w:rPr>
              <w:t>m growth.</w:t>
            </w:r>
            <w:r w:rsidR="00CC28D2">
              <w:rPr>
                <w:szCs w:val="22"/>
              </w:rPr>
              <w:t xml:space="preserve"> MHCLG </w:t>
            </w:r>
            <w:r w:rsidR="004F17ED">
              <w:rPr>
                <w:szCs w:val="22"/>
              </w:rPr>
              <w:t>noted that this could be up to 2 years later depending upon the data used</w:t>
            </w:r>
            <w:r w:rsidR="00CC28D2">
              <w:rPr>
                <w:szCs w:val="22"/>
              </w:rPr>
              <w:t xml:space="preserve">. </w:t>
            </w:r>
          </w:p>
          <w:p w14:paraId="41CDF6F4" w14:textId="77777777" w:rsidR="00CC28D2" w:rsidRPr="00A234A9" w:rsidRDefault="00CC28D2" w:rsidP="00CC28D2">
            <w:pPr>
              <w:pStyle w:val="ListParagraph"/>
              <w:numPr>
                <w:ilvl w:val="0"/>
                <w:numId w:val="10"/>
              </w:numPr>
              <w:rPr>
                <w:szCs w:val="22"/>
              </w:rPr>
            </w:pPr>
            <w:r>
              <w:rPr>
                <w:szCs w:val="22"/>
              </w:rPr>
              <w:t xml:space="preserve">Sarah Pickup (LGA) proposed taking the paper to the working groups and then bringing it back to the Steering Group. </w:t>
            </w:r>
          </w:p>
        </w:tc>
      </w:tr>
      <w:tr w:rsidR="001403F7" w:rsidRPr="00197550" w14:paraId="59E11E63" w14:textId="77777777" w:rsidTr="001403F7">
        <w:trPr>
          <w:gridAfter w:val="2"/>
          <w:wAfter w:w="9072" w:type="dxa"/>
          <w:trHeight w:val="170"/>
        </w:trPr>
        <w:tc>
          <w:tcPr>
            <w:tcW w:w="720" w:type="dxa"/>
            <w:tcBorders>
              <w:top w:val="nil"/>
              <w:left w:val="nil"/>
              <w:bottom w:val="nil"/>
              <w:right w:val="nil"/>
            </w:tcBorders>
          </w:tcPr>
          <w:p w14:paraId="14459251" w14:textId="77777777" w:rsidR="001403F7" w:rsidRDefault="001403F7" w:rsidP="00365DEC">
            <w:pPr>
              <w:rPr>
                <w:b/>
                <w:szCs w:val="22"/>
              </w:rPr>
            </w:pPr>
          </w:p>
        </w:tc>
      </w:tr>
      <w:tr w:rsidR="001403F7" w:rsidRPr="00197550" w14:paraId="3FA2C05D" w14:textId="77777777" w:rsidTr="00365DEC">
        <w:trPr>
          <w:gridAfter w:val="2"/>
          <w:wAfter w:w="9072" w:type="dxa"/>
        </w:trPr>
        <w:tc>
          <w:tcPr>
            <w:tcW w:w="720" w:type="dxa"/>
            <w:tcBorders>
              <w:top w:val="nil"/>
              <w:left w:val="nil"/>
              <w:bottom w:val="nil"/>
              <w:right w:val="nil"/>
            </w:tcBorders>
          </w:tcPr>
          <w:p w14:paraId="2C57B0B4" w14:textId="77777777" w:rsidR="001403F7" w:rsidRDefault="001403F7" w:rsidP="00365DEC">
            <w:pPr>
              <w:rPr>
                <w:b/>
                <w:szCs w:val="22"/>
              </w:rPr>
            </w:pPr>
          </w:p>
        </w:tc>
      </w:tr>
      <w:tr w:rsidR="00DE16A0" w:rsidRPr="00197550" w14:paraId="21C2B89B" w14:textId="77777777" w:rsidTr="00365DEC">
        <w:trPr>
          <w:gridAfter w:val="1"/>
          <w:wAfter w:w="283" w:type="dxa"/>
        </w:trPr>
        <w:tc>
          <w:tcPr>
            <w:tcW w:w="720" w:type="dxa"/>
            <w:tcBorders>
              <w:top w:val="nil"/>
              <w:left w:val="nil"/>
              <w:bottom w:val="nil"/>
              <w:right w:val="nil"/>
            </w:tcBorders>
          </w:tcPr>
          <w:p w14:paraId="61BA916A" w14:textId="77777777" w:rsidR="00DE16A0" w:rsidRDefault="00DE16A0" w:rsidP="00365DEC">
            <w:pPr>
              <w:rPr>
                <w:b/>
                <w:szCs w:val="22"/>
              </w:rPr>
            </w:pPr>
            <w:r>
              <w:rPr>
                <w:b/>
                <w:szCs w:val="22"/>
              </w:rPr>
              <w:t>9</w:t>
            </w:r>
          </w:p>
          <w:p w14:paraId="4D698359" w14:textId="77777777" w:rsidR="00DE16A0" w:rsidRDefault="00DE16A0" w:rsidP="00365DEC">
            <w:pPr>
              <w:rPr>
                <w:b/>
                <w:szCs w:val="22"/>
              </w:rPr>
            </w:pPr>
          </w:p>
          <w:p w14:paraId="63E0C020" w14:textId="77777777" w:rsidR="00DE16A0" w:rsidRDefault="00DE16A0" w:rsidP="00365DEC">
            <w:pPr>
              <w:rPr>
                <w:b/>
                <w:szCs w:val="22"/>
              </w:rPr>
            </w:pPr>
          </w:p>
          <w:p w14:paraId="403780D0" w14:textId="77777777" w:rsidR="00DE16A0" w:rsidRDefault="00DE16A0" w:rsidP="00365DEC">
            <w:pPr>
              <w:rPr>
                <w:b/>
                <w:szCs w:val="22"/>
              </w:rPr>
            </w:pPr>
          </w:p>
          <w:p w14:paraId="2C5588B3" w14:textId="77777777" w:rsidR="00DE16A0" w:rsidRDefault="00DE16A0" w:rsidP="00365DEC">
            <w:pPr>
              <w:rPr>
                <w:b/>
                <w:szCs w:val="22"/>
              </w:rPr>
            </w:pPr>
          </w:p>
          <w:p w14:paraId="686A0C66" w14:textId="77777777" w:rsidR="00DE16A0" w:rsidRDefault="00DE16A0" w:rsidP="00365DEC">
            <w:pPr>
              <w:rPr>
                <w:b/>
                <w:szCs w:val="22"/>
              </w:rPr>
            </w:pPr>
          </w:p>
          <w:p w14:paraId="476A88EF" w14:textId="77777777" w:rsidR="00DE16A0" w:rsidRDefault="00DE16A0" w:rsidP="00365DEC">
            <w:pPr>
              <w:rPr>
                <w:b/>
                <w:szCs w:val="22"/>
              </w:rPr>
            </w:pPr>
          </w:p>
          <w:p w14:paraId="5D141788" w14:textId="77777777" w:rsidR="00DE16A0" w:rsidRDefault="00DE16A0" w:rsidP="00365DEC">
            <w:pPr>
              <w:rPr>
                <w:b/>
                <w:szCs w:val="22"/>
              </w:rPr>
            </w:pPr>
          </w:p>
          <w:p w14:paraId="66D7AD05" w14:textId="77777777" w:rsidR="00DE16A0" w:rsidRDefault="00DE16A0" w:rsidP="00365DEC">
            <w:pPr>
              <w:rPr>
                <w:b/>
                <w:szCs w:val="22"/>
              </w:rPr>
            </w:pPr>
          </w:p>
          <w:p w14:paraId="7B15993D" w14:textId="77777777" w:rsidR="00DE16A0" w:rsidRDefault="00DE16A0" w:rsidP="00365DEC">
            <w:pPr>
              <w:rPr>
                <w:b/>
                <w:szCs w:val="22"/>
              </w:rPr>
            </w:pPr>
          </w:p>
        </w:tc>
        <w:tc>
          <w:tcPr>
            <w:tcW w:w="8789" w:type="dxa"/>
            <w:tcBorders>
              <w:top w:val="nil"/>
              <w:left w:val="nil"/>
              <w:bottom w:val="nil"/>
              <w:right w:val="nil"/>
            </w:tcBorders>
          </w:tcPr>
          <w:p w14:paraId="06A4C61B" w14:textId="77777777" w:rsidR="00DE16A0" w:rsidRDefault="00DE16A0" w:rsidP="00365DE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lastRenderedPageBreak/>
              <w:t>Media Lines</w:t>
            </w:r>
          </w:p>
          <w:p w14:paraId="4F9F638F" w14:textId="77777777" w:rsidR="00DE16A0" w:rsidRPr="003B320F" w:rsidRDefault="00DE16A0" w:rsidP="00DE16A0">
            <w:pPr>
              <w:pStyle w:val="ListParagraph"/>
              <w:ind w:left="0"/>
              <w:rPr>
                <w:rFonts w:cs="Arial"/>
                <w:szCs w:val="22"/>
              </w:rPr>
            </w:pPr>
          </w:p>
          <w:p w14:paraId="30BB38A5" w14:textId="77777777" w:rsidR="00DE16A0" w:rsidRPr="003B320F" w:rsidRDefault="00DE16A0" w:rsidP="00DE16A0">
            <w:pPr>
              <w:pStyle w:val="ListParagraph"/>
              <w:ind w:left="0"/>
              <w:rPr>
                <w:rFonts w:cs="Arial"/>
                <w:szCs w:val="22"/>
              </w:rPr>
            </w:pPr>
            <w:r w:rsidRPr="003B320F">
              <w:rPr>
                <w:rFonts w:cs="Arial"/>
                <w:szCs w:val="22"/>
              </w:rPr>
              <w:t>At their meeting today, members of the Steering Group discussed:</w:t>
            </w:r>
          </w:p>
          <w:p w14:paraId="1978E7A9" w14:textId="77777777" w:rsidR="00DE16A0" w:rsidRPr="003B320F" w:rsidRDefault="00DE16A0" w:rsidP="00DE16A0">
            <w:pPr>
              <w:pStyle w:val="NormalWeb"/>
              <w:spacing w:before="0" w:beforeAutospacing="0" w:after="0" w:afterAutospacing="0"/>
              <w:rPr>
                <w:rFonts w:ascii="Arial" w:hAnsi="Arial" w:cs="Arial"/>
                <w:sz w:val="22"/>
                <w:szCs w:val="22"/>
              </w:rPr>
            </w:pPr>
            <w:r w:rsidRPr="003B320F">
              <w:rPr>
                <w:rFonts w:ascii="Arial" w:hAnsi="Arial" w:cs="Arial"/>
                <w:color w:val="454545"/>
                <w:sz w:val="22"/>
                <w:szCs w:val="22"/>
              </w:rPr>
              <w:t> </w:t>
            </w:r>
          </w:p>
          <w:p w14:paraId="4E5C1071" w14:textId="77777777" w:rsidR="00DE16A0" w:rsidRPr="003B320F" w:rsidRDefault="00DE16A0" w:rsidP="00DE16A0">
            <w:pPr>
              <w:numPr>
                <w:ilvl w:val="0"/>
                <w:numId w:val="8"/>
              </w:numPr>
              <w:rPr>
                <w:rFonts w:cs="Arial"/>
                <w:szCs w:val="22"/>
              </w:rPr>
            </w:pPr>
            <w:r w:rsidRPr="003B320F">
              <w:rPr>
                <w:rFonts w:cs="Arial"/>
                <w:szCs w:val="22"/>
              </w:rPr>
              <w:t xml:space="preserve">The summary of consultation responses on the Fair Funding Review and Business Rates Retention. </w:t>
            </w:r>
          </w:p>
          <w:p w14:paraId="3CEF94EB" w14:textId="77777777" w:rsidR="00DE16A0" w:rsidRPr="003B320F" w:rsidRDefault="00DE16A0" w:rsidP="00DE16A0">
            <w:pPr>
              <w:numPr>
                <w:ilvl w:val="0"/>
                <w:numId w:val="8"/>
              </w:numPr>
              <w:rPr>
                <w:rFonts w:cs="Arial"/>
                <w:szCs w:val="22"/>
              </w:rPr>
            </w:pPr>
            <w:r w:rsidRPr="003B320F">
              <w:rPr>
                <w:rFonts w:cs="Arial"/>
                <w:szCs w:val="22"/>
              </w:rPr>
              <w:lastRenderedPageBreak/>
              <w:t>The impact of different levels of notional council tax and how the level might be determined.</w:t>
            </w:r>
          </w:p>
          <w:p w14:paraId="4E30DB5B" w14:textId="77777777" w:rsidR="00DE16A0" w:rsidRPr="003B320F" w:rsidRDefault="00DE16A0" w:rsidP="00DE16A0">
            <w:pPr>
              <w:numPr>
                <w:ilvl w:val="0"/>
                <w:numId w:val="8"/>
              </w:numPr>
              <w:rPr>
                <w:rFonts w:cs="Arial"/>
                <w:szCs w:val="22"/>
              </w:rPr>
            </w:pPr>
            <w:r w:rsidRPr="003B320F">
              <w:rPr>
                <w:rFonts w:cs="Arial"/>
                <w:szCs w:val="22"/>
              </w:rPr>
              <w:t>Area Cost Adjustment and the proposed factors and principles associated with this.</w:t>
            </w:r>
          </w:p>
          <w:p w14:paraId="435BFFAF" w14:textId="77777777" w:rsidR="00DE16A0" w:rsidRPr="003B320F" w:rsidRDefault="00DE16A0" w:rsidP="00DE16A0">
            <w:pPr>
              <w:numPr>
                <w:ilvl w:val="0"/>
                <w:numId w:val="8"/>
              </w:numPr>
              <w:rPr>
                <w:rFonts w:cs="Arial"/>
                <w:szCs w:val="22"/>
              </w:rPr>
            </w:pPr>
            <w:r w:rsidRPr="003B320F">
              <w:rPr>
                <w:rFonts w:cs="Arial"/>
                <w:szCs w:val="22"/>
              </w:rPr>
              <w:t xml:space="preserve">That more analysis and exemplifications are necessary for all the areas of the reforms. Steering Group members requested they go to the Needs Technical Working Group and System Design Working Group to look further into the detail. </w:t>
            </w:r>
          </w:p>
          <w:p w14:paraId="3B6CBD4F" w14:textId="77777777" w:rsidR="00DE16A0" w:rsidRPr="003B320F" w:rsidRDefault="00DE16A0" w:rsidP="00DE16A0">
            <w:pPr>
              <w:numPr>
                <w:ilvl w:val="0"/>
                <w:numId w:val="8"/>
              </w:numPr>
              <w:rPr>
                <w:rFonts w:cs="Arial"/>
                <w:szCs w:val="22"/>
              </w:rPr>
            </w:pPr>
            <w:r w:rsidRPr="003B320F">
              <w:rPr>
                <w:rFonts w:cs="Arial"/>
                <w:szCs w:val="22"/>
              </w:rPr>
              <w:t>The alternative ways of administering the Business Rates Retention system and MHCLG’s intention to discuss with the wider sector.</w:t>
            </w:r>
          </w:p>
          <w:p w14:paraId="55A74648" w14:textId="77777777" w:rsidR="00DE16A0" w:rsidRPr="003B320F" w:rsidRDefault="00DE16A0" w:rsidP="00DE16A0">
            <w:pPr>
              <w:numPr>
                <w:ilvl w:val="0"/>
                <w:numId w:val="8"/>
              </w:numPr>
              <w:rPr>
                <w:rFonts w:cs="Arial"/>
                <w:szCs w:val="22"/>
              </w:rPr>
            </w:pPr>
            <w:r w:rsidRPr="003B320F">
              <w:rPr>
                <w:rFonts w:cs="Arial"/>
                <w:szCs w:val="22"/>
              </w:rPr>
              <w:t>The forthcoming Spending Review and the range of scenarios interacting with the reform of the system. </w:t>
            </w:r>
          </w:p>
          <w:p w14:paraId="3587472F" w14:textId="77777777" w:rsidR="00C66776" w:rsidRPr="00DE16A0" w:rsidRDefault="00C66776" w:rsidP="00DE16A0">
            <w:pPr>
              <w:rPr>
                <w:b/>
              </w:rPr>
            </w:pPr>
          </w:p>
        </w:tc>
      </w:tr>
      <w:tr w:rsidR="00DE16A0" w:rsidRPr="00197550" w14:paraId="0CDBD2B2" w14:textId="77777777" w:rsidTr="00365DEC">
        <w:trPr>
          <w:gridAfter w:val="1"/>
          <w:wAfter w:w="283" w:type="dxa"/>
        </w:trPr>
        <w:tc>
          <w:tcPr>
            <w:tcW w:w="720" w:type="dxa"/>
            <w:tcBorders>
              <w:top w:val="nil"/>
              <w:left w:val="nil"/>
              <w:bottom w:val="nil"/>
              <w:right w:val="nil"/>
            </w:tcBorders>
          </w:tcPr>
          <w:p w14:paraId="4630E6AE" w14:textId="77777777" w:rsidR="00DE16A0" w:rsidRDefault="00DE16A0" w:rsidP="00365DEC">
            <w:pPr>
              <w:rPr>
                <w:b/>
                <w:szCs w:val="22"/>
              </w:rPr>
            </w:pPr>
            <w:r>
              <w:rPr>
                <w:b/>
                <w:szCs w:val="22"/>
              </w:rPr>
              <w:lastRenderedPageBreak/>
              <w:t>10</w:t>
            </w:r>
          </w:p>
        </w:tc>
        <w:tc>
          <w:tcPr>
            <w:tcW w:w="8789" w:type="dxa"/>
            <w:tcBorders>
              <w:top w:val="nil"/>
              <w:left w:val="nil"/>
              <w:bottom w:val="nil"/>
              <w:right w:val="nil"/>
            </w:tcBorders>
          </w:tcPr>
          <w:p w14:paraId="2E40510E" w14:textId="77777777" w:rsidR="00DE16A0" w:rsidRDefault="00DE16A0" w:rsidP="00365DE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AOB</w:t>
            </w:r>
          </w:p>
          <w:p w14:paraId="5D0E68EA" w14:textId="5006C1A9" w:rsidR="001403F7" w:rsidRDefault="001403F7" w:rsidP="00365DEC">
            <w:pPr>
              <w:pStyle w:val="NormalWeb"/>
              <w:spacing w:before="0" w:beforeAutospacing="0" w:after="0" w:afterAutospacing="0"/>
              <w:rPr>
                <w:rFonts w:ascii="Arial" w:hAnsi="Arial" w:cs="Arial"/>
                <w:b/>
                <w:color w:val="000000"/>
                <w:sz w:val="22"/>
                <w:szCs w:val="22"/>
              </w:rPr>
            </w:pPr>
          </w:p>
        </w:tc>
      </w:tr>
      <w:tr w:rsidR="00DE16A0" w:rsidRPr="00197550" w14:paraId="48BD6804" w14:textId="77777777" w:rsidTr="00365DEC">
        <w:trPr>
          <w:gridAfter w:val="1"/>
          <w:wAfter w:w="283" w:type="dxa"/>
        </w:trPr>
        <w:tc>
          <w:tcPr>
            <w:tcW w:w="720" w:type="dxa"/>
            <w:tcBorders>
              <w:top w:val="nil"/>
              <w:left w:val="nil"/>
              <w:bottom w:val="nil"/>
              <w:right w:val="nil"/>
            </w:tcBorders>
          </w:tcPr>
          <w:p w14:paraId="682EA98A" w14:textId="77777777" w:rsidR="00DE16A0" w:rsidRDefault="00DE16A0" w:rsidP="00365DEC">
            <w:pPr>
              <w:rPr>
                <w:b/>
                <w:szCs w:val="22"/>
              </w:rPr>
            </w:pPr>
          </w:p>
        </w:tc>
        <w:tc>
          <w:tcPr>
            <w:tcW w:w="8789" w:type="dxa"/>
            <w:tcBorders>
              <w:top w:val="nil"/>
              <w:left w:val="nil"/>
              <w:bottom w:val="nil"/>
              <w:right w:val="nil"/>
            </w:tcBorders>
          </w:tcPr>
          <w:p w14:paraId="3F5E3450" w14:textId="0552182F" w:rsidR="001403F7" w:rsidRPr="00825150" w:rsidRDefault="001403F7" w:rsidP="001403F7">
            <w:pPr>
              <w:rPr>
                <w:b/>
                <w:szCs w:val="22"/>
                <w:u w:val="single"/>
              </w:rPr>
            </w:pPr>
            <w:r>
              <w:rPr>
                <w:b/>
                <w:szCs w:val="22"/>
                <w:u w:val="single"/>
              </w:rPr>
              <w:t>Appendix A – Attendance</w:t>
            </w:r>
          </w:p>
          <w:p w14:paraId="1C09AC5E" w14:textId="77777777" w:rsidR="001403F7" w:rsidRPr="00197550" w:rsidRDefault="001403F7" w:rsidP="001403F7">
            <w:pPr>
              <w:rPr>
                <w:vanish/>
                <w:color w:val="FF0000"/>
                <w:szCs w:val="22"/>
              </w:rPr>
            </w:pPr>
          </w:p>
          <w:p w14:paraId="612AF9C8" w14:textId="77777777" w:rsidR="00DE16A0" w:rsidRDefault="00DE16A0" w:rsidP="00365DEC">
            <w:pPr>
              <w:pStyle w:val="NormalWeb"/>
              <w:spacing w:before="0" w:beforeAutospacing="0" w:after="0" w:afterAutospacing="0"/>
              <w:rPr>
                <w:rFonts w:ascii="Arial" w:hAnsi="Arial" w:cs="Arial"/>
                <w:b/>
                <w:color w:val="000000"/>
                <w:sz w:val="22"/>
                <w:szCs w:val="22"/>
              </w:rPr>
            </w:pPr>
          </w:p>
        </w:tc>
      </w:tr>
      <w:tr w:rsidR="00DE16A0" w:rsidRPr="00197550" w14:paraId="1AC7D115" w14:textId="77777777" w:rsidTr="00365DEC">
        <w:trPr>
          <w:gridAfter w:val="1"/>
          <w:wAfter w:w="283" w:type="dxa"/>
        </w:trPr>
        <w:tc>
          <w:tcPr>
            <w:tcW w:w="720" w:type="dxa"/>
            <w:tcBorders>
              <w:top w:val="nil"/>
              <w:left w:val="nil"/>
              <w:bottom w:val="nil"/>
              <w:right w:val="nil"/>
            </w:tcBorders>
          </w:tcPr>
          <w:p w14:paraId="254C2CAF" w14:textId="77777777" w:rsidR="00DE16A0" w:rsidRDefault="00DE16A0" w:rsidP="00365DEC">
            <w:pPr>
              <w:rPr>
                <w:b/>
                <w:szCs w:val="22"/>
              </w:rPr>
            </w:pPr>
          </w:p>
        </w:tc>
        <w:tc>
          <w:tcPr>
            <w:tcW w:w="8789" w:type="dxa"/>
            <w:tcBorders>
              <w:top w:val="nil"/>
              <w:left w:val="nil"/>
              <w:bottom w:val="nil"/>
              <w:right w:val="nil"/>
            </w:tcBorders>
          </w:tcPr>
          <w:p w14:paraId="765AF722" w14:textId="77777777" w:rsidR="00DE16A0" w:rsidRDefault="00DE16A0" w:rsidP="00365DEC">
            <w:pPr>
              <w:pStyle w:val="NormalWeb"/>
              <w:spacing w:before="0" w:beforeAutospacing="0" w:after="0" w:afterAutospacing="0"/>
              <w:rPr>
                <w:rFonts w:ascii="Arial" w:hAnsi="Arial" w:cs="Arial"/>
                <w:color w:val="000000"/>
                <w:sz w:val="22"/>
                <w:szCs w:val="22"/>
              </w:rPr>
            </w:pPr>
          </w:p>
        </w:tc>
      </w:tr>
    </w:tbl>
    <w:p w14:paraId="49CD96B7" w14:textId="321265F5" w:rsidR="00DE16A0" w:rsidRPr="00197550" w:rsidRDefault="00DE16A0" w:rsidP="00825150">
      <w:pPr>
        <w:spacing w:after="160" w:line="259" w:lineRule="auto"/>
        <w:rPr>
          <w:vanish/>
          <w:szCs w:val="22"/>
        </w:rPr>
      </w:pPr>
      <w:r w:rsidRPr="00197550">
        <w:rPr>
          <w:vanish/>
          <w:szCs w:val="22"/>
        </w:rPr>
        <w:t>&lt;/AI7&gt;&lt;AI8&gt;&lt;/AI9&gt;&lt;TRAILER_SECTION&gt;</w:t>
      </w:r>
    </w:p>
    <w:p w14:paraId="281F818B" w14:textId="77777777" w:rsidR="00DE16A0" w:rsidRPr="00197550" w:rsidRDefault="00DE16A0" w:rsidP="00DE16A0">
      <w:pPr>
        <w:rPr>
          <w:vanish/>
          <w:szCs w:val="22"/>
        </w:rPr>
      </w:pPr>
      <w:r w:rsidRPr="00197550">
        <w:rPr>
          <w:vanish/>
          <w:szCs w:val="22"/>
        </w:rPr>
        <w:t>&lt;/TRAILER_SECTION&gt;</w:t>
      </w:r>
    </w:p>
    <w:p w14:paraId="5BB96FE9" w14:textId="77777777" w:rsidR="00DE16A0" w:rsidRPr="00197550" w:rsidRDefault="00DE16A0" w:rsidP="00DE16A0">
      <w:pPr>
        <w:rPr>
          <w:rFonts w:cs="Arial"/>
          <w:vanish/>
          <w:szCs w:val="22"/>
        </w:rPr>
      </w:pPr>
      <w:r w:rsidRPr="00197550">
        <w:rPr>
          <w:rFonts w:cs="Arial"/>
          <w:vanish/>
          <w:szCs w:val="22"/>
        </w:rPr>
        <w:t>&lt;LAYOUT_SECTION&gt;</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2"/>
        <w:gridCol w:w="5334"/>
      </w:tblGrid>
      <w:tr w:rsidR="00DE16A0" w:rsidRPr="00197550" w14:paraId="3E6F7A25" w14:textId="77777777" w:rsidTr="00365DEC">
        <w:trPr>
          <w:trHeight w:val="300"/>
          <w:jc w:val="center"/>
        </w:trPr>
        <w:tc>
          <w:tcPr>
            <w:tcW w:w="2058" w:type="pct"/>
            <w:shd w:val="clear" w:color="auto" w:fill="auto"/>
            <w:noWrap/>
            <w:vAlign w:val="bottom"/>
            <w:hideMark/>
          </w:tcPr>
          <w:p w14:paraId="7407233F" w14:textId="77777777" w:rsidR="00DE16A0" w:rsidRPr="00825150" w:rsidRDefault="00DE16A0" w:rsidP="00365DEC">
            <w:pPr>
              <w:rPr>
                <w:rFonts w:asciiTheme="minorHAnsi" w:hAnsiTheme="minorHAnsi" w:cstheme="minorHAnsi"/>
                <w:b/>
                <w:bCs/>
                <w:color w:val="000000" w:themeColor="text1"/>
                <w:sz w:val="20"/>
              </w:rPr>
            </w:pPr>
            <w:r w:rsidRPr="00825150">
              <w:rPr>
                <w:rFonts w:asciiTheme="minorHAnsi" w:hAnsiTheme="minorHAnsi" w:cstheme="minorHAnsi"/>
                <w:b/>
                <w:bCs/>
                <w:color w:val="000000" w:themeColor="text1"/>
                <w:sz w:val="20"/>
              </w:rPr>
              <w:t>Name</w:t>
            </w:r>
          </w:p>
        </w:tc>
        <w:tc>
          <w:tcPr>
            <w:tcW w:w="2942" w:type="pct"/>
            <w:shd w:val="clear" w:color="auto" w:fill="auto"/>
            <w:noWrap/>
            <w:vAlign w:val="bottom"/>
            <w:hideMark/>
          </w:tcPr>
          <w:p w14:paraId="50E00D6A" w14:textId="77777777" w:rsidR="00DE16A0" w:rsidRPr="00825150" w:rsidRDefault="00DE16A0" w:rsidP="00365DEC">
            <w:pPr>
              <w:rPr>
                <w:rFonts w:asciiTheme="minorHAnsi" w:hAnsiTheme="minorHAnsi" w:cstheme="minorHAnsi"/>
                <w:b/>
                <w:bCs/>
                <w:color w:val="000000" w:themeColor="text1"/>
                <w:sz w:val="20"/>
              </w:rPr>
            </w:pPr>
            <w:r w:rsidRPr="00825150">
              <w:rPr>
                <w:rFonts w:asciiTheme="minorHAnsi" w:hAnsiTheme="minorHAnsi" w:cstheme="minorHAnsi"/>
                <w:b/>
                <w:bCs/>
                <w:color w:val="000000" w:themeColor="text1"/>
                <w:sz w:val="20"/>
              </w:rPr>
              <w:t>Organisation</w:t>
            </w:r>
          </w:p>
        </w:tc>
      </w:tr>
      <w:tr w:rsidR="00DE16A0" w:rsidRPr="00197550" w14:paraId="59771B50" w14:textId="77777777" w:rsidTr="00365DEC">
        <w:trPr>
          <w:trHeight w:val="285"/>
          <w:jc w:val="center"/>
        </w:trPr>
        <w:tc>
          <w:tcPr>
            <w:tcW w:w="2058" w:type="pct"/>
            <w:shd w:val="clear" w:color="auto" w:fill="auto"/>
            <w:noWrap/>
            <w:vAlign w:val="bottom"/>
          </w:tcPr>
          <w:p w14:paraId="55ADA0BA"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Alex Skinner</w:t>
            </w:r>
          </w:p>
        </w:tc>
        <w:tc>
          <w:tcPr>
            <w:tcW w:w="2942" w:type="pct"/>
            <w:shd w:val="clear" w:color="auto" w:fill="auto"/>
            <w:noWrap/>
            <w:vAlign w:val="bottom"/>
          </w:tcPr>
          <w:p w14:paraId="00FBDDC2"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 xml:space="preserve">MHCLG </w:t>
            </w:r>
          </w:p>
        </w:tc>
      </w:tr>
      <w:tr w:rsidR="00DE16A0" w:rsidRPr="00197550" w14:paraId="7E32A408" w14:textId="77777777" w:rsidTr="00365DEC">
        <w:trPr>
          <w:trHeight w:val="285"/>
          <w:jc w:val="center"/>
        </w:trPr>
        <w:tc>
          <w:tcPr>
            <w:tcW w:w="2058" w:type="pct"/>
            <w:shd w:val="clear" w:color="auto" w:fill="auto"/>
            <w:noWrap/>
            <w:vAlign w:val="bottom"/>
          </w:tcPr>
          <w:p w14:paraId="495FC2FA" w14:textId="77777777" w:rsidR="00DE16A0" w:rsidRPr="00825150" w:rsidRDefault="00DE16A0" w:rsidP="00365DEC">
            <w:pPr>
              <w:rPr>
                <w:rFonts w:asciiTheme="minorHAnsi" w:hAnsiTheme="minorHAnsi" w:cstheme="minorHAnsi"/>
                <w:color w:val="000000"/>
                <w:sz w:val="20"/>
              </w:rPr>
            </w:pPr>
            <w:r w:rsidRPr="00825150">
              <w:rPr>
                <w:rFonts w:asciiTheme="minorHAnsi" w:hAnsiTheme="minorHAnsi" w:cstheme="minorHAnsi"/>
                <w:color w:val="000000"/>
                <w:sz w:val="20"/>
              </w:rPr>
              <w:t>Alexander Black</w:t>
            </w:r>
          </w:p>
        </w:tc>
        <w:tc>
          <w:tcPr>
            <w:tcW w:w="2942" w:type="pct"/>
            <w:shd w:val="clear" w:color="auto" w:fill="auto"/>
            <w:noWrap/>
            <w:vAlign w:val="bottom"/>
          </w:tcPr>
          <w:p w14:paraId="79C7B9DF"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006E02BF" w14:textId="77777777" w:rsidTr="00365DEC">
        <w:trPr>
          <w:trHeight w:val="285"/>
          <w:jc w:val="center"/>
        </w:trPr>
        <w:tc>
          <w:tcPr>
            <w:tcW w:w="2058" w:type="pct"/>
            <w:shd w:val="clear" w:color="auto" w:fill="auto"/>
            <w:noWrap/>
            <w:vAlign w:val="bottom"/>
          </w:tcPr>
          <w:p w14:paraId="77CBC934" w14:textId="77777777" w:rsidR="00DE16A0" w:rsidRPr="00825150" w:rsidRDefault="00DE16A0" w:rsidP="00365DEC">
            <w:pPr>
              <w:rPr>
                <w:rFonts w:asciiTheme="minorHAnsi" w:hAnsiTheme="minorHAnsi" w:cstheme="minorHAnsi"/>
                <w:color w:val="000000"/>
                <w:sz w:val="20"/>
              </w:rPr>
            </w:pPr>
            <w:r w:rsidRPr="00825150">
              <w:rPr>
                <w:rFonts w:asciiTheme="minorHAnsi" w:hAnsiTheme="minorHAnsi" w:cstheme="minorHAnsi"/>
                <w:color w:val="000000"/>
                <w:sz w:val="20"/>
              </w:rPr>
              <w:t>Charlotte Woodacre</w:t>
            </w:r>
          </w:p>
        </w:tc>
        <w:tc>
          <w:tcPr>
            <w:tcW w:w="2942" w:type="pct"/>
            <w:shd w:val="clear" w:color="auto" w:fill="auto"/>
            <w:noWrap/>
            <w:vAlign w:val="bottom"/>
          </w:tcPr>
          <w:p w14:paraId="5FF2CB4C"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51605E61" w14:textId="77777777" w:rsidTr="00365DEC">
        <w:trPr>
          <w:trHeight w:val="285"/>
          <w:jc w:val="center"/>
        </w:trPr>
        <w:tc>
          <w:tcPr>
            <w:tcW w:w="2058" w:type="pct"/>
            <w:shd w:val="clear" w:color="auto" w:fill="auto"/>
            <w:noWrap/>
            <w:vAlign w:val="bottom"/>
          </w:tcPr>
          <w:p w14:paraId="176C0E97"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Suzanne Clarke</w:t>
            </w:r>
          </w:p>
        </w:tc>
        <w:tc>
          <w:tcPr>
            <w:tcW w:w="2942" w:type="pct"/>
            <w:shd w:val="clear" w:color="auto" w:fill="auto"/>
            <w:noWrap/>
            <w:vAlign w:val="bottom"/>
          </w:tcPr>
          <w:p w14:paraId="277868FC"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7C7FB382" w14:textId="77777777" w:rsidTr="00365DEC">
        <w:trPr>
          <w:trHeight w:val="285"/>
          <w:jc w:val="center"/>
        </w:trPr>
        <w:tc>
          <w:tcPr>
            <w:tcW w:w="2058" w:type="pct"/>
            <w:shd w:val="clear" w:color="auto" w:fill="auto"/>
            <w:noWrap/>
            <w:vAlign w:val="bottom"/>
          </w:tcPr>
          <w:p w14:paraId="791194BA"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Stuart Hoggan</w:t>
            </w:r>
          </w:p>
        </w:tc>
        <w:tc>
          <w:tcPr>
            <w:tcW w:w="2942" w:type="pct"/>
            <w:shd w:val="clear" w:color="auto" w:fill="auto"/>
            <w:noWrap/>
            <w:vAlign w:val="bottom"/>
          </w:tcPr>
          <w:p w14:paraId="328391DE"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bCs/>
                <w:color w:val="000000" w:themeColor="text1"/>
                <w:sz w:val="20"/>
              </w:rPr>
              <w:t>MHCLG</w:t>
            </w:r>
          </w:p>
        </w:tc>
      </w:tr>
      <w:tr w:rsidR="00DE16A0" w:rsidRPr="00197550" w14:paraId="104E5BE7" w14:textId="77777777" w:rsidTr="00365DEC">
        <w:trPr>
          <w:trHeight w:val="285"/>
          <w:jc w:val="center"/>
        </w:trPr>
        <w:tc>
          <w:tcPr>
            <w:tcW w:w="2058" w:type="pct"/>
            <w:shd w:val="clear" w:color="auto" w:fill="auto"/>
            <w:noWrap/>
            <w:vAlign w:val="bottom"/>
          </w:tcPr>
          <w:p w14:paraId="4A167577" w14:textId="77777777" w:rsidR="00DE16A0" w:rsidRPr="00825150" w:rsidRDefault="00DE16A0" w:rsidP="00365DEC">
            <w:pPr>
              <w:rPr>
                <w:rFonts w:asciiTheme="minorHAnsi" w:hAnsiTheme="minorHAnsi" w:cstheme="minorHAnsi"/>
                <w:color w:val="000000"/>
                <w:sz w:val="20"/>
              </w:rPr>
            </w:pPr>
            <w:r w:rsidRPr="00825150">
              <w:rPr>
                <w:rFonts w:asciiTheme="minorHAnsi" w:hAnsiTheme="minorHAnsi" w:cstheme="minorHAnsi"/>
                <w:color w:val="000000"/>
                <w:sz w:val="20"/>
              </w:rPr>
              <w:t xml:space="preserve">Emily Gascoigne </w:t>
            </w:r>
          </w:p>
        </w:tc>
        <w:tc>
          <w:tcPr>
            <w:tcW w:w="2942" w:type="pct"/>
            <w:shd w:val="clear" w:color="auto" w:fill="auto"/>
            <w:noWrap/>
            <w:vAlign w:val="bottom"/>
          </w:tcPr>
          <w:p w14:paraId="5AA53E28"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30E5F4C4" w14:textId="77777777" w:rsidTr="00365DEC">
        <w:trPr>
          <w:trHeight w:val="285"/>
          <w:jc w:val="center"/>
        </w:trPr>
        <w:tc>
          <w:tcPr>
            <w:tcW w:w="2058" w:type="pct"/>
            <w:shd w:val="clear" w:color="auto" w:fill="auto"/>
            <w:noWrap/>
            <w:vAlign w:val="bottom"/>
          </w:tcPr>
          <w:p w14:paraId="29285874"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Trefor Henman</w:t>
            </w:r>
          </w:p>
        </w:tc>
        <w:tc>
          <w:tcPr>
            <w:tcW w:w="2942" w:type="pct"/>
            <w:shd w:val="clear" w:color="auto" w:fill="auto"/>
            <w:noWrap/>
            <w:vAlign w:val="bottom"/>
          </w:tcPr>
          <w:p w14:paraId="0BD62213"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4DD5AA6D" w14:textId="77777777" w:rsidTr="00365DEC">
        <w:trPr>
          <w:trHeight w:val="285"/>
          <w:jc w:val="center"/>
        </w:trPr>
        <w:tc>
          <w:tcPr>
            <w:tcW w:w="2058" w:type="pct"/>
            <w:shd w:val="clear" w:color="auto" w:fill="auto"/>
            <w:noWrap/>
            <w:vAlign w:val="bottom"/>
          </w:tcPr>
          <w:p w14:paraId="00EBD015" w14:textId="77777777" w:rsidR="00DE16A0" w:rsidRPr="00825150" w:rsidRDefault="00DE16A0" w:rsidP="00365DEC">
            <w:pPr>
              <w:rPr>
                <w:rFonts w:asciiTheme="minorHAnsi" w:hAnsiTheme="minorHAnsi" w:cstheme="minorHAnsi"/>
                <w:color w:val="000000"/>
                <w:sz w:val="20"/>
              </w:rPr>
            </w:pPr>
            <w:r w:rsidRPr="00825150">
              <w:rPr>
                <w:rFonts w:asciiTheme="minorHAnsi" w:hAnsiTheme="minorHAnsi" w:cstheme="minorHAnsi"/>
                <w:color w:val="000000"/>
                <w:sz w:val="20"/>
              </w:rPr>
              <w:t>Lily Jesionowska</w:t>
            </w:r>
          </w:p>
        </w:tc>
        <w:tc>
          <w:tcPr>
            <w:tcW w:w="2942" w:type="pct"/>
            <w:shd w:val="clear" w:color="auto" w:fill="auto"/>
            <w:noWrap/>
            <w:vAlign w:val="bottom"/>
          </w:tcPr>
          <w:p w14:paraId="719A770A"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5FC62889" w14:textId="77777777" w:rsidTr="00365DEC">
        <w:trPr>
          <w:trHeight w:val="285"/>
          <w:jc w:val="center"/>
        </w:trPr>
        <w:tc>
          <w:tcPr>
            <w:tcW w:w="2058" w:type="pct"/>
            <w:shd w:val="clear" w:color="auto" w:fill="auto"/>
            <w:noWrap/>
            <w:vAlign w:val="bottom"/>
          </w:tcPr>
          <w:p w14:paraId="18F7FD47"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Tahmina Adan</w:t>
            </w:r>
          </w:p>
        </w:tc>
        <w:tc>
          <w:tcPr>
            <w:tcW w:w="2942" w:type="pct"/>
            <w:shd w:val="clear" w:color="auto" w:fill="auto"/>
            <w:noWrap/>
            <w:vAlign w:val="bottom"/>
          </w:tcPr>
          <w:p w14:paraId="7CBC52EC"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37B86ECD" w14:textId="77777777" w:rsidTr="00365DEC">
        <w:trPr>
          <w:trHeight w:val="285"/>
          <w:jc w:val="center"/>
        </w:trPr>
        <w:tc>
          <w:tcPr>
            <w:tcW w:w="2058" w:type="pct"/>
            <w:shd w:val="clear" w:color="auto" w:fill="auto"/>
            <w:noWrap/>
            <w:vAlign w:val="bottom"/>
          </w:tcPr>
          <w:p w14:paraId="500DF2E6" w14:textId="77777777" w:rsidR="00DE16A0" w:rsidRPr="00825150" w:rsidRDefault="00DE16A0" w:rsidP="00365DEC">
            <w:pPr>
              <w:rPr>
                <w:rFonts w:asciiTheme="minorHAnsi" w:hAnsiTheme="minorHAnsi" w:cstheme="minorHAnsi"/>
                <w:color w:val="000000"/>
                <w:sz w:val="20"/>
              </w:rPr>
            </w:pPr>
            <w:r w:rsidRPr="00825150">
              <w:rPr>
                <w:rFonts w:asciiTheme="minorHAnsi" w:hAnsiTheme="minorHAnsi" w:cstheme="minorHAnsi"/>
                <w:color w:val="000000"/>
                <w:sz w:val="20"/>
              </w:rPr>
              <w:t>Mark Barnett</w:t>
            </w:r>
          </w:p>
        </w:tc>
        <w:tc>
          <w:tcPr>
            <w:tcW w:w="2942" w:type="pct"/>
            <w:shd w:val="clear" w:color="auto" w:fill="auto"/>
            <w:noWrap/>
            <w:vAlign w:val="bottom"/>
          </w:tcPr>
          <w:p w14:paraId="422C474F"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275C32D4" w14:textId="77777777" w:rsidTr="00365DEC">
        <w:trPr>
          <w:trHeight w:val="285"/>
          <w:jc w:val="center"/>
        </w:trPr>
        <w:tc>
          <w:tcPr>
            <w:tcW w:w="2058" w:type="pct"/>
            <w:shd w:val="clear" w:color="auto" w:fill="auto"/>
            <w:noWrap/>
            <w:vAlign w:val="bottom"/>
          </w:tcPr>
          <w:p w14:paraId="397F84CA" w14:textId="77777777" w:rsidR="00DE16A0" w:rsidRPr="00825150" w:rsidRDefault="00DE16A0" w:rsidP="00365DEC">
            <w:pPr>
              <w:rPr>
                <w:rFonts w:asciiTheme="minorHAnsi" w:hAnsiTheme="minorHAnsi" w:cstheme="minorHAnsi"/>
                <w:color w:val="000000"/>
                <w:sz w:val="20"/>
              </w:rPr>
            </w:pPr>
            <w:r w:rsidRPr="00825150">
              <w:rPr>
                <w:rFonts w:asciiTheme="minorHAnsi" w:hAnsiTheme="minorHAnsi" w:cstheme="minorHAnsi"/>
                <w:color w:val="000000"/>
                <w:sz w:val="20"/>
              </w:rPr>
              <w:t>Steve Smith</w:t>
            </w:r>
          </w:p>
        </w:tc>
        <w:tc>
          <w:tcPr>
            <w:tcW w:w="2942" w:type="pct"/>
            <w:shd w:val="clear" w:color="auto" w:fill="auto"/>
            <w:noWrap/>
            <w:vAlign w:val="bottom"/>
          </w:tcPr>
          <w:p w14:paraId="6C161CCF"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48AE723F" w14:textId="77777777" w:rsidTr="00365DEC">
        <w:trPr>
          <w:trHeight w:val="285"/>
          <w:jc w:val="center"/>
        </w:trPr>
        <w:tc>
          <w:tcPr>
            <w:tcW w:w="2058" w:type="pct"/>
            <w:shd w:val="clear" w:color="auto" w:fill="auto"/>
            <w:noWrap/>
            <w:vAlign w:val="bottom"/>
          </w:tcPr>
          <w:p w14:paraId="1716ABC9" w14:textId="77777777" w:rsidR="00DE16A0" w:rsidRPr="00825150" w:rsidRDefault="00DE16A0" w:rsidP="00365DEC">
            <w:pPr>
              <w:rPr>
                <w:rFonts w:asciiTheme="minorHAnsi" w:hAnsiTheme="minorHAnsi" w:cstheme="minorHAnsi"/>
                <w:color w:val="000000"/>
                <w:sz w:val="20"/>
              </w:rPr>
            </w:pPr>
            <w:r w:rsidRPr="00825150">
              <w:rPr>
                <w:rFonts w:asciiTheme="minorHAnsi" w:hAnsiTheme="minorHAnsi" w:cstheme="minorHAnsi"/>
                <w:color w:val="000000"/>
                <w:sz w:val="20"/>
              </w:rPr>
              <w:t>David Bull</w:t>
            </w:r>
          </w:p>
        </w:tc>
        <w:tc>
          <w:tcPr>
            <w:tcW w:w="2942" w:type="pct"/>
            <w:shd w:val="clear" w:color="auto" w:fill="auto"/>
            <w:noWrap/>
            <w:vAlign w:val="bottom"/>
          </w:tcPr>
          <w:p w14:paraId="5BC8FD68"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MHCLG</w:t>
            </w:r>
          </w:p>
        </w:tc>
      </w:tr>
      <w:tr w:rsidR="00DE16A0" w:rsidRPr="00197550" w14:paraId="5DD1540D" w14:textId="77777777" w:rsidTr="00365DEC">
        <w:trPr>
          <w:trHeight w:val="285"/>
          <w:jc w:val="center"/>
        </w:trPr>
        <w:tc>
          <w:tcPr>
            <w:tcW w:w="2058" w:type="pct"/>
            <w:shd w:val="clear" w:color="auto" w:fill="auto"/>
            <w:noWrap/>
            <w:vAlign w:val="bottom"/>
          </w:tcPr>
          <w:p w14:paraId="6761B134" w14:textId="77777777" w:rsidR="00DE16A0" w:rsidRPr="00825150" w:rsidRDefault="00DE16A0" w:rsidP="00365DEC">
            <w:pPr>
              <w:rPr>
                <w:rFonts w:asciiTheme="minorHAnsi" w:hAnsiTheme="minorHAnsi" w:cstheme="minorHAnsi"/>
                <w:color w:val="000000"/>
                <w:sz w:val="20"/>
              </w:rPr>
            </w:pPr>
            <w:r w:rsidRPr="00825150">
              <w:rPr>
                <w:rFonts w:asciiTheme="minorHAnsi" w:hAnsiTheme="minorHAnsi" w:cstheme="minorHAnsi"/>
                <w:color w:val="000000"/>
                <w:sz w:val="20"/>
              </w:rPr>
              <w:t>Elizabeth Passey</w:t>
            </w:r>
          </w:p>
        </w:tc>
        <w:tc>
          <w:tcPr>
            <w:tcW w:w="2942" w:type="pct"/>
            <w:shd w:val="clear" w:color="auto" w:fill="auto"/>
            <w:noWrap/>
            <w:vAlign w:val="bottom"/>
          </w:tcPr>
          <w:p w14:paraId="29D7FB52" w14:textId="77777777" w:rsidR="00DE16A0" w:rsidRPr="00825150" w:rsidRDefault="00DE16A0" w:rsidP="00C66776">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HM</w:t>
            </w:r>
            <w:r w:rsidR="00C66776" w:rsidRPr="00825150">
              <w:rPr>
                <w:rFonts w:asciiTheme="minorHAnsi" w:hAnsiTheme="minorHAnsi" w:cstheme="minorHAnsi"/>
                <w:color w:val="000000" w:themeColor="text1"/>
                <w:sz w:val="20"/>
              </w:rPr>
              <w:t xml:space="preserve"> Treasury</w:t>
            </w:r>
          </w:p>
        </w:tc>
      </w:tr>
      <w:tr w:rsidR="00DE16A0" w:rsidRPr="00197550" w14:paraId="192E949A" w14:textId="77777777" w:rsidTr="00365DEC">
        <w:trPr>
          <w:trHeight w:val="285"/>
          <w:jc w:val="center"/>
        </w:trPr>
        <w:tc>
          <w:tcPr>
            <w:tcW w:w="2058" w:type="pct"/>
            <w:shd w:val="clear" w:color="auto" w:fill="auto"/>
            <w:noWrap/>
            <w:vAlign w:val="bottom"/>
          </w:tcPr>
          <w:p w14:paraId="429259B4"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Sarah Pickup</w:t>
            </w:r>
          </w:p>
        </w:tc>
        <w:tc>
          <w:tcPr>
            <w:tcW w:w="2942" w:type="pct"/>
            <w:shd w:val="clear" w:color="auto" w:fill="auto"/>
            <w:noWrap/>
            <w:vAlign w:val="bottom"/>
          </w:tcPr>
          <w:p w14:paraId="03882636"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LGA (Chair)</w:t>
            </w:r>
          </w:p>
        </w:tc>
      </w:tr>
      <w:tr w:rsidR="00DE16A0" w:rsidRPr="00197550" w14:paraId="44962CE7" w14:textId="77777777" w:rsidTr="00365DEC">
        <w:trPr>
          <w:trHeight w:val="285"/>
          <w:jc w:val="center"/>
        </w:trPr>
        <w:tc>
          <w:tcPr>
            <w:tcW w:w="2058" w:type="pct"/>
            <w:shd w:val="clear" w:color="auto" w:fill="auto"/>
            <w:noWrap/>
            <w:vAlign w:val="bottom"/>
          </w:tcPr>
          <w:p w14:paraId="2B078727"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Nicola Morton</w:t>
            </w:r>
          </w:p>
        </w:tc>
        <w:tc>
          <w:tcPr>
            <w:tcW w:w="2942" w:type="pct"/>
            <w:shd w:val="clear" w:color="auto" w:fill="auto"/>
            <w:noWrap/>
            <w:vAlign w:val="bottom"/>
          </w:tcPr>
          <w:p w14:paraId="5AD8A747"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LGA</w:t>
            </w:r>
          </w:p>
        </w:tc>
      </w:tr>
      <w:tr w:rsidR="00DE16A0" w:rsidRPr="00197550" w14:paraId="4E5E7252" w14:textId="77777777" w:rsidTr="00365DEC">
        <w:trPr>
          <w:trHeight w:val="309"/>
          <w:jc w:val="center"/>
        </w:trPr>
        <w:tc>
          <w:tcPr>
            <w:tcW w:w="2058" w:type="pct"/>
            <w:shd w:val="clear" w:color="auto" w:fill="auto"/>
            <w:noWrap/>
            <w:vAlign w:val="bottom"/>
          </w:tcPr>
          <w:p w14:paraId="50457927"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 xml:space="preserve">Aivaras Statkevicius </w:t>
            </w:r>
          </w:p>
        </w:tc>
        <w:tc>
          <w:tcPr>
            <w:tcW w:w="2942" w:type="pct"/>
            <w:shd w:val="clear" w:color="auto" w:fill="auto"/>
            <w:noWrap/>
            <w:vAlign w:val="bottom"/>
          </w:tcPr>
          <w:p w14:paraId="1445A1D7"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bCs/>
                <w:color w:val="000000" w:themeColor="text1"/>
                <w:sz w:val="20"/>
              </w:rPr>
              <w:t>LGA</w:t>
            </w:r>
          </w:p>
        </w:tc>
      </w:tr>
      <w:tr w:rsidR="00DE16A0" w:rsidRPr="00197550" w14:paraId="7B4968DE" w14:textId="77777777" w:rsidTr="00365DEC">
        <w:trPr>
          <w:trHeight w:val="271"/>
          <w:jc w:val="center"/>
        </w:trPr>
        <w:tc>
          <w:tcPr>
            <w:tcW w:w="2058" w:type="pct"/>
            <w:shd w:val="clear" w:color="auto" w:fill="auto"/>
            <w:noWrap/>
            <w:vAlign w:val="bottom"/>
          </w:tcPr>
          <w:p w14:paraId="18549CFE"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Bevis Ingram</w:t>
            </w:r>
          </w:p>
        </w:tc>
        <w:tc>
          <w:tcPr>
            <w:tcW w:w="2942" w:type="pct"/>
            <w:shd w:val="clear" w:color="auto" w:fill="auto"/>
            <w:noWrap/>
            <w:vAlign w:val="bottom"/>
          </w:tcPr>
          <w:p w14:paraId="011770A7"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LGA</w:t>
            </w:r>
          </w:p>
        </w:tc>
      </w:tr>
      <w:tr w:rsidR="00DE16A0" w:rsidRPr="00197550" w14:paraId="1BB46ED5" w14:textId="77777777" w:rsidTr="00365DEC">
        <w:trPr>
          <w:trHeight w:val="271"/>
          <w:jc w:val="center"/>
        </w:trPr>
        <w:tc>
          <w:tcPr>
            <w:tcW w:w="2058" w:type="pct"/>
            <w:shd w:val="clear" w:color="auto" w:fill="auto"/>
            <w:noWrap/>
            <w:vAlign w:val="bottom"/>
          </w:tcPr>
          <w:p w14:paraId="4A490150"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Mike Heiser</w:t>
            </w:r>
          </w:p>
        </w:tc>
        <w:tc>
          <w:tcPr>
            <w:tcW w:w="2942" w:type="pct"/>
            <w:shd w:val="clear" w:color="auto" w:fill="auto"/>
            <w:noWrap/>
            <w:vAlign w:val="bottom"/>
          </w:tcPr>
          <w:p w14:paraId="6DC43865"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 xml:space="preserve">LGA </w:t>
            </w:r>
          </w:p>
        </w:tc>
      </w:tr>
      <w:tr w:rsidR="00DE16A0" w:rsidRPr="00197550" w14:paraId="3103ED5C" w14:textId="77777777" w:rsidTr="00365DEC">
        <w:trPr>
          <w:trHeight w:val="300"/>
          <w:jc w:val="center"/>
        </w:trPr>
        <w:tc>
          <w:tcPr>
            <w:tcW w:w="2058" w:type="pct"/>
            <w:shd w:val="clear" w:color="auto" w:fill="auto"/>
            <w:noWrap/>
            <w:vAlign w:val="bottom"/>
          </w:tcPr>
          <w:p w14:paraId="740CA9D5"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Guy Ware</w:t>
            </w:r>
          </w:p>
        </w:tc>
        <w:tc>
          <w:tcPr>
            <w:tcW w:w="2942" w:type="pct"/>
            <w:shd w:val="clear" w:color="auto" w:fill="auto"/>
            <w:noWrap/>
            <w:vAlign w:val="bottom"/>
          </w:tcPr>
          <w:p w14:paraId="24DC4305" w14:textId="77777777" w:rsidR="00DE16A0" w:rsidRPr="00825150" w:rsidRDefault="00DE16A0" w:rsidP="00365DEC">
            <w:pPr>
              <w:rPr>
                <w:rFonts w:asciiTheme="minorHAnsi" w:hAnsiTheme="minorHAnsi" w:cstheme="minorHAnsi"/>
                <w:bCs/>
                <w:sz w:val="20"/>
              </w:rPr>
            </w:pPr>
            <w:r w:rsidRPr="00825150">
              <w:rPr>
                <w:rFonts w:asciiTheme="minorHAnsi" w:hAnsiTheme="minorHAnsi" w:cstheme="minorHAnsi"/>
                <w:bCs/>
                <w:sz w:val="20"/>
              </w:rPr>
              <w:t>London Councils</w:t>
            </w:r>
          </w:p>
        </w:tc>
      </w:tr>
      <w:tr w:rsidR="00DE16A0" w:rsidRPr="00197550" w14:paraId="089E660A" w14:textId="77777777" w:rsidTr="00365DEC">
        <w:trPr>
          <w:trHeight w:val="300"/>
          <w:jc w:val="center"/>
        </w:trPr>
        <w:tc>
          <w:tcPr>
            <w:tcW w:w="2058" w:type="pct"/>
            <w:shd w:val="clear" w:color="auto" w:fill="auto"/>
            <w:noWrap/>
            <w:vAlign w:val="bottom"/>
          </w:tcPr>
          <w:p w14:paraId="7EB5B464"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sz w:val="20"/>
              </w:rPr>
              <w:t>Gary Fielding</w:t>
            </w:r>
          </w:p>
        </w:tc>
        <w:tc>
          <w:tcPr>
            <w:tcW w:w="2942" w:type="pct"/>
            <w:shd w:val="clear" w:color="auto" w:fill="auto"/>
            <w:noWrap/>
            <w:vAlign w:val="bottom"/>
          </w:tcPr>
          <w:p w14:paraId="1BD65598" w14:textId="77777777" w:rsidR="00DE16A0" w:rsidRPr="00825150" w:rsidRDefault="00DE16A0" w:rsidP="00365DEC">
            <w:pPr>
              <w:rPr>
                <w:rFonts w:asciiTheme="minorHAnsi" w:hAnsiTheme="minorHAnsi" w:cstheme="minorHAnsi"/>
                <w:bCs/>
                <w:sz w:val="20"/>
              </w:rPr>
            </w:pPr>
            <w:r w:rsidRPr="00825150">
              <w:rPr>
                <w:rFonts w:asciiTheme="minorHAnsi" w:hAnsiTheme="minorHAnsi" w:cstheme="minorHAnsi"/>
                <w:bCs/>
                <w:sz w:val="20"/>
              </w:rPr>
              <w:t>County Councils Network</w:t>
            </w:r>
          </w:p>
        </w:tc>
      </w:tr>
      <w:tr w:rsidR="00DE16A0" w:rsidRPr="00197550" w14:paraId="6BC1520E" w14:textId="77777777" w:rsidTr="00365DEC">
        <w:trPr>
          <w:trHeight w:val="300"/>
          <w:jc w:val="center"/>
        </w:trPr>
        <w:tc>
          <w:tcPr>
            <w:tcW w:w="2058" w:type="pct"/>
            <w:shd w:val="clear" w:color="auto" w:fill="auto"/>
            <w:noWrap/>
            <w:vAlign w:val="bottom"/>
          </w:tcPr>
          <w:p w14:paraId="3FBD3B7D"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Richard Paver</w:t>
            </w:r>
          </w:p>
        </w:tc>
        <w:tc>
          <w:tcPr>
            <w:tcW w:w="2942" w:type="pct"/>
            <w:shd w:val="clear" w:color="auto" w:fill="auto"/>
            <w:noWrap/>
            <w:vAlign w:val="bottom"/>
          </w:tcPr>
          <w:p w14:paraId="59A00A8B" w14:textId="77777777" w:rsidR="00DE16A0" w:rsidRPr="00825150" w:rsidRDefault="00DE16A0" w:rsidP="00365DEC">
            <w:pPr>
              <w:rPr>
                <w:rFonts w:asciiTheme="minorHAnsi" w:hAnsiTheme="minorHAnsi" w:cstheme="minorHAnsi"/>
                <w:bCs/>
                <w:sz w:val="20"/>
              </w:rPr>
            </w:pPr>
            <w:r w:rsidRPr="00825150">
              <w:rPr>
                <w:rFonts w:asciiTheme="minorHAnsi" w:hAnsiTheme="minorHAnsi" w:cstheme="minorHAnsi"/>
                <w:bCs/>
                <w:sz w:val="20"/>
              </w:rPr>
              <w:t>Greater Manchester Combined Authority</w:t>
            </w:r>
          </w:p>
        </w:tc>
      </w:tr>
      <w:tr w:rsidR="00DE16A0" w:rsidRPr="00197550" w14:paraId="027711E5" w14:textId="77777777" w:rsidTr="00365DEC">
        <w:trPr>
          <w:trHeight w:val="300"/>
          <w:jc w:val="center"/>
        </w:trPr>
        <w:tc>
          <w:tcPr>
            <w:tcW w:w="2058" w:type="pct"/>
            <w:shd w:val="clear" w:color="auto" w:fill="auto"/>
            <w:noWrap/>
            <w:vAlign w:val="bottom"/>
          </w:tcPr>
          <w:p w14:paraId="7275E1F0"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sz w:val="20"/>
              </w:rPr>
              <w:t>Jill Penn</w:t>
            </w:r>
          </w:p>
        </w:tc>
        <w:tc>
          <w:tcPr>
            <w:tcW w:w="2942" w:type="pct"/>
            <w:shd w:val="clear" w:color="auto" w:fill="auto"/>
            <w:noWrap/>
            <w:vAlign w:val="bottom"/>
          </w:tcPr>
          <w:p w14:paraId="2F69A1F5" w14:textId="77777777" w:rsidR="00DE16A0" w:rsidRPr="00825150" w:rsidRDefault="00DE16A0" w:rsidP="00365DEC">
            <w:pPr>
              <w:rPr>
                <w:rFonts w:asciiTheme="minorHAnsi" w:hAnsiTheme="minorHAnsi" w:cstheme="minorHAnsi"/>
                <w:bCs/>
                <w:i/>
                <w:sz w:val="20"/>
              </w:rPr>
            </w:pPr>
            <w:r w:rsidRPr="00825150">
              <w:rPr>
                <w:rStyle w:val="Emphasis"/>
                <w:rFonts w:asciiTheme="minorHAnsi" w:hAnsiTheme="minorHAnsi" w:cstheme="minorHAnsi"/>
                <w:bCs/>
                <w:i w:val="0"/>
                <w:sz w:val="20"/>
                <w:shd w:val="clear" w:color="auto" w:fill="FFFFFF"/>
              </w:rPr>
              <w:t>Society of District Council Treasurers</w:t>
            </w:r>
          </w:p>
        </w:tc>
      </w:tr>
      <w:tr w:rsidR="00DE16A0" w:rsidRPr="00197550" w14:paraId="207242C6" w14:textId="77777777" w:rsidTr="00365DEC">
        <w:trPr>
          <w:trHeight w:val="300"/>
          <w:jc w:val="center"/>
        </w:trPr>
        <w:tc>
          <w:tcPr>
            <w:tcW w:w="2058" w:type="pct"/>
            <w:shd w:val="clear" w:color="auto" w:fill="auto"/>
            <w:noWrap/>
            <w:vAlign w:val="bottom"/>
          </w:tcPr>
          <w:p w14:paraId="2CF62229"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David Magor</w:t>
            </w:r>
          </w:p>
        </w:tc>
        <w:tc>
          <w:tcPr>
            <w:tcW w:w="2942" w:type="pct"/>
            <w:shd w:val="clear" w:color="auto" w:fill="auto"/>
            <w:noWrap/>
            <w:vAlign w:val="bottom"/>
          </w:tcPr>
          <w:p w14:paraId="79893990" w14:textId="77777777" w:rsidR="00DE16A0" w:rsidRPr="00825150" w:rsidRDefault="00DE16A0" w:rsidP="007B763C">
            <w:pPr>
              <w:rPr>
                <w:rFonts w:asciiTheme="minorHAnsi" w:hAnsiTheme="minorHAnsi" w:cstheme="minorHAnsi"/>
                <w:bCs/>
                <w:sz w:val="20"/>
              </w:rPr>
            </w:pPr>
            <w:r w:rsidRPr="00825150">
              <w:rPr>
                <w:rFonts w:asciiTheme="minorHAnsi" w:hAnsiTheme="minorHAnsi" w:cstheme="minorHAnsi"/>
                <w:sz w:val="20"/>
                <w:shd w:val="clear" w:color="auto" w:fill="FFFFFF"/>
              </w:rPr>
              <w:t xml:space="preserve">Institute </w:t>
            </w:r>
            <w:r w:rsidR="007B763C" w:rsidRPr="00825150">
              <w:rPr>
                <w:rFonts w:asciiTheme="minorHAnsi" w:hAnsiTheme="minorHAnsi" w:cstheme="minorHAnsi"/>
                <w:sz w:val="20"/>
                <w:shd w:val="clear" w:color="auto" w:fill="FFFFFF"/>
              </w:rPr>
              <w:t>o</w:t>
            </w:r>
            <w:r w:rsidRPr="00825150">
              <w:rPr>
                <w:rFonts w:asciiTheme="minorHAnsi" w:hAnsiTheme="minorHAnsi" w:cstheme="minorHAnsi"/>
                <w:sz w:val="20"/>
                <w:shd w:val="clear" w:color="auto" w:fill="FFFFFF"/>
              </w:rPr>
              <w:t>f Revenues Rating &amp; Valuation</w:t>
            </w:r>
          </w:p>
        </w:tc>
      </w:tr>
      <w:tr w:rsidR="00DE16A0" w:rsidRPr="00197550" w14:paraId="4F1602D2" w14:textId="77777777" w:rsidTr="00365DEC">
        <w:trPr>
          <w:trHeight w:val="300"/>
          <w:jc w:val="center"/>
        </w:trPr>
        <w:tc>
          <w:tcPr>
            <w:tcW w:w="2058" w:type="pct"/>
            <w:shd w:val="clear" w:color="auto" w:fill="auto"/>
            <w:noWrap/>
            <w:vAlign w:val="bottom"/>
          </w:tcPr>
          <w:p w14:paraId="5A786A57"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Tony Kirkham</w:t>
            </w:r>
          </w:p>
        </w:tc>
        <w:tc>
          <w:tcPr>
            <w:tcW w:w="2942" w:type="pct"/>
            <w:shd w:val="clear" w:color="auto" w:fill="auto"/>
            <w:noWrap/>
            <w:vAlign w:val="bottom"/>
          </w:tcPr>
          <w:p w14:paraId="58945F39" w14:textId="77777777" w:rsidR="00DE16A0" w:rsidRPr="00825150" w:rsidRDefault="00AF4895" w:rsidP="00365DEC">
            <w:pPr>
              <w:rPr>
                <w:rFonts w:asciiTheme="minorHAnsi" w:hAnsiTheme="minorHAnsi" w:cstheme="minorHAnsi"/>
                <w:sz w:val="20"/>
              </w:rPr>
            </w:pPr>
            <w:r w:rsidRPr="00825150">
              <w:rPr>
                <w:rFonts w:asciiTheme="minorHAnsi" w:hAnsiTheme="minorHAnsi" w:cstheme="minorHAnsi"/>
                <w:sz w:val="20"/>
                <w:shd w:val="clear" w:color="auto" w:fill="FFFFFF"/>
              </w:rPr>
              <w:t>Solace</w:t>
            </w:r>
          </w:p>
        </w:tc>
      </w:tr>
      <w:tr w:rsidR="00DE16A0" w:rsidRPr="00197550" w14:paraId="17662B25" w14:textId="77777777" w:rsidTr="00365DEC">
        <w:trPr>
          <w:trHeight w:val="300"/>
          <w:jc w:val="center"/>
        </w:trPr>
        <w:tc>
          <w:tcPr>
            <w:tcW w:w="2058" w:type="pct"/>
            <w:shd w:val="clear" w:color="auto" w:fill="auto"/>
            <w:noWrap/>
            <w:vAlign w:val="bottom"/>
          </w:tcPr>
          <w:p w14:paraId="1A770876"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Graham Soulsby</w:t>
            </w:r>
          </w:p>
        </w:tc>
        <w:tc>
          <w:tcPr>
            <w:tcW w:w="2942" w:type="pct"/>
            <w:shd w:val="clear" w:color="auto" w:fill="auto"/>
            <w:noWrap/>
            <w:vAlign w:val="bottom"/>
          </w:tcPr>
          <w:p w14:paraId="638C45FF" w14:textId="77777777" w:rsidR="00DE16A0" w:rsidRPr="00825150" w:rsidRDefault="00DE16A0" w:rsidP="00365DEC">
            <w:pPr>
              <w:rPr>
                <w:rFonts w:asciiTheme="minorHAnsi" w:hAnsiTheme="minorHAnsi" w:cstheme="minorHAnsi"/>
                <w:sz w:val="20"/>
              </w:rPr>
            </w:pPr>
            <w:r w:rsidRPr="00825150">
              <w:rPr>
                <w:rFonts w:asciiTheme="minorHAnsi" w:hAnsiTheme="minorHAnsi" w:cstheme="minorHAnsi"/>
                <w:sz w:val="20"/>
              </w:rPr>
              <w:t>District Councils Network</w:t>
            </w:r>
          </w:p>
        </w:tc>
      </w:tr>
      <w:tr w:rsidR="00DE16A0" w:rsidRPr="00197550" w14:paraId="0E559D25" w14:textId="77777777" w:rsidTr="00365DEC">
        <w:trPr>
          <w:trHeight w:val="300"/>
          <w:jc w:val="center"/>
        </w:trPr>
        <w:tc>
          <w:tcPr>
            <w:tcW w:w="2058" w:type="pct"/>
            <w:shd w:val="clear" w:color="auto" w:fill="auto"/>
            <w:noWrap/>
            <w:vAlign w:val="bottom"/>
          </w:tcPr>
          <w:p w14:paraId="4591E64F"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Frances Foster</w:t>
            </w:r>
          </w:p>
        </w:tc>
        <w:tc>
          <w:tcPr>
            <w:tcW w:w="2942" w:type="pct"/>
            <w:shd w:val="clear" w:color="auto" w:fill="auto"/>
            <w:noWrap/>
            <w:vAlign w:val="bottom"/>
          </w:tcPr>
          <w:p w14:paraId="093D4390" w14:textId="77777777" w:rsidR="00DE16A0" w:rsidRPr="00825150" w:rsidRDefault="00DE16A0" w:rsidP="00365DEC">
            <w:pPr>
              <w:rPr>
                <w:rFonts w:asciiTheme="minorHAnsi" w:hAnsiTheme="minorHAnsi" w:cstheme="minorHAnsi"/>
                <w:sz w:val="20"/>
              </w:rPr>
            </w:pPr>
            <w:r w:rsidRPr="00825150">
              <w:rPr>
                <w:rFonts w:asciiTheme="minorHAnsi" w:hAnsiTheme="minorHAnsi" w:cstheme="minorHAnsi"/>
                <w:sz w:val="20"/>
              </w:rPr>
              <w:t>SIGOMA</w:t>
            </w:r>
          </w:p>
        </w:tc>
      </w:tr>
      <w:tr w:rsidR="00DE16A0" w:rsidRPr="00197550" w14:paraId="11D64116" w14:textId="77777777" w:rsidTr="00365DEC">
        <w:trPr>
          <w:trHeight w:val="300"/>
          <w:jc w:val="center"/>
        </w:trPr>
        <w:tc>
          <w:tcPr>
            <w:tcW w:w="2058" w:type="pct"/>
            <w:shd w:val="clear" w:color="auto" w:fill="auto"/>
            <w:noWrap/>
            <w:vAlign w:val="bottom"/>
          </w:tcPr>
          <w:p w14:paraId="057A3FE7"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Mike Curtis</w:t>
            </w:r>
          </w:p>
        </w:tc>
        <w:tc>
          <w:tcPr>
            <w:tcW w:w="2942" w:type="pct"/>
            <w:shd w:val="clear" w:color="auto" w:fill="auto"/>
            <w:noWrap/>
            <w:vAlign w:val="bottom"/>
          </w:tcPr>
          <w:p w14:paraId="3DF241E2" w14:textId="77777777" w:rsidR="00DE16A0" w:rsidRPr="00825150" w:rsidRDefault="00DE16A0" w:rsidP="00365DEC">
            <w:pPr>
              <w:rPr>
                <w:rFonts w:asciiTheme="minorHAnsi" w:hAnsiTheme="minorHAnsi" w:cstheme="minorHAnsi"/>
                <w:sz w:val="20"/>
              </w:rPr>
            </w:pPr>
            <w:r w:rsidRPr="00825150">
              <w:rPr>
                <w:rFonts w:asciiTheme="minorHAnsi" w:hAnsiTheme="minorHAnsi" w:cstheme="minorHAnsi"/>
                <w:sz w:val="20"/>
              </w:rPr>
              <w:t xml:space="preserve">Society of London Treasurers </w:t>
            </w:r>
          </w:p>
        </w:tc>
      </w:tr>
      <w:tr w:rsidR="00DE16A0" w:rsidRPr="00197550" w14:paraId="065D2694" w14:textId="77777777" w:rsidTr="00365DEC">
        <w:trPr>
          <w:trHeight w:val="300"/>
          <w:jc w:val="center"/>
        </w:trPr>
        <w:tc>
          <w:tcPr>
            <w:tcW w:w="2058" w:type="pct"/>
            <w:shd w:val="clear" w:color="auto" w:fill="auto"/>
            <w:noWrap/>
            <w:vAlign w:val="bottom"/>
          </w:tcPr>
          <w:p w14:paraId="638BB57E"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sz w:val="20"/>
              </w:rPr>
              <w:t>Lorna Baxter</w:t>
            </w:r>
          </w:p>
        </w:tc>
        <w:tc>
          <w:tcPr>
            <w:tcW w:w="2942" w:type="pct"/>
            <w:shd w:val="clear" w:color="auto" w:fill="auto"/>
            <w:noWrap/>
            <w:vAlign w:val="bottom"/>
          </w:tcPr>
          <w:p w14:paraId="01BE8E13" w14:textId="77777777" w:rsidR="00DE16A0" w:rsidRPr="00825150" w:rsidRDefault="00DE16A0" w:rsidP="00BE37ED">
            <w:pPr>
              <w:rPr>
                <w:rFonts w:asciiTheme="minorHAnsi" w:hAnsiTheme="minorHAnsi" w:cstheme="minorHAnsi"/>
                <w:sz w:val="20"/>
              </w:rPr>
            </w:pPr>
            <w:r w:rsidRPr="00825150">
              <w:rPr>
                <w:rFonts w:asciiTheme="minorHAnsi" w:hAnsiTheme="minorHAnsi" w:cstheme="minorHAnsi"/>
                <w:sz w:val="20"/>
              </w:rPr>
              <w:t>S</w:t>
            </w:r>
            <w:r w:rsidR="00BE37ED" w:rsidRPr="00825150">
              <w:rPr>
                <w:rFonts w:asciiTheme="minorHAnsi" w:hAnsiTheme="minorHAnsi" w:cstheme="minorHAnsi"/>
                <w:sz w:val="20"/>
              </w:rPr>
              <w:t>ociety of County Treasurers</w:t>
            </w:r>
          </w:p>
        </w:tc>
      </w:tr>
      <w:tr w:rsidR="00DE16A0" w:rsidRPr="00197550" w14:paraId="56F15722" w14:textId="77777777" w:rsidTr="00365DEC">
        <w:trPr>
          <w:trHeight w:val="300"/>
          <w:jc w:val="center"/>
        </w:trPr>
        <w:tc>
          <w:tcPr>
            <w:tcW w:w="2058" w:type="pct"/>
            <w:shd w:val="clear" w:color="auto" w:fill="auto"/>
            <w:noWrap/>
            <w:vAlign w:val="bottom"/>
          </w:tcPr>
          <w:p w14:paraId="3E9DADAC"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color w:val="000000" w:themeColor="text1"/>
                <w:sz w:val="20"/>
              </w:rPr>
              <w:t>Jonathan Bochenski</w:t>
            </w:r>
          </w:p>
        </w:tc>
        <w:tc>
          <w:tcPr>
            <w:tcW w:w="2942" w:type="pct"/>
            <w:shd w:val="clear" w:color="auto" w:fill="auto"/>
            <w:noWrap/>
            <w:vAlign w:val="bottom"/>
          </w:tcPr>
          <w:p w14:paraId="421C68E8" w14:textId="77777777" w:rsidR="00DE16A0" w:rsidRPr="00825150" w:rsidRDefault="00D81FA5" w:rsidP="00D81FA5">
            <w:pPr>
              <w:rPr>
                <w:rFonts w:asciiTheme="minorHAnsi" w:hAnsiTheme="minorHAnsi" w:cstheme="minorHAnsi"/>
                <w:sz w:val="20"/>
              </w:rPr>
            </w:pPr>
            <w:r w:rsidRPr="00825150">
              <w:rPr>
                <w:rFonts w:asciiTheme="minorHAnsi" w:hAnsiTheme="minorHAnsi" w:cstheme="minorHAnsi"/>
                <w:sz w:val="20"/>
              </w:rPr>
              <w:t xml:space="preserve">Valuation Office Agency </w:t>
            </w:r>
          </w:p>
        </w:tc>
      </w:tr>
      <w:tr w:rsidR="00DE16A0" w:rsidRPr="00197550" w14:paraId="2C9AC9A7" w14:textId="77777777" w:rsidTr="00365DEC">
        <w:trPr>
          <w:trHeight w:val="300"/>
          <w:jc w:val="center"/>
        </w:trPr>
        <w:tc>
          <w:tcPr>
            <w:tcW w:w="2058" w:type="pct"/>
            <w:shd w:val="clear" w:color="auto" w:fill="auto"/>
            <w:noWrap/>
            <w:vAlign w:val="bottom"/>
          </w:tcPr>
          <w:p w14:paraId="03A89ECE" w14:textId="77777777" w:rsidR="00DE16A0" w:rsidRPr="00825150" w:rsidRDefault="00DE16A0" w:rsidP="00365DEC">
            <w:pPr>
              <w:rPr>
                <w:rFonts w:asciiTheme="minorHAnsi" w:hAnsiTheme="minorHAnsi" w:cstheme="minorHAnsi"/>
                <w:color w:val="000000" w:themeColor="text1"/>
                <w:sz w:val="20"/>
              </w:rPr>
            </w:pPr>
            <w:r w:rsidRPr="00825150">
              <w:rPr>
                <w:rFonts w:asciiTheme="minorHAnsi" w:hAnsiTheme="minorHAnsi" w:cstheme="minorHAnsi"/>
                <w:sz w:val="20"/>
              </w:rPr>
              <w:t>Martin Clarke</w:t>
            </w:r>
          </w:p>
        </w:tc>
        <w:tc>
          <w:tcPr>
            <w:tcW w:w="2942" w:type="pct"/>
            <w:shd w:val="clear" w:color="auto" w:fill="auto"/>
            <w:noWrap/>
            <w:vAlign w:val="bottom"/>
          </w:tcPr>
          <w:p w14:paraId="76E0E414" w14:textId="4D6E510A" w:rsidR="00DE16A0" w:rsidRPr="00825150" w:rsidRDefault="00D81FA5" w:rsidP="00365DEC">
            <w:pPr>
              <w:rPr>
                <w:rFonts w:asciiTheme="minorHAnsi" w:hAnsiTheme="minorHAnsi" w:cstheme="minorHAnsi"/>
                <w:sz w:val="20"/>
              </w:rPr>
            </w:pPr>
            <w:r w:rsidRPr="00825150">
              <w:rPr>
                <w:rFonts w:asciiTheme="minorHAnsi" w:hAnsiTheme="minorHAnsi" w:cstheme="minorHAnsi"/>
                <w:sz w:val="20"/>
              </w:rPr>
              <w:t>Greater London Authority</w:t>
            </w:r>
            <w:r w:rsidR="00825150">
              <w:rPr>
                <w:rFonts w:asciiTheme="minorHAnsi" w:hAnsiTheme="minorHAnsi" w:cstheme="minorHAnsi"/>
                <w:sz w:val="20"/>
              </w:rPr>
              <w:t xml:space="preserve"> </w:t>
            </w:r>
          </w:p>
        </w:tc>
      </w:tr>
    </w:tbl>
    <w:p w14:paraId="66441261" w14:textId="77777777" w:rsidR="00365DEC" w:rsidRPr="00DE16A0" w:rsidRDefault="00365DEC" w:rsidP="000A4970">
      <w:bookmarkStart w:id="0" w:name="_GoBack"/>
      <w:bookmarkEnd w:id="0"/>
    </w:p>
    <w:sectPr w:rsidR="00365DEC" w:rsidRPr="00DE16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9FB1A" w14:textId="77777777" w:rsidR="001403F7" w:rsidRDefault="001403F7" w:rsidP="001403F7">
      <w:r>
        <w:separator/>
      </w:r>
    </w:p>
  </w:endnote>
  <w:endnote w:type="continuationSeparator" w:id="0">
    <w:p w14:paraId="77B4ADDC" w14:textId="77777777" w:rsidR="001403F7" w:rsidRDefault="001403F7" w:rsidP="0014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UIText">
    <w:altName w:val="Times New Roman"/>
    <w:panose1 w:val="00000000000000000000"/>
    <w:charset w:val="00"/>
    <w:family w:val="roman"/>
    <w:notTrueType/>
    <w:pitch w:val="default"/>
  </w:font>
  <w:font w:name=".SF UI Text">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BE43E" w14:textId="77777777" w:rsidR="001403F7" w:rsidRDefault="001403F7" w:rsidP="001403F7">
      <w:r>
        <w:separator/>
      </w:r>
    </w:p>
  </w:footnote>
  <w:footnote w:type="continuationSeparator" w:id="0">
    <w:p w14:paraId="563D4BDE" w14:textId="77777777" w:rsidR="001403F7" w:rsidRDefault="001403F7" w:rsidP="00140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69B2"/>
    <w:multiLevelType w:val="multilevel"/>
    <w:tmpl w:val="4B7676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294375"/>
    <w:multiLevelType w:val="hybridMultilevel"/>
    <w:tmpl w:val="809E9942"/>
    <w:lvl w:ilvl="0" w:tplc="1486DC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61A7D"/>
    <w:multiLevelType w:val="hybridMultilevel"/>
    <w:tmpl w:val="5EFA1CAC"/>
    <w:lvl w:ilvl="0" w:tplc="79D68A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47AEC"/>
    <w:multiLevelType w:val="hybridMultilevel"/>
    <w:tmpl w:val="8234A19C"/>
    <w:lvl w:ilvl="0" w:tplc="7DACD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B0E62"/>
    <w:multiLevelType w:val="hybridMultilevel"/>
    <w:tmpl w:val="124C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B2230"/>
    <w:multiLevelType w:val="hybridMultilevel"/>
    <w:tmpl w:val="6B68E5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FE06848"/>
    <w:multiLevelType w:val="hybridMultilevel"/>
    <w:tmpl w:val="DBA8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15D65"/>
    <w:multiLevelType w:val="hybridMultilevel"/>
    <w:tmpl w:val="7052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0014C"/>
    <w:multiLevelType w:val="hybridMultilevel"/>
    <w:tmpl w:val="FDD6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23B49"/>
    <w:multiLevelType w:val="multilevel"/>
    <w:tmpl w:val="1A5A4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C93232"/>
    <w:multiLevelType w:val="hybridMultilevel"/>
    <w:tmpl w:val="05DE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51B72"/>
    <w:multiLevelType w:val="hybridMultilevel"/>
    <w:tmpl w:val="5AFCE3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7"/>
  </w:num>
  <w:num w:numId="5">
    <w:abstractNumId w:val="8"/>
  </w:num>
  <w:num w:numId="6">
    <w:abstractNumId w:val="10"/>
  </w:num>
  <w:num w:numId="7">
    <w:abstractNumId w:val="1"/>
  </w:num>
  <w:num w:numId="8">
    <w:abstractNumId w:val="0"/>
  </w:num>
  <w:num w:numId="9">
    <w:abstractNumId w:val="4"/>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A0"/>
    <w:rsid w:val="000915F5"/>
    <w:rsid w:val="000A3AC0"/>
    <w:rsid w:val="000A4970"/>
    <w:rsid w:val="000B4743"/>
    <w:rsid w:val="000C7295"/>
    <w:rsid w:val="00121079"/>
    <w:rsid w:val="001403F7"/>
    <w:rsid w:val="00146A9C"/>
    <w:rsid w:val="0018306B"/>
    <w:rsid w:val="001B36CE"/>
    <w:rsid w:val="0020541C"/>
    <w:rsid w:val="00205BDE"/>
    <w:rsid w:val="00225766"/>
    <w:rsid w:val="00242EA0"/>
    <w:rsid w:val="00282C49"/>
    <w:rsid w:val="0032268F"/>
    <w:rsid w:val="00344EE0"/>
    <w:rsid w:val="003549F8"/>
    <w:rsid w:val="00365DEC"/>
    <w:rsid w:val="003828D8"/>
    <w:rsid w:val="003935F2"/>
    <w:rsid w:val="003D65BB"/>
    <w:rsid w:val="003D70D6"/>
    <w:rsid w:val="004166D1"/>
    <w:rsid w:val="00431D65"/>
    <w:rsid w:val="00453B4E"/>
    <w:rsid w:val="00465B03"/>
    <w:rsid w:val="004D2901"/>
    <w:rsid w:val="004F17ED"/>
    <w:rsid w:val="004F59A9"/>
    <w:rsid w:val="005274A0"/>
    <w:rsid w:val="005356EF"/>
    <w:rsid w:val="00551E04"/>
    <w:rsid w:val="00577AEB"/>
    <w:rsid w:val="00592451"/>
    <w:rsid w:val="005E498C"/>
    <w:rsid w:val="00632217"/>
    <w:rsid w:val="006427A8"/>
    <w:rsid w:val="00662549"/>
    <w:rsid w:val="00684E98"/>
    <w:rsid w:val="00686FE5"/>
    <w:rsid w:val="0069060E"/>
    <w:rsid w:val="0069528A"/>
    <w:rsid w:val="006D2623"/>
    <w:rsid w:val="00704C22"/>
    <w:rsid w:val="00733600"/>
    <w:rsid w:val="007506D0"/>
    <w:rsid w:val="007A0D71"/>
    <w:rsid w:val="007B25EA"/>
    <w:rsid w:val="007B4D87"/>
    <w:rsid w:val="007B71F3"/>
    <w:rsid w:val="007B763C"/>
    <w:rsid w:val="00825150"/>
    <w:rsid w:val="0082516B"/>
    <w:rsid w:val="00834748"/>
    <w:rsid w:val="00846D9C"/>
    <w:rsid w:val="00891AE9"/>
    <w:rsid w:val="008B7B79"/>
    <w:rsid w:val="008C6700"/>
    <w:rsid w:val="00912768"/>
    <w:rsid w:val="00947253"/>
    <w:rsid w:val="009C7DF6"/>
    <w:rsid w:val="009D1F75"/>
    <w:rsid w:val="00A234A9"/>
    <w:rsid w:val="00A47503"/>
    <w:rsid w:val="00A829CA"/>
    <w:rsid w:val="00A914ED"/>
    <w:rsid w:val="00A96641"/>
    <w:rsid w:val="00AA0F13"/>
    <w:rsid w:val="00AB13FD"/>
    <w:rsid w:val="00AC40A4"/>
    <w:rsid w:val="00AD1A7B"/>
    <w:rsid w:val="00AF4895"/>
    <w:rsid w:val="00B00C75"/>
    <w:rsid w:val="00B365CA"/>
    <w:rsid w:val="00B77BBA"/>
    <w:rsid w:val="00BA74E2"/>
    <w:rsid w:val="00BC3BAE"/>
    <w:rsid w:val="00BE37ED"/>
    <w:rsid w:val="00C32A82"/>
    <w:rsid w:val="00C57EBB"/>
    <w:rsid w:val="00C66776"/>
    <w:rsid w:val="00CC28D2"/>
    <w:rsid w:val="00CD64F1"/>
    <w:rsid w:val="00CD7167"/>
    <w:rsid w:val="00CF3AF4"/>
    <w:rsid w:val="00D03BF0"/>
    <w:rsid w:val="00D201D6"/>
    <w:rsid w:val="00D45B4D"/>
    <w:rsid w:val="00D61278"/>
    <w:rsid w:val="00D80441"/>
    <w:rsid w:val="00D81FA5"/>
    <w:rsid w:val="00D90BD4"/>
    <w:rsid w:val="00D9298D"/>
    <w:rsid w:val="00DB73CA"/>
    <w:rsid w:val="00DE16A0"/>
    <w:rsid w:val="00E226C4"/>
    <w:rsid w:val="00E40BC6"/>
    <w:rsid w:val="00E718C7"/>
    <w:rsid w:val="00E83436"/>
    <w:rsid w:val="00E83621"/>
    <w:rsid w:val="00E930DA"/>
    <w:rsid w:val="00F34A92"/>
    <w:rsid w:val="00F4212A"/>
    <w:rsid w:val="00F46BC9"/>
    <w:rsid w:val="00F51DF3"/>
    <w:rsid w:val="00F52E94"/>
    <w:rsid w:val="00F97A9B"/>
    <w:rsid w:val="00FD2B9A"/>
    <w:rsid w:val="00FE4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DABB"/>
  <w15:chartTrackingRefBased/>
  <w15:docId w15:val="{1836CF23-2A9B-4AE5-B4D4-05809C41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A0"/>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OBC Bullet,List Paragraph11,L"/>
    <w:basedOn w:val="Normal"/>
    <w:link w:val="ListParagraphChar"/>
    <w:uiPriority w:val="34"/>
    <w:qFormat/>
    <w:rsid w:val="00DE16A0"/>
    <w:pPr>
      <w:ind w:left="720"/>
      <w:contextualSpacing/>
    </w:pPr>
  </w:style>
  <w:style w:type="paragraph" w:styleId="NormalWeb">
    <w:name w:val="Normal (Web)"/>
    <w:basedOn w:val="Normal"/>
    <w:uiPriority w:val="99"/>
    <w:unhideWhenUsed/>
    <w:rsid w:val="00DE16A0"/>
    <w:pPr>
      <w:spacing w:before="100" w:beforeAutospacing="1" w:after="100" w:afterAutospacing="1"/>
    </w:pPr>
    <w:rPr>
      <w:rFonts w:ascii="Times New Roman" w:hAnsi="Times New Roman"/>
      <w:sz w:val="24"/>
      <w:szCs w:val="24"/>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rsid w:val="00DE16A0"/>
    <w:rPr>
      <w:rFonts w:ascii="Arial" w:eastAsia="Times New Roman" w:hAnsi="Arial" w:cs="Times New Roman"/>
      <w:szCs w:val="20"/>
      <w:lang w:eastAsia="en-GB"/>
    </w:rPr>
  </w:style>
  <w:style w:type="character" w:customStyle="1" w:styleId="s2">
    <w:name w:val="s2"/>
    <w:basedOn w:val="DefaultParagraphFont"/>
    <w:rsid w:val="00DE16A0"/>
    <w:rPr>
      <w:rFonts w:ascii=".SFUIText" w:hAnsi=".SFUIText" w:hint="default"/>
      <w:b w:val="0"/>
      <w:bCs w:val="0"/>
      <w:i w:val="0"/>
      <w:iCs w:val="0"/>
    </w:rPr>
  </w:style>
  <w:style w:type="paragraph" w:customStyle="1" w:styleId="p3">
    <w:name w:val="p3"/>
    <w:basedOn w:val="Normal"/>
    <w:rsid w:val="00DE16A0"/>
    <w:rPr>
      <w:rFonts w:ascii=".SF UI Text" w:eastAsiaTheme="minorHAnsi" w:hAnsi=".SF UI Text"/>
      <w:color w:val="454545"/>
      <w:sz w:val="26"/>
      <w:szCs w:val="26"/>
    </w:rPr>
  </w:style>
  <w:style w:type="character" w:styleId="Strong">
    <w:name w:val="Strong"/>
    <w:basedOn w:val="DefaultParagraphFont"/>
    <w:uiPriority w:val="22"/>
    <w:qFormat/>
    <w:rsid w:val="00DE16A0"/>
    <w:rPr>
      <w:b/>
      <w:bCs/>
    </w:rPr>
  </w:style>
  <w:style w:type="character" w:styleId="Emphasis">
    <w:name w:val="Emphasis"/>
    <w:basedOn w:val="DefaultParagraphFont"/>
    <w:uiPriority w:val="20"/>
    <w:qFormat/>
    <w:rsid w:val="00DE16A0"/>
    <w:rPr>
      <w:i/>
      <w:iCs/>
    </w:rPr>
  </w:style>
  <w:style w:type="character" w:customStyle="1" w:styleId="s1">
    <w:name w:val="s1"/>
    <w:basedOn w:val="DefaultParagraphFont"/>
    <w:rsid w:val="00DE16A0"/>
    <w:rPr>
      <w:rFonts w:ascii=".SFUIText" w:hAnsi=".SFUIText" w:hint="default"/>
      <w:b w:val="0"/>
      <w:bCs w:val="0"/>
      <w:i w:val="0"/>
      <w:iCs w:val="0"/>
      <w:sz w:val="34"/>
      <w:szCs w:val="34"/>
    </w:rPr>
  </w:style>
  <w:style w:type="character" w:customStyle="1" w:styleId="apple-converted-space">
    <w:name w:val="apple-converted-space"/>
    <w:basedOn w:val="DefaultParagraphFont"/>
    <w:rsid w:val="00DE16A0"/>
  </w:style>
  <w:style w:type="paragraph" w:customStyle="1" w:styleId="p1">
    <w:name w:val="p1"/>
    <w:basedOn w:val="Normal"/>
    <w:rsid w:val="00DE16A0"/>
    <w:rPr>
      <w:rFonts w:ascii=".SF UI Text" w:eastAsiaTheme="minorHAnsi" w:hAnsi=".SF UI Text"/>
      <w:color w:val="454545"/>
      <w:sz w:val="26"/>
      <w:szCs w:val="26"/>
    </w:rPr>
  </w:style>
  <w:style w:type="paragraph" w:customStyle="1" w:styleId="p2">
    <w:name w:val="p2"/>
    <w:basedOn w:val="Normal"/>
    <w:rsid w:val="00DE16A0"/>
    <w:rPr>
      <w:rFonts w:ascii=".SF UI Text" w:eastAsiaTheme="minorHAnsi" w:hAnsi=".SF UI Text"/>
      <w:color w:val="454545"/>
      <w:sz w:val="26"/>
      <w:szCs w:val="26"/>
    </w:rPr>
  </w:style>
  <w:style w:type="character" w:styleId="CommentReference">
    <w:name w:val="annotation reference"/>
    <w:basedOn w:val="DefaultParagraphFont"/>
    <w:uiPriority w:val="99"/>
    <w:semiHidden/>
    <w:unhideWhenUsed/>
    <w:rsid w:val="006D2623"/>
    <w:rPr>
      <w:sz w:val="16"/>
      <w:szCs w:val="16"/>
    </w:rPr>
  </w:style>
  <w:style w:type="paragraph" w:styleId="CommentText">
    <w:name w:val="annotation text"/>
    <w:basedOn w:val="Normal"/>
    <w:link w:val="CommentTextChar"/>
    <w:uiPriority w:val="99"/>
    <w:semiHidden/>
    <w:unhideWhenUsed/>
    <w:rsid w:val="006D2623"/>
    <w:rPr>
      <w:sz w:val="20"/>
    </w:rPr>
  </w:style>
  <w:style w:type="character" w:customStyle="1" w:styleId="CommentTextChar">
    <w:name w:val="Comment Text Char"/>
    <w:basedOn w:val="DefaultParagraphFont"/>
    <w:link w:val="CommentText"/>
    <w:uiPriority w:val="99"/>
    <w:semiHidden/>
    <w:rsid w:val="006D262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D2623"/>
    <w:rPr>
      <w:b/>
      <w:bCs/>
    </w:rPr>
  </w:style>
  <w:style w:type="character" w:customStyle="1" w:styleId="CommentSubjectChar">
    <w:name w:val="Comment Subject Char"/>
    <w:basedOn w:val="CommentTextChar"/>
    <w:link w:val="CommentSubject"/>
    <w:uiPriority w:val="99"/>
    <w:semiHidden/>
    <w:rsid w:val="006D262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6D2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623"/>
    <w:rPr>
      <w:rFonts w:ascii="Segoe UI" w:eastAsia="Times New Roman" w:hAnsi="Segoe UI" w:cs="Segoe UI"/>
      <w:sz w:val="18"/>
      <w:szCs w:val="18"/>
      <w:lang w:eastAsia="en-GB"/>
    </w:rPr>
  </w:style>
  <w:style w:type="paragraph" w:styleId="Header">
    <w:name w:val="header"/>
    <w:basedOn w:val="Normal"/>
    <w:link w:val="HeaderChar"/>
    <w:uiPriority w:val="99"/>
    <w:unhideWhenUsed/>
    <w:rsid w:val="001403F7"/>
    <w:pPr>
      <w:tabs>
        <w:tab w:val="center" w:pos="4513"/>
        <w:tab w:val="right" w:pos="9026"/>
      </w:tabs>
    </w:pPr>
  </w:style>
  <w:style w:type="character" w:customStyle="1" w:styleId="HeaderChar">
    <w:name w:val="Header Char"/>
    <w:basedOn w:val="DefaultParagraphFont"/>
    <w:link w:val="Header"/>
    <w:uiPriority w:val="99"/>
    <w:rsid w:val="001403F7"/>
    <w:rPr>
      <w:rFonts w:ascii="Arial" w:eastAsia="Times New Roman" w:hAnsi="Arial" w:cs="Times New Roman"/>
      <w:szCs w:val="20"/>
      <w:lang w:eastAsia="en-GB"/>
    </w:rPr>
  </w:style>
  <w:style w:type="paragraph" w:styleId="Footer">
    <w:name w:val="footer"/>
    <w:basedOn w:val="Normal"/>
    <w:link w:val="FooterChar"/>
    <w:uiPriority w:val="99"/>
    <w:unhideWhenUsed/>
    <w:rsid w:val="001403F7"/>
    <w:pPr>
      <w:tabs>
        <w:tab w:val="center" w:pos="4513"/>
        <w:tab w:val="right" w:pos="9026"/>
      </w:tabs>
    </w:pPr>
  </w:style>
  <w:style w:type="character" w:customStyle="1" w:styleId="FooterChar">
    <w:name w:val="Footer Char"/>
    <w:basedOn w:val="DefaultParagraphFont"/>
    <w:link w:val="Footer"/>
    <w:uiPriority w:val="99"/>
    <w:rsid w:val="001403F7"/>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ACE68F8A73E14DAEE36ABD63DB61FC" ma:contentTypeVersion="10" ma:contentTypeDescription="Create a new document." ma:contentTypeScope="" ma:versionID="00e2d39c1829bae66eea368f3416f3eb">
  <xsd:schema xmlns:xsd="http://www.w3.org/2001/XMLSchema" xmlns:xs="http://www.w3.org/2001/XMLSchema" xmlns:p="http://schemas.microsoft.com/office/2006/metadata/properties" xmlns:ns3="4cc07259-a166-48d5-8f60-02b4258f4051" xmlns:ns4="583c436b-3b92-4992-8f2f-e337f2938e3b" targetNamespace="http://schemas.microsoft.com/office/2006/metadata/properties" ma:root="true" ma:fieldsID="3c5592d99500f58edc6db8cccef63d3a" ns3:_="" ns4:_="">
    <xsd:import namespace="4cc07259-a166-48d5-8f60-02b4258f4051"/>
    <xsd:import namespace="583c436b-3b92-4992-8f2f-e337f2938e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7259-a166-48d5-8f60-02b4258f4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c436b-3b92-4992-8f2f-e337f2938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9BA4D-1BFE-4F14-8782-D2E6E8C7A315}">
  <ds:schemaRefs>
    <ds:schemaRef ds:uri="http://schemas.microsoft.com/sharepoint/v3/contenttype/forms"/>
  </ds:schemaRefs>
</ds:datastoreItem>
</file>

<file path=customXml/itemProps2.xml><?xml version="1.0" encoding="utf-8"?>
<ds:datastoreItem xmlns:ds="http://schemas.openxmlformats.org/officeDocument/2006/customXml" ds:itemID="{28225159-A87C-48A8-904E-A271E1BCBCE7}">
  <ds:schemaRefs>
    <ds:schemaRef ds:uri="http://schemas.microsoft.com/office/2006/documentManagement/types"/>
    <ds:schemaRef ds:uri="4cc07259-a166-48d5-8f60-02b4258f4051"/>
    <ds:schemaRef ds:uri="http://schemas.microsoft.com/office/infopath/2007/PartnerControls"/>
    <ds:schemaRef ds:uri="http://schemas.microsoft.com/office/2006/metadata/properties"/>
    <ds:schemaRef ds:uri="583c436b-3b92-4992-8f2f-e337f2938e3b"/>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16FD7D9-46EC-4D49-8476-C8A6ACF2F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7259-a166-48d5-8f60-02b4258f4051"/>
    <ds:schemaRef ds:uri="583c436b-3b92-4992-8f2f-e337f2938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1CA2D-53C7-444D-9479-652AE1E5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8801371</Template>
  <TotalTime>2</TotalTime>
  <Pages>7</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Nugent</dc:creator>
  <cp:keywords/>
  <dc:description/>
  <cp:lastModifiedBy>Lizzie Nugent</cp:lastModifiedBy>
  <cp:revision>3</cp:revision>
  <dcterms:created xsi:type="dcterms:W3CDTF">2019-09-26T10:51:00Z</dcterms:created>
  <dcterms:modified xsi:type="dcterms:W3CDTF">2019-09-26T11:56:00Z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0x0101004BACE68F8A73E14DAEE36ABD63DB61FC</vt:lpwstr>
  </property>
</Properties>
</file>