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DAB7E" w14:textId="7FB54CD5" w:rsidR="00D3474D" w:rsidRDefault="00D3474D" w:rsidP="00D3474D">
      <w:pPr>
        <w:rPr>
          <w:rFonts w:ascii="Arial Bold" w:hAnsi="Arial Bold"/>
          <w:b/>
          <w:sz w:val="24"/>
          <w:szCs w:val="24"/>
        </w:rPr>
      </w:pPr>
    </w:p>
    <w:p w14:paraId="23F8BD8B" w14:textId="77777777" w:rsidR="00D3474D" w:rsidRDefault="00D3474D" w:rsidP="00D3474D">
      <w:pPr>
        <w:ind w:left="-720"/>
        <w:rPr>
          <w:rFonts w:cs="Arial"/>
          <w:b/>
          <w:sz w:val="32"/>
        </w:rPr>
      </w:pPr>
      <w:r>
        <w:rPr>
          <w:rFonts w:cs="Arial"/>
          <w:b/>
          <w:sz w:val="32"/>
        </w:rPr>
        <w:t>Note of Business Rates Retention Steering Group meeting</w:t>
      </w:r>
    </w:p>
    <w:p w14:paraId="188C3CE3" w14:textId="77777777" w:rsidR="00D3474D" w:rsidRDefault="00D3474D" w:rsidP="00D3474D">
      <w:pPr>
        <w:ind w:left="-720"/>
        <w:rPr>
          <w:rFonts w:cs="Arial"/>
          <w:sz w:val="18"/>
          <w:szCs w:val="18"/>
        </w:rPr>
      </w:pPr>
    </w:p>
    <w:tbl>
      <w:tblPr>
        <w:tblW w:w="9285" w:type="dxa"/>
        <w:tblInd w:w="-720" w:type="dxa"/>
        <w:tblLayout w:type="fixed"/>
        <w:tblLook w:val="04A0" w:firstRow="1" w:lastRow="0" w:firstColumn="1" w:lastColumn="0" w:noHBand="0" w:noVBand="1"/>
      </w:tblPr>
      <w:tblGrid>
        <w:gridCol w:w="2159"/>
        <w:gridCol w:w="7126"/>
      </w:tblGrid>
      <w:tr w:rsidR="00D3474D" w14:paraId="24023CA8" w14:textId="77777777" w:rsidTr="0091752B">
        <w:tc>
          <w:tcPr>
            <w:tcW w:w="2159" w:type="dxa"/>
            <w:tcBorders>
              <w:top w:val="single" w:sz="12" w:space="0" w:color="auto"/>
              <w:left w:val="nil"/>
              <w:bottom w:val="nil"/>
              <w:right w:val="nil"/>
            </w:tcBorders>
            <w:tcMar>
              <w:top w:w="115" w:type="dxa"/>
              <w:left w:w="115" w:type="dxa"/>
              <w:bottom w:w="0" w:type="dxa"/>
              <w:right w:w="115" w:type="dxa"/>
            </w:tcMar>
          </w:tcPr>
          <w:p w14:paraId="57089D91" w14:textId="77777777" w:rsidR="00D3474D" w:rsidRDefault="00D3474D" w:rsidP="00C43F20">
            <w:pPr>
              <w:rPr>
                <w:b/>
              </w:rPr>
            </w:pPr>
            <w:r>
              <w:rPr>
                <w:b/>
              </w:rPr>
              <w:t>Title:</w:t>
            </w:r>
          </w:p>
          <w:p w14:paraId="009199FF" w14:textId="77777777" w:rsidR="00D3474D" w:rsidRDefault="00D3474D" w:rsidP="00C43F20">
            <w:pPr>
              <w:rPr>
                <w:b/>
                <w:sz w:val="16"/>
                <w:szCs w:val="16"/>
              </w:rPr>
            </w:pPr>
          </w:p>
        </w:tc>
        <w:tc>
          <w:tcPr>
            <w:tcW w:w="7126" w:type="dxa"/>
            <w:tcBorders>
              <w:top w:val="single" w:sz="12" w:space="0" w:color="auto"/>
              <w:left w:val="nil"/>
              <w:bottom w:val="nil"/>
              <w:right w:val="nil"/>
            </w:tcBorders>
            <w:tcMar>
              <w:top w:w="115" w:type="dxa"/>
              <w:left w:w="115" w:type="dxa"/>
              <w:bottom w:w="0" w:type="dxa"/>
              <w:right w:w="115" w:type="dxa"/>
            </w:tcMar>
            <w:hideMark/>
          </w:tcPr>
          <w:p w14:paraId="6CCD88B3" w14:textId="77777777" w:rsidR="00D3474D" w:rsidRDefault="00D3474D" w:rsidP="00C43F20">
            <w:r>
              <w:rPr>
                <w:szCs w:val="40"/>
              </w:rPr>
              <w:t>Business Rates Retention Steering Group</w:t>
            </w:r>
          </w:p>
        </w:tc>
      </w:tr>
      <w:tr w:rsidR="0091752B" w14:paraId="72B3A21A" w14:textId="77777777" w:rsidTr="0091752B">
        <w:tc>
          <w:tcPr>
            <w:tcW w:w="2159" w:type="dxa"/>
          </w:tcPr>
          <w:p w14:paraId="04DDC131" w14:textId="77777777" w:rsidR="0091752B" w:rsidRDefault="0091752B" w:rsidP="0091752B">
            <w:pPr>
              <w:rPr>
                <w:b/>
              </w:rPr>
            </w:pPr>
            <w:r>
              <w:rPr>
                <w:b/>
              </w:rPr>
              <w:t>Date:</w:t>
            </w:r>
          </w:p>
          <w:p w14:paraId="4A492534" w14:textId="77777777" w:rsidR="0091752B" w:rsidRDefault="0091752B" w:rsidP="0091752B">
            <w:pPr>
              <w:rPr>
                <w:b/>
                <w:sz w:val="16"/>
                <w:szCs w:val="16"/>
              </w:rPr>
            </w:pPr>
          </w:p>
        </w:tc>
        <w:tc>
          <w:tcPr>
            <w:tcW w:w="7126" w:type="dxa"/>
            <w:hideMark/>
          </w:tcPr>
          <w:p w14:paraId="732522C4" w14:textId="316AD5B6" w:rsidR="0091752B" w:rsidRDefault="0091752B" w:rsidP="0091752B">
            <w:r>
              <w:rPr>
                <w:rFonts w:cs="Arial"/>
                <w:sz w:val="24"/>
              </w:rPr>
              <w:t>Tuesday 3 October 2017</w:t>
            </w:r>
          </w:p>
        </w:tc>
      </w:tr>
      <w:tr w:rsidR="00D3474D" w14:paraId="2B8E8B85" w14:textId="77777777" w:rsidTr="0091752B">
        <w:tc>
          <w:tcPr>
            <w:tcW w:w="2159" w:type="dxa"/>
            <w:hideMark/>
          </w:tcPr>
          <w:p w14:paraId="705EA4AC" w14:textId="77777777" w:rsidR="00D3474D" w:rsidRDefault="00D3474D" w:rsidP="00C43F20">
            <w:pPr>
              <w:rPr>
                <w:b/>
              </w:rPr>
            </w:pPr>
            <w:r>
              <w:rPr>
                <w:b/>
              </w:rPr>
              <w:t>Venue:</w:t>
            </w:r>
          </w:p>
        </w:tc>
        <w:tc>
          <w:tcPr>
            <w:tcW w:w="7126" w:type="dxa"/>
            <w:hideMark/>
          </w:tcPr>
          <w:p w14:paraId="79E0439B" w14:textId="629F4C7D" w:rsidR="00D3474D" w:rsidRDefault="0091752B" w:rsidP="00C43F20">
            <w:r w:rsidRPr="0091752B">
              <w:t xml:space="preserve">Rooms D&amp;E, </w:t>
            </w:r>
            <w:proofErr w:type="spellStart"/>
            <w:r w:rsidRPr="0091752B">
              <w:t>Layden</w:t>
            </w:r>
            <w:proofErr w:type="spellEnd"/>
            <w:r w:rsidRPr="0091752B">
              <w:t xml:space="preserve"> House, 76-86 </w:t>
            </w:r>
            <w:proofErr w:type="spellStart"/>
            <w:r w:rsidRPr="0091752B">
              <w:t>Turnmill</w:t>
            </w:r>
            <w:proofErr w:type="spellEnd"/>
            <w:r w:rsidRPr="0091752B">
              <w:t xml:space="preserve"> Street London EC1M 5LG</w:t>
            </w:r>
          </w:p>
        </w:tc>
      </w:tr>
      <w:tr w:rsidR="00D3474D" w14:paraId="0B0AC4D5" w14:textId="77777777" w:rsidTr="0091752B">
        <w:tc>
          <w:tcPr>
            <w:tcW w:w="2159" w:type="dxa"/>
            <w:tcBorders>
              <w:top w:val="nil"/>
              <w:left w:val="nil"/>
              <w:bottom w:val="single" w:sz="12" w:space="0" w:color="auto"/>
              <w:right w:val="nil"/>
            </w:tcBorders>
          </w:tcPr>
          <w:p w14:paraId="168B2AAF" w14:textId="77777777" w:rsidR="00D3474D" w:rsidRDefault="00D3474D" w:rsidP="00C43F20">
            <w:pPr>
              <w:rPr>
                <w:b/>
                <w:sz w:val="12"/>
                <w:szCs w:val="12"/>
              </w:rPr>
            </w:pPr>
          </w:p>
        </w:tc>
        <w:tc>
          <w:tcPr>
            <w:tcW w:w="7126" w:type="dxa"/>
            <w:tcBorders>
              <w:top w:val="nil"/>
              <w:left w:val="nil"/>
              <w:bottom w:val="single" w:sz="12" w:space="0" w:color="auto"/>
              <w:right w:val="nil"/>
            </w:tcBorders>
          </w:tcPr>
          <w:p w14:paraId="73F14C58" w14:textId="77777777" w:rsidR="00D3474D" w:rsidRDefault="00D3474D" w:rsidP="00C43F20">
            <w:pPr>
              <w:rPr>
                <w:sz w:val="12"/>
                <w:szCs w:val="12"/>
              </w:rPr>
            </w:pPr>
          </w:p>
        </w:tc>
      </w:tr>
    </w:tbl>
    <w:p w14:paraId="372DD268" w14:textId="77777777" w:rsidR="00D3474D" w:rsidRDefault="00D3474D" w:rsidP="00D3474D"/>
    <w:p w14:paraId="73EDAE01" w14:textId="77777777" w:rsidR="00D3474D" w:rsidRDefault="00D3474D" w:rsidP="00D3474D">
      <w:pPr>
        <w:ind w:left="-720"/>
        <w:rPr>
          <w:b/>
        </w:rPr>
      </w:pPr>
      <w:r>
        <w:rPr>
          <w:b/>
        </w:rPr>
        <w:t>Attendance</w:t>
      </w:r>
    </w:p>
    <w:p w14:paraId="00394E7C" w14:textId="77777777" w:rsidR="00D3474D" w:rsidRDefault="00D3474D" w:rsidP="00D3474D">
      <w:pPr>
        <w:ind w:left="-720"/>
      </w:pPr>
      <w:r>
        <w:t xml:space="preserve">An attendance list is attached as </w:t>
      </w:r>
      <w:r>
        <w:rPr>
          <w:b/>
          <w:u w:val="single"/>
        </w:rPr>
        <w:t>Appendix A</w:t>
      </w:r>
      <w:r>
        <w:t xml:space="preserve"> to this note.</w:t>
      </w:r>
    </w:p>
    <w:p w14:paraId="318490BD" w14:textId="77777777" w:rsidR="00D3474D" w:rsidRDefault="00D3474D" w:rsidP="00D3474D"/>
    <w:p w14:paraId="45B16426" w14:textId="77777777" w:rsidR="00D3474D" w:rsidRDefault="00D3474D" w:rsidP="00D3474D"/>
    <w:tbl>
      <w:tblPr>
        <w:tblW w:w="0" w:type="auto"/>
        <w:tblInd w:w="-720" w:type="dxa"/>
        <w:shd w:val="clear" w:color="auto" w:fill="BFBFBF"/>
        <w:tblLayout w:type="fixed"/>
        <w:tblCellMar>
          <w:top w:w="115" w:type="dxa"/>
          <w:left w:w="115" w:type="dxa"/>
          <w:right w:w="115" w:type="dxa"/>
        </w:tblCellMar>
        <w:tblLook w:val="04A0" w:firstRow="1" w:lastRow="0" w:firstColumn="1" w:lastColumn="0" w:noHBand="0" w:noVBand="1"/>
      </w:tblPr>
      <w:tblGrid>
        <w:gridCol w:w="720"/>
        <w:gridCol w:w="7488"/>
        <w:gridCol w:w="1584"/>
      </w:tblGrid>
      <w:tr w:rsidR="00D3474D" w14:paraId="4E5D2F48" w14:textId="77777777" w:rsidTr="00690340">
        <w:tc>
          <w:tcPr>
            <w:tcW w:w="720" w:type="dxa"/>
            <w:shd w:val="clear" w:color="auto" w:fill="BFBFBF"/>
            <w:hideMark/>
          </w:tcPr>
          <w:p w14:paraId="415BE497" w14:textId="77777777" w:rsidR="00D3474D" w:rsidRDefault="00D3474D" w:rsidP="00C43F20">
            <w:pPr>
              <w:rPr>
                <w:b/>
              </w:rPr>
            </w:pPr>
            <w:r>
              <w:rPr>
                <w:b/>
              </w:rPr>
              <w:t>Item</w:t>
            </w:r>
          </w:p>
        </w:tc>
        <w:tc>
          <w:tcPr>
            <w:tcW w:w="7488" w:type="dxa"/>
            <w:shd w:val="clear" w:color="auto" w:fill="BFBFBF"/>
            <w:hideMark/>
          </w:tcPr>
          <w:p w14:paraId="7D5D4613" w14:textId="77777777" w:rsidR="00D3474D" w:rsidRDefault="00D3474D" w:rsidP="00C43F20">
            <w:pPr>
              <w:widowControl w:val="0"/>
              <w:rPr>
                <w:b/>
              </w:rPr>
            </w:pPr>
            <w:r>
              <w:rPr>
                <w:b/>
              </w:rPr>
              <w:t>Decisions and actions</w:t>
            </w:r>
          </w:p>
        </w:tc>
        <w:tc>
          <w:tcPr>
            <w:tcW w:w="1584" w:type="dxa"/>
            <w:shd w:val="clear" w:color="auto" w:fill="BFBFBF"/>
            <w:hideMark/>
          </w:tcPr>
          <w:p w14:paraId="7E564334" w14:textId="77777777" w:rsidR="00D3474D" w:rsidRDefault="00D3474D" w:rsidP="00C43F20">
            <w:pPr>
              <w:widowControl w:val="0"/>
              <w:rPr>
                <w:b/>
                <w:bCs/>
              </w:rPr>
            </w:pPr>
          </w:p>
        </w:tc>
      </w:tr>
    </w:tbl>
    <w:p w14:paraId="5773B658" w14:textId="77777777" w:rsidR="00D3474D" w:rsidRDefault="00D3474D" w:rsidP="00D3474D">
      <w:pPr>
        <w:rPr>
          <w:vanish/>
        </w:rPr>
      </w:pPr>
      <w:r>
        <w:rPr>
          <w:vanish/>
        </w:rPr>
        <w:t>&lt;AI1&gt;</w:t>
      </w:r>
    </w:p>
    <w:p w14:paraId="0D2733A6" w14:textId="77777777" w:rsidR="00D3474D" w:rsidRDefault="00D3474D" w:rsidP="00D3474D">
      <w:pPr>
        <w:rPr>
          <w:vanish/>
        </w:rPr>
      </w:pPr>
      <w:r>
        <w:rPr>
          <w:vanish/>
        </w:rPr>
        <w:t>&lt;/AI1&gt;</w:t>
      </w:r>
    </w:p>
    <w:p w14:paraId="33F52D70" w14:textId="77777777" w:rsidR="00D3474D" w:rsidRDefault="00D3474D" w:rsidP="00D3474D">
      <w:pPr>
        <w:rPr>
          <w:vanish/>
        </w:rPr>
      </w:pPr>
      <w:r>
        <w:rPr>
          <w:vanish/>
        </w:rPr>
        <w:t>&lt;AI2&gt;</w:t>
      </w:r>
    </w:p>
    <w:p w14:paraId="5FDCFC20" w14:textId="77777777" w:rsidR="00D3474D" w:rsidRDefault="00D3474D" w:rsidP="00D3474D">
      <w:pPr>
        <w:rPr>
          <w:vanish/>
        </w:rPr>
      </w:pPr>
      <w:r>
        <w:rPr>
          <w:vanish/>
        </w:rPr>
        <w:t>&lt;/AI2&gt;</w:t>
      </w:r>
    </w:p>
    <w:p w14:paraId="3BC13AAE" w14:textId="77777777" w:rsidR="00D3474D" w:rsidRDefault="00D3474D" w:rsidP="00D3474D">
      <w:pPr>
        <w:rPr>
          <w:vanish/>
        </w:rPr>
      </w:pPr>
      <w:r>
        <w:rPr>
          <w:vanish/>
        </w:rPr>
        <w:t>&lt;AI3&gt;</w:t>
      </w:r>
    </w:p>
    <w:tbl>
      <w:tblPr>
        <w:tblW w:w="9792" w:type="dxa"/>
        <w:tblInd w:w="-720" w:type="dxa"/>
        <w:tblLayout w:type="fixed"/>
        <w:tblCellMar>
          <w:top w:w="115" w:type="dxa"/>
          <w:left w:w="115" w:type="dxa"/>
          <w:right w:w="115" w:type="dxa"/>
        </w:tblCellMar>
        <w:tblLook w:val="04A0" w:firstRow="1" w:lastRow="0" w:firstColumn="1" w:lastColumn="0" w:noHBand="0" w:noVBand="1"/>
      </w:tblPr>
      <w:tblGrid>
        <w:gridCol w:w="720"/>
        <w:gridCol w:w="8789"/>
        <w:gridCol w:w="283"/>
      </w:tblGrid>
      <w:tr w:rsidR="00D3474D" w14:paraId="3A150AB6" w14:textId="77777777" w:rsidTr="00690340">
        <w:tc>
          <w:tcPr>
            <w:tcW w:w="720" w:type="dxa"/>
            <w:hideMark/>
          </w:tcPr>
          <w:p w14:paraId="7EF503FE" w14:textId="7A6FA95C" w:rsidR="00D3474D" w:rsidRPr="0091752B" w:rsidRDefault="00D3474D" w:rsidP="0091752B">
            <w:pPr>
              <w:rPr>
                <w:b/>
                <w:szCs w:val="22"/>
              </w:rPr>
            </w:pPr>
            <w:r>
              <w:rPr>
                <w:szCs w:val="22"/>
              </w:rPr>
              <w:t xml:space="preserve"> </w:t>
            </w:r>
            <w:r w:rsidR="0091752B" w:rsidRPr="0091752B">
              <w:rPr>
                <w:b/>
                <w:szCs w:val="22"/>
              </w:rPr>
              <w:t>1</w:t>
            </w:r>
          </w:p>
        </w:tc>
        <w:tc>
          <w:tcPr>
            <w:tcW w:w="8789" w:type="dxa"/>
            <w:hideMark/>
          </w:tcPr>
          <w:p w14:paraId="18A71EDD" w14:textId="77777777" w:rsidR="00D3474D" w:rsidRDefault="00197550" w:rsidP="00C43F20">
            <w:pPr>
              <w:widowControl w:val="0"/>
              <w:rPr>
                <w:b/>
                <w:szCs w:val="22"/>
              </w:rPr>
            </w:pPr>
            <w:r w:rsidRPr="00197550">
              <w:rPr>
                <w:b/>
                <w:szCs w:val="22"/>
              </w:rPr>
              <w:t>Welcome</w:t>
            </w:r>
          </w:p>
          <w:p w14:paraId="5E57B3DD" w14:textId="77777777" w:rsidR="00C06B30" w:rsidRDefault="00C06B30" w:rsidP="00C43F20">
            <w:pPr>
              <w:widowControl w:val="0"/>
              <w:rPr>
                <w:b/>
                <w:szCs w:val="22"/>
              </w:rPr>
            </w:pPr>
          </w:p>
          <w:p w14:paraId="659C0C3C" w14:textId="1729363C" w:rsidR="00C06B30" w:rsidRDefault="0091752B" w:rsidP="00C43F20">
            <w:pPr>
              <w:widowControl w:val="0"/>
              <w:rPr>
                <w:szCs w:val="22"/>
              </w:rPr>
            </w:pPr>
            <w:r>
              <w:rPr>
                <w:szCs w:val="22"/>
              </w:rPr>
              <w:t>Alex Skinner</w:t>
            </w:r>
            <w:r w:rsidR="00C06B30">
              <w:rPr>
                <w:szCs w:val="22"/>
              </w:rPr>
              <w:t xml:space="preserve"> welcomed Steering Group members to the meeting. </w:t>
            </w:r>
          </w:p>
          <w:p w14:paraId="14464748" w14:textId="77777777" w:rsidR="0091752B" w:rsidRDefault="0091752B" w:rsidP="00C43F20">
            <w:pPr>
              <w:widowControl w:val="0"/>
              <w:rPr>
                <w:szCs w:val="22"/>
              </w:rPr>
            </w:pPr>
          </w:p>
          <w:p w14:paraId="67294FE6" w14:textId="203D5509" w:rsidR="0091752B" w:rsidRPr="00C06B30" w:rsidRDefault="0091752B" w:rsidP="00C43F20">
            <w:pPr>
              <w:widowControl w:val="0"/>
              <w:rPr>
                <w:szCs w:val="22"/>
              </w:rPr>
            </w:pPr>
            <w:r>
              <w:rPr>
                <w:szCs w:val="22"/>
              </w:rPr>
              <w:t>He thanked those members who have left the group for their contribution and welcomed new members representing DCN, SLT, SUT and SDCT.</w:t>
            </w:r>
          </w:p>
          <w:p w14:paraId="2E8E49AB" w14:textId="77777777" w:rsidR="00D3474D" w:rsidRPr="00197550" w:rsidRDefault="00D3474D" w:rsidP="00C43F20">
            <w:pPr>
              <w:widowControl w:val="0"/>
              <w:rPr>
                <w:b/>
              </w:rPr>
            </w:pPr>
            <w:r w:rsidRPr="00197550">
              <w:rPr>
                <w:b/>
              </w:rPr>
              <w:t xml:space="preserve"> </w:t>
            </w:r>
          </w:p>
        </w:tc>
        <w:tc>
          <w:tcPr>
            <w:tcW w:w="283" w:type="dxa"/>
          </w:tcPr>
          <w:p w14:paraId="23ACDFDE" w14:textId="77777777" w:rsidR="00D3474D" w:rsidRDefault="00D3474D" w:rsidP="00C43F20">
            <w:pPr>
              <w:widowControl w:val="0"/>
              <w:rPr>
                <w:bCs/>
              </w:rPr>
            </w:pPr>
          </w:p>
        </w:tc>
      </w:tr>
      <w:tr w:rsidR="00D3474D" w:rsidRPr="00197550" w14:paraId="70C15EC7" w14:textId="77777777" w:rsidTr="00690340">
        <w:tc>
          <w:tcPr>
            <w:tcW w:w="720" w:type="dxa"/>
          </w:tcPr>
          <w:p w14:paraId="5448B165" w14:textId="77777777" w:rsidR="00197550" w:rsidRPr="00197550" w:rsidRDefault="00197550" w:rsidP="008C2D41">
            <w:pPr>
              <w:rPr>
                <w:b/>
                <w:szCs w:val="22"/>
              </w:rPr>
            </w:pPr>
            <w:r w:rsidRPr="00197550">
              <w:rPr>
                <w:b/>
                <w:szCs w:val="22"/>
              </w:rPr>
              <w:t>2</w:t>
            </w:r>
          </w:p>
          <w:p w14:paraId="03CA6243" w14:textId="77777777" w:rsidR="008B20E8" w:rsidRPr="00197550" w:rsidRDefault="008B20E8" w:rsidP="008A76B3">
            <w:pPr>
              <w:rPr>
                <w:szCs w:val="22"/>
              </w:rPr>
            </w:pPr>
          </w:p>
          <w:p w14:paraId="06284D68" w14:textId="77777777" w:rsidR="008B20E8" w:rsidRPr="00197550" w:rsidRDefault="008B20E8" w:rsidP="008A76B3">
            <w:pPr>
              <w:rPr>
                <w:szCs w:val="22"/>
              </w:rPr>
            </w:pPr>
          </w:p>
          <w:p w14:paraId="532E3093" w14:textId="77777777" w:rsidR="008B20E8" w:rsidRPr="00197550" w:rsidRDefault="008B20E8" w:rsidP="008B20E8">
            <w:pPr>
              <w:rPr>
                <w:szCs w:val="22"/>
              </w:rPr>
            </w:pPr>
          </w:p>
          <w:p w14:paraId="2E0A4E2C" w14:textId="77777777" w:rsidR="00D3474D" w:rsidRPr="00197550" w:rsidRDefault="00D3474D" w:rsidP="008B20E8">
            <w:pPr>
              <w:rPr>
                <w:szCs w:val="22"/>
              </w:rPr>
            </w:pPr>
          </w:p>
        </w:tc>
        <w:tc>
          <w:tcPr>
            <w:tcW w:w="8789" w:type="dxa"/>
          </w:tcPr>
          <w:p w14:paraId="5C65AE7F" w14:textId="77777777" w:rsidR="00C06B30" w:rsidRDefault="00197550" w:rsidP="00197550">
            <w:pPr>
              <w:rPr>
                <w:b/>
                <w:szCs w:val="22"/>
              </w:rPr>
            </w:pPr>
            <w:r w:rsidRPr="00197550">
              <w:rPr>
                <w:b/>
                <w:szCs w:val="22"/>
              </w:rPr>
              <w:t>Minutes of th</w:t>
            </w:r>
            <w:r w:rsidR="00C06B30">
              <w:rPr>
                <w:b/>
                <w:szCs w:val="22"/>
              </w:rPr>
              <w:t>e previous meeting</w:t>
            </w:r>
          </w:p>
          <w:p w14:paraId="43E42709" w14:textId="77777777" w:rsidR="00C06B30" w:rsidRDefault="00C06B30" w:rsidP="00197550">
            <w:pPr>
              <w:rPr>
                <w:b/>
                <w:szCs w:val="22"/>
              </w:rPr>
            </w:pPr>
          </w:p>
          <w:p w14:paraId="73BA90F7" w14:textId="05EF6550" w:rsidR="00797B5A" w:rsidRPr="00C06B30" w:rsidRDefault="0091752B" w:rsidP="00797B5A">
            <w:pPr>
              <w:rPr>
                <w:szCs w:val="22"/>
              </w:rPr>
            </w:pPr>
            <w:r>
              <w:rPr>
                <w:szCs w:val="22"/>
              </w:rPr>
              <w:t xml:space="preserve">The Steering Group approved the minutes of the previous meeting. </w:t>
            </w:r>
          </w:p>
        </w:tc>
        <w:tc>
          <w:tcPr>
            <w:tcW w:w="283" w:type="dxa"/>
          </w:tcPr>
          <w:p w14:paraId="575847A5" w14:textId="77777777" w:rsidR="00D3474D" w:rsidRPr="00197550" w:rsidRDefault="00D3474D" w:rsidP="00C06B30">
            <w:pPr>
              <w:widowControl w:val="0"/>
              <w:ind w:left="2880"/>
              <w:jc w:val="center"/>
              <w:rPr>
                <w:bCs/>
                <w:szCs w:val="22"/>
              </w:rPr>
            </w:pPr>
          </w:p>
        </w:tc>
      </w:tr>
    </w:tbl>
    <w:p w14:paraId="455DF054" w14:textId="01D488FB" w:rsidR="00D3474D" w:rsidRPr="00197550" w:rsidRDefault="00D3474D" w:rsidP="00D3474D">
      <w:pPr>
        <w:rPr>
          <w:vanish/>
          <w:szCs w:val="22"/>
        </w:rPr>
      </w:pPr>
      <w:r w:rsidRPr="00197550">
        <w:rPr>
          <w:vanish/>
          <w:szCs w:val="22"/>
        </w:rPr>
        <w:t>&lt;/AI3&gt;</w:t>
      </w:r>
    </w:p>
    <w:p w14:paraId="3FD9A00E" w14:textId="77777777" w:rsidR="00D3474D" w:rsidRPr="00197550" w:rsidRDefault="00D3474D" w:rsidP="00D3474D">
      <w:pPr>
        <w:rPr>
          <w:vanish/>
          <w:szCs w:val="22"/>
        </w:rPr>
      </w:pPr>
      <w:r w:rsidRPr="00197550">
        <w:rPr>
          <w:vanish/>
          <w:szCs w:val="22"/>
        </w:rPr>
        <w:t>&lt;AI4&gt;</w:t>
      </w:r>
    </w:p>
    <w:p w14:paraId="1ADE1540" w14:textId="77777777" w:rsidR="00D3474D" w:rsidRPr="00197550" w:rsidRDefault="00D3474D" w:rsidP="00D3474D">
      <w:pPr>
        <w:rPr>
          <w:vanish/>
          <w:szCs w:val="22"/>
        </w:rPr>
      </w:pPr>
      <w:r w:rsidRPr="00197550">
        <w:rPr>
          <w:vanish/>
          <w:szCs w:val="22"/>
        </w:rPr>
        <w:t>&lt;/AI4&gt;</w:t>
      </w:r>
    </w:p>
    <w:p w14:paraId="54E1FBC2" w14:textId="77777777" w:rsidR="00D3474D" w:rsidRPr="00197550" w:rsidRDefault="00D3474D" w:rsidP="00D3474D">
      <w:pPr>
        <w:rPr>
          <w:vanish/>
          <w:szCs w:val="22"/>
        </w:rPr>
      </w:pPr>
      <w:r w:rsidRPr="00197550">
        <w:rPr>
          <w:vanish/>
          <w:szCs w:val="22"/>
        </w:rPr>
        <w:t>&lt;AI5&gt;</w:t>
      </w:r>
    </w:p>
    <w:tbl>
      <w:tblPr>
        <w:tblW w:w="9792" w:type="dxa"/>
        <w:tblInd w:w="-720" w:type="dxa"/>
        <w:tblLayout w:type="fixed"/>
        <w:tblCellMar>
          <w:top w:w="115" w:type="dxa"/>
          <w:left w:w="115" w:type="dxa"/>
          <w:right w:w="115" w:type="dxa"/>
        </w:tblCellMar>
        <w:tblLook w:val="04A0" w:firstRow="1" w:lastRow="0" w:firstColumn="1" w:lastColumn="0" w:noHBand="0" w:noVBand="1"/>
      </w:tblPr>
      <w:tblGrid>
        <w:gridCol w:w="720"/>
        <w:gridCol w:w="8789"/>
        <w:gridCol w:w="283"/>
      </w:tblGrid>
      <w:tr w:rsidR="00D3474D" w:rsidRPr="00197550" w14:paraId="04F14740" w14:textId="77777777" w:rsidTr="00690340">
        <w:tc>
          <w:tcPr>
            <w:tcW w:w="720" w:type="dxa"/>
            <w:hideMark/>
          </w:tcPr>
          <w:p w14:paraId="7C843490" w14:textId="77777777" w:rsidR="00D3474D" w:rsidRPr="00197550" w:rsidRDefault="00197550" w:rsidP="00F87FE6">
            <w:pPr>
              <w:rPr>
                <w:b/>
                <w:szCs w:val="22"/>
              </w:rPr>
            </w:pPr>
            <w:r>
              <w:rPr>
                <w:b/>
                <w:szCs w:val="22"/>
              </w:rPr>
              <w:t>3</w:t>
            </w:r>
          </w:p>
        </w:tc>
        <w:tc>
          <w:tcPr>
            <w:tcW w:w="8789" w:type="dxa"/>
            <w:hideMark/>
          </w:tcPr>
          <w:p w14:paraId="42D931B3" w14:textId="6D9DA0F6" w:rsidR="00C06B30" w:rsidRDefault="0091752B" w:rsidP="00C43F20">
            <w:pPr>
              <w:widowControl w:val="0"/>
              <w:rPr>
                <w:b/>
                <w:szCs w:val="22"/>
              </w:rPr>
            </w:pPr>
            <w:r w:rsidRPr="0091752B">
              <w:rPr>
                <w:b/>
                <w:szCs w:val="22"/>
              </w:rPr>
              <w:t>Next steps on 100% Business Rates Retention including proposed forward work plan</w:t>
            </w:r>
          </w:p>
          <w:p w14:paraId="533500F1" w14:textId="77777777" w:rsidR="0091752B" w:rsidRDefault="0091752B" w:rsidP="00C43F20">
            <w:pPr>
              <w:widowControl w:val="0"/>
              <w:rPr>
                <w:szCs w:val="22"/>
              </w:rPr>
            </w:pPr>
          </w:p>
          <w:p w14:paraId="21548076" w14:textId="644A6E12" w:rsidR="00C06B30" w:rsidRDefault="007135F2" w:rsidP="00C43F20">
            <w:pPr>
              <w:widowControl w:val="0"/>
              <w:rPr>
                <w:szCs w:val="22"/>
              </w:rPr>
            </w:pPr>
            <w:r>
              <w:rPr>
                <w:szCs w:val="22"/>
              </w:rPr>
              <w:t>The paper was introduced by Sophie Broadfield (DCLG)</w:t>
            </w:r>
            <w:r w:rsidR="00C06B30">
              <w:rPr>
                <w:szCs w:val="22"/>
              </w:rPr>
              <w:t xml:space="preserve">. </w:t>
            </w:r>
          </w:p>
          <w:p w14:paraId="33C727D7" w14:textId="6BCCF73A" w:rsidR="00C60A22" w:rsidRDefault="00C60A22" w:rsidP="00C60A22">
            <w:pPr>
              <w:widowControl w:val="0"/>
              <w:tabs>
                <w:tab w:val="left" w:pos="5295"/>
              </w:tabs>
              <w:rPr>
                <w:szCs w:val="22"/>
              </w:rPr>
            </w:pPr>
            <w:r>
              <w:rPr>
                <w:szCs w:val="22"/>
              </w:rPr>
              <w:tab/>
            </w:r>
          </w:p>
          <w:p w14:paraId="7A50227E" w14:textId="53B136C2" w:rsidR="00C60A22" w:rsidRDefault="00C60A22" w:rsidP="00C43F20">
            <w:pPr>
              <w:widowControl w:val="0"/>
              <w:rPr>
                <w:szCs w:val="22"/>
              </w:rPr>
            </w:pPr>
            <w:r>
              <w:rPr>
                <w:szCs w:val="22"/>
              </w:rPr>
              <w:t>Following the election, the government did not continue wit</w:t>
            </w:r>
            <w:r w:rsidR="00C37545">
              <w:rPr>
                <w:szCs w:val="22"/>
              </w:rPr>
              <w:t>h the Local Government Finance B</w:t>
            </w:r>
            <w:r>
              <w:rPr>
                <w:szCs w:val="22"/>
              </w:rPr>
              <w:t>ill and so</w:t>
            </w:r>
            <w:r w:rsidR="00C37545" w:rsidRPr="00C37545">
              <w:rPr>
                <w:szCs w:val="22"/>
              </w:rPr>
              <w:t xml:space="preserve"> they would not be able to move ahead with the infrastructure levy.</w:t>
            </w:r>
            <w:r w:rsidR="00C37545">
              <w:rPr>
                <w:szCs w:val="22"/>
              </w:rPr>
              <w:t xml:space="preserve"> T</w:t>
            </w:r>
            <w:r>
              <w:rPr>
                <w:szCs w:val="22"/>
              </w:rPr>
              <w:t xml:space="preserve">here is a different focus on how local areas have control over the money they raise. </w:t>
            </w:r>
          </w:p>
          <w:p w14:paraId="2B1F0E5D" w14:textId="77777777" w:rsidR="00C60A22" w:rsidRDefault="00C60A22" w:rsidP="00C43F20">
            <w:pPr>
              <w:widowControl w:val="0"/>
              <w:rPr>
                <w:szCs w:val="22"/>
              </w:rPr>
            </w:pPr>
          </w:p>
          <w:p w14:paraId="23A26605" w14:textId="51F6BA14" w:rsidR="00C60A22" w:rsidRDefault="00C60A22" w:rsidP="00C43F20">
            <w:pPr>
              <w:widowControl w:val="0"/>
              <w:rPr>
                <w:szCs w:val="22"/>
              </w:rPr>
            </w:pPr>
            <w:r>
              <w:rPr>
                <w:szCs w:val="22"/>
              </w:rPr>
              <w:t xml:space="preserve">Pilots will be a way to achieve this in some places. </w:t>
            </w:r>
          </w:p>
          <w:p w14:paraId="014D7D8B" w14:textId="77777777" w:rsidR="00C60A22" w:rsidRDefault="00C60A22" w:rsidP="00C43F20">
            <w:pPr>
              <w:widowControl w:val="0"/>
              <w:rPr>
                <w:szCs w:val="22"/>
              </w:rPr>
            </w:pPr>
          </w:p>
          <w:p w14:paraId="45484B62" w14:textId="77777777" w:rsidR="00C60A22" w:rsidRDefault="00C60A22" w:rsidP="00C43F20">
            <w:pPr>
              <w:widowControl w:val="0"/>
              <w:rPr>
                <w:szCs w:val="22"/>
              </w:rPr>
            </w:pPr>
            <w:r>
              <w:rPr>
                <w:szCs w:val="22"/>
              </w:rPr>
              <w:t xml:space="preserve">DCLG have taken legal advice and the assessment is that setting the central share to 0% would be a misuse of the provision. There may be opportunities to raise the local share above 50% but not to 100%. </w:t>
            </w:r>
          </w:p>
          <w:p w14:paraId="459BFCF4" w14:textId="77777777" w:rsidR="00C60A22" w:rsidRDefault="00C60A22" w:rsidP="00C43F20">
            <w:pPr>
              <w:widowControl w:val="0"/>
              <w:rPr>
                <w:szCs w:val="22"/>
              </w:rPr>
            </w:pPr>
          </w:p>
          <w:p w14:paraId="1CA0DE2C" w14:textId="3F21669B" w:rsidR="00BB6CBD" w:rsidRDefault="00C60A22" w:rsidP="00C43F20">
            <w:pPr>
              <w:widowControl w:val="0"/>
              <w:rPr>
                <w:szCs w:val="22"/>
              </w:rPr>
            </w:pPr>
            <w:r>
              <w:rPr>
                <w:szCs w:val="22"/>
              </w:rPr>
              <w:t xml:space="preserve">There is interest in developing a </w:t>
            </w:r>
            <w:r w:rsidR="00BB6CBD">
              <w:rPr>
                <w:szCs w:val="22"/>
              </w:rPr>
              <w:t>sensible</w:t>
            </w:r>
            <w:r>
              <w:rPr>
                <w:szCs w:val="22"/>
              </w:rPr>
              <w:t xml:space="preserve"> set of principles going forward</w:t>
            </w:r>
            <w:r w:rsidR="00BB6CBD">
              <w:rPr>
                <w:szCs w:val="22"/>
              </w:rPr>
              <w:t>, continuing the plan for a reset and new baselines while learning from pilots</w:t>
            </w:r>
            <w:r w:rsidR="00C37545">
              <w:rPr>
                <w:szCs w:val="22"/>
              </w:rPr>
              <w:t xml:space="preserve"> and </w:t>
            </w:r>
            <w:r w:rsidR="00C37545" w:rsidRPr="00C37545">
              <w:rPr>
                <w:szCs w:val="22"/>
              </w:rPr>
              <w:t>to look at what can be done i</w:t>
            </w:r>
            <w:r w:rsidR="00D66FB8">
              <w:rPr>
                <w:szCs w:val="22"/>
              </w:rPr>
              <w:t>mmediately and in the longer term.</w:t>
            </w:r>
          </w:p>
          <w:p w14:paraId="581ACF5E" w14:textId="2F9C4059" w:rsidR="00C06B30" w:rsidRPr="00BB6CBD" w:rsidRDefault="00C06B30" w:rsidP="00C06B30">
            <w:pPr>
              <w:widowControl w:val="0"/>
              <w:rPr>
                <w:szCs w:val="22"/>
              </w:rPr>
            </w:pPr>
          </w:p>
          <w:p w14:paraId="602389BD" w14:textId="78D0C871" w:rsidR="00C06B30" w:rsidRPr="007135F2" w:rsidRDefault="003B26D5" w:rsidP="00C06B30">
            <w:pPr>
              <w:widowControl w:val="0"/>
              <w:rPr>
                <w:szCs w:val="22"/>
              </w:rPr>
            </w:pPr>
            <w:r w:rsidRPr="007135F2">
              <w:rPr>
                <w:szCs w:val="22"/>
              </w:rPr>
              <w:t>The Steerin</w:t>
            </w:r>
            <w:r w:rsidR="00F23AA0" w:rsidRPr="007135F2">
              <w:rPr>
                <w:szCs w:val="22"/>
              </w:rPr>
              <w:t>g Group discussed:</w:t>
            </w:r>
          </w:p>
          <w:p w14:paraId="1FF5F41A" w14:textId="77777777" w:rsidR="00F23AA0" w:rsidRDefault="00F23AA0" w:rsidP="00C06B30">
            <w:pPr>
              <w:widowControl w:val="0"/>
              <w:rPr>
                <w:b/>
                <w:szCs w:val="22"/>
              </w:rPr>
            </w:pPr>
          </w:p>
          <w:p w14:paraId="1C4CD4D5" w14:textId="166D91E4" w:rsidR="000F5FB4" w:rsidRDefault="009307AB" w:rsidP="007135F2">
            <w:pPr>
              <w:pStyle w:val="ListParagraph"/>
              <w:numPr>
                <w:ilvl w:val="0"/>
                <w:numId w:val="35"/>
              </w:numPr>
              <w:spacing w:after="240"/>
              <w:rPr>
                <w:szCs w:val="22"/>
              </w:rPr>
            </w:pPr>
            <w:r>
              <w:rPr>
                <w:szCs w:val="22"/>
              </w:rPr>
              <w:t xml:space="preserve">The </w:t>
            </w:r>
            <w:r w:rsidR="00BB6CBD">
              <w:rPr>
                <w:szCs w:val="22"/>
              </w:rPr>
              <w:t>links with Council Tax and other items on the government agenda.</w:t>
            </w:r>
          </w:p>
          <w:p w14:paraId="53D31796" w14:textId="003EBF05" w:rsidR="00BB6CBD" w:rsidRDefault="00BB6CBD" w:rsidP="007135F2">
            <w:pPr>
              <w:pStyle w:val="ListParagraph"/>
              <w:numPr>
                <w:ilvl w:val="0"/>
                <w:numId w:val="35"/>
              </w:numPr>
              <w:spacing w:after="240"/>
              <w:rPr>
                <w:szCs w:val="22"/>
              </w:rPr>
            </w:pPr>
            <w:r>
              <w:rPr>
                <w:szCs w:val="22"/>
              </w:rPr>
              <w:t>Timescales</w:t>
            </w:r>
          </w:p>
          <w:p w14:paraId="0232C3DD" w14:textId="79180DDE" w:rsidR="00BB6CBD" w:rsidRDefault="00BB6CBD" w:rsidP="007135F2">
            <w:pPr>
              <w:pStyle w:val="ListParagraph"/>
              <w:numPr>
                <w:ilvl w:val="0"/>
                <w:numId w:val="35"/>
              </w:numPr>
              <w:spacing w:after="240"/>
              <w:rPr>
                <w:szCs w:val="22"/>
              </w:rPr>
            </w:pPr>
            <w:r>
              <w:rPr>
                <w:szCs w:val="22"/>
              </w:rPr>
              <w:t xml:space="preserve">The future role of business rates and property based tax. </w:t>
            </w:r>
          </w:p>
          <w:p w14:paraId="2AD8E979" w14:textId="7A45BF82" w:rsidR="00BB6CBD" w:rsidRDefault="00BB6CBD" w:rsidP="007135F2">
            <w:pPr>
              <w:pStyle w:val="ListParagraph"/>
              <w:numPr>
                <w:ilvl w:val="0"/>
                <w:numId w:val="35"/>
              </w:numPr>
              <w:spacing w:after="240"/>
              <w:rPr>
                <w:szCs w:val="22"/>
              </w:rPr>
            </w:pPr>
            <w:r>
              <w:rPr>
                <w:szCs w:val="22"/>
              </w:rPr>
              <w:t>The role of the steering group</w:t>
            </w:r>
          </w:p>
          <w:p w14:paraId="60D0D0A4" w14:textId="7BF7696C" w:rsidR="00BB6CBD" w:rsidRDefault="00BB6CBD" w:rsidP="007135F2">
            <w:pPr>
              <w:pStyle w:val="ListParagraph"/>
              <w:numPr>
                <w:ilvl w:val="0"/>
                <w:numId w:val="35"/>
              </w:numPr>
              <w:spacing w:after="240"/>
              <w:rPr>
                <w:szCs w:val="22"/>
              </w:rPr>
            </w:pPr>
            <w:r>
              <w:rPr>
                <w:szCs w:val="22"/>
              </w:rPr>
              <w:lastRenderedPageBreak/>
              <w:t xml:space="preserve">Joint work on business rates avoidance. </w:t>
            </w:r>
          </w:p>
          <w:p w14:paraId="5D944779" w14:textId="1414EF9F" w:rsidR="00BB6CBD" w:rsidRDefault="00BB6CBD" w:rsidP="00BB6CBD">
            <w:pPr>
              <w:spacing w:after="240"/>
              <w:rPr>
                <w:b/>
                <w:szCs w:val="22"/>
              </w:rPr>
            </w:pPr>
            <w:r>
              <w:rPr>
                <w:b/>
                <w:szCs w:val="22"/>
              </w:rPr>
              <w:t>Action</w:t>
            </w:r>
          </w:p>
          <w:p w14:paraId="70838E16" w14:textId="645B1402" w:rsidR="00BB6CBD" w:rsidRPr="00BB6CBD" w:rsidRDefault="00BB6CBD" w:rsidP="00BB6CBD">
            <w:pPr>
              <w:spacing w:after="240"/>
              <w:rPr>
                <w:szCs w:val="22"/>
              </w:rPr>
            </w:pPr>
            <w:r>
              <w:rPr>
                <w:szCs w:val="22"/>
              </w:rPr>
              <w:t xml:space="preserve">Work on further business rates retention is to be brought to this group, following one more meeting of the working group. </w:t>
            </w:r>
          </w:p>
          <w:p w14:paraId="4AFB1C17" w14:textId="77777777" w:rsidR="00D3474D" w:rsidRPr="00197550" w:rsidRDefault="00D3474D" w:rsidP="00197550">
            <w:pPr>
              <w:widowControl w:val="0"/>
              <w:ind w:hanging="2880"/>
              <w:rPr>
                <w:b/>
                <w:szCs w:val="22"/>
              </w:rPr>
            </w:pPr>
            <w:r w:rsidRPr="00197550">
              <w:rPr>
                <w:b/>
                <w:szCs w:val="22"/>
              </w:rPr>
              <w:t xml:space="preserve"> </w:t>
            </w:r>
          </w:p>
        </w:tc>
        <w:tc>
          <w:tcPr>
            <w:tcW w:w="283" w:type="dxa"/>
          </w:tcPr>
          <w:p w14:paraId="1E718B14" w14:textId="77777777" w:rsidR="00D3474D" w:rsidRPr="00197550" w:rsidRDefault="00D3474D" w:rsidP="00C43F20">
            <w:pPr>
              <w:widowControl w:val="0"/>
              <w:rPr>
                <w:bCs/>
                <w:szCs w:val="22"/>
              </w:rPr>
            </w:pPr>
          </w:p>
        </w:tc>
      </w:tr>
    </w:tbl>
    <w:p w14:paraId="37471294" w14:textId="21B4657E" w:rsidR="00D3474D" w:rsidRPr="00197550" w:rsidRDefault="00D3474D" w:rsidP="00D3474D">
      <w:pPr>
        <w:rPr>
          <w:vanish/>
          <w:szCs w:val="22"/>
        </w:rPr>
      </w:pPr>
      <w:r w:rsidRPr="00197550">
        <w:rPr>
          <w:vanish/>
          <w:szCs w:val="22"/>
        </w:rPr>
        <w:lastRenderedPageBreak/>
        <w:t>&lt;/AI5&gt;</w:t>
      </w:r>
    </w:p>
    <w:p w14:paraId="3CA097AD" w14:textId="77777777" w:rsidR="00D3474D" w:rsidRPr="00197550" w:rsidRDefault="00D3474D" w:rsidP="00D3474D">
      <w:pPr>
        <w:rPr>
          <w:vanish/>
          <w:szCs w:val="22"/>
        </w:rPr>
      </w:pPr>
      <w:r w:rsidRPr="00197550">
        <w:rPr>
          <w:vanish/>
          <w:szCs w:val="22"/>
        </w:rPr>
        <w:t>&lt;AI6&gt;</w:t>
      </w:r>
    </w:p>
    <w:tbl>
      <w:tblPr>
        <w:tblW w:w="9792" w:type="dxa"/>
        <w:tblInd w:w="-720" w:type="dxa"/>
        <w:tblLayout w:type="fixed"/>
        <w:tblCellMar>
          <w:top w:w="115" w:type="dxa"/>
          <w:left w:w="115" w:type="dxa"/>
          <w:right w:w="115" w:type="dxa"/>
        </w:tblCellMar>
        <w:tblLook w:val="04A0" w:firstRow="1" w:lastRow="0" w:firstColumn="1" w:lastColumn="0" w:noHBand="0" w:noVBand="1"/>
      </w:tblPr>
      <w:tblGrid>
        <w:gridCol w:w="720"/>
        <w:gridCol w:w="8789"/>
        <w:gridCol w:w="283"/>
      </w:tblGrid>
      <w:tr w:rsidR="00D3474D" w:rsidRPr="00197550" w14:paraId="2F7F9D4D" w14:textId="77777777" w:rsidTr="00690340">
        <w:tc>
          <w:tcPr>
            <w:tcW w:w="720" w:type="dxa"/>
            <w:hideMark/>
          </w:tcPr>
          <w:p w14:paraId="77E78E80" w14:textId="77777777" w:rsidR="00197550" w:rsidRPr="00197550" w:rsidRDefault="00197550" w:rsidP="00F87FE6">
            <w:pPr>
              <w:rPr>
                <w:b/>
                <w:szCs w:val="22"/>
              </w:rPr>
            </w:pPr>
            <w:r w:rsidRPr="00197550">
              <w:rPr>
                <w:b/>
                <w:szCs w:val="22"/>
              </w:rPr>
              <w:t>4</w:t>
            </w:r>
          </w:p>
          <w:p w14:paraId="0952CFB8" w14:textId="77777777" w:rsidR="00D3474D" w:rsidRPr="00197550" w:rsidRDefault="00D3474D" w:rsidP="00197550">
            <w:pPr>
              <w:rPr>
                <w:b/>
                <w:szCs w:val="22"/>
              </w:rPr>
            </w:pPr>
          </w:p>
        </w:tc>
        <w:tc>
          <w:tcPr>
            <w:tcW w:w="8789" w:type="dxa"/>
            <w:hideMark/>
          </w:tcPr>
          <w:p w14:paraId="5BCA6FDF" w14:textId="74608148" w:rsidR="00D3474D" w:rsidRPr="00197550" w:rsidRDefault="007135F2" w:rsidP="00C43F20">
            <w:pPr>
              <w:widowControl w:val="0"/>
              <w:rPr>
                <w:b/>
                <w:szCs w:val="22"/>
              </w:rPr>
            </w:pPr>
            <w:r w:rsidRPr="007135F2">
              <w:rPr>
                <w:b/>
                <w:szCs w:val="22"/>
              </w:rPr>
              <w:t>Summary of Responses to DCLG Further Consultation on 100% Business Rates Retention</w:t>
            </w:r>
            <w:r w:rsidR="00D3474D" w:rsidRPr="00197550">
              <w:rPr>
                <w:b/>
                <w:szCs w:val="22"/>
              </w:rPr>
              <w:t xml:space="preserve"> </w:t>
            </w:r>
          </w:p>
        </w:tc>
        <w:tc>
          <w:tcPr>
            <w:tcW w:w="283" w:type="dxa"/>
          </w:tcPr>
          <w:p w14:paraId="003294B5" w14:textId="77777777" w:rsidR="00D3474D" w:rsidRPr="00197550" w:rsidRDefault="00D3474D" w:rsidP="00C43F20">
            <w:pPr>
              <w:widowControl w:val="0"/>
              <w:rPr>
                <w:bCs/>
                <w:szCs w:val="22"/>
              </w:rPr>
            </w:pPr>
          </w:p>
        </w:tc>
      </w:tr>
      <w:tr w:rsidR="00D3474D" w:rsidRPr="00197550" w14:paraId="6D42B242" w14:textId="77777777" w:rsidTr="00690340">
        <w:tc>
          <w:tcPr>
            <w:tcW w:w="720" w:type="dxa"/>
          </w:tcPr>
          <w:p w14:paraId="4DC259A2" w14:textId="77777777" w:rsidR="00D3474D" w:rsidRPr="00197550" w:rsidRDefault="00D3474D" w:rsidP="00C43F20">
            <w:pPr>
              <w:rPr>
                <w:b/>
                <w:szCs w:val="22"/>
              </w:rPr>
            </w:pPr>
          </w:p>
        </w:tc>
        <w:tc>
          <w:tcPr>
            <w:tcW w:w="8789" w:type="dxa"/>
          </w:tcPr>
          <w:p w14:paraId="6BC7E7DE" w14:textId="0500EB21" w:rsidR="00797B5A" w:rsidRDefault="003B26D5" w:rsidP="007135F2">
            <w:pPr>
              <w:spacing w:after="240"/>
              <w:rPr>
                <w:rFonts w:cs="Arial"/>
                <w:szCs w:val="22"/>
              </w:rPr>
            </w:pPr>
            <w:r>
              <w:rPr>
                <w:rFonts w:cs="Arial"/>
                <w:szCs w:val="22"/>
              </w:rPr>
              <w:t>Sophie Broadfield</w:t>
            </w:r>
            <w:r w:rsidR="007135F2">
              <w:rPr>
                <w:rFonts w:cs="Arial"/>
                <w:szCs w:val="22"/>
              </w:rPr>
              <w:t xml:space="preserve"> (DCLG)</w:t>
            </w:r>
            <w:r>
              <w:rPr>
                <w:rFonts w:cs="Arial"/>
                <w:szCs w:val="22"/>
              </w:rPr>
              <w:t xml:space="preserve"> introduced the </w:t>
            </w:r>
            <w:r w:rsidR="001B5AA1">
              <w:rPr>
                <w:rFonts w:cs="Arial"/>
                <w:szCs w:val="22"/>
              </w:rPr>
              <w:t xml:space="preserve">item and provided detail of the consultation responses. </w:t>
            </w:r>
          </w:p>
          <w:p w14:paraId="4412F7F4" w14:textId="3C576AF2" w:rsidR="00D60BFE" w:rsidRPr="001B5AA1" w:rsidRDefault="001B5AA1" w:rsidP="000E304E">
            <w:pPr>
              <w:spacing w:after="240"/>
              <w:rPr>
                <w:rFonts w:cs="Arial"/>
                <w:szCs w:val="22"/>
              </w:rPr>
            </w:pPr>
            <w:r>
              <w:rPr>
                <w:rFonts w:cs="Arial"/>
                <w:szCs w:val="22"/>
              </w:rPr>
              <w:t xml:space="preserve">The Steering Group noted the responses. </w:t>
            </w:r>
          </w:p>
          <w:p w14:paraId="016AEBA6" w14:textId="725EC495" w:rsidR="00D3474D" w:rsidRPr="00197550" w:rsidRDefault="00D3474D" w:rsidP="007135F2">
            <w:pPr>
              <w:rPr>
                <w:szCs w:val="22"/>
              </w:rPr>
            </w:pPr>
          </w:p>
        </w:tc>
        <w:tc>
          <w:tcPr>
            <w:tcW w:w="283" w:type="dxa"/>
          </w:tcPr>
          <w:p w14:paraId="7DDEF3FA" w14:textId="77777777" w:rsidR="00D3474D" w:rsidRPr="00197550" w:rsidRDefault="00D3474D" w:rsidP="00C43F20">
            <w:pPr>
              <w:widowControl w:val="0"/>
              <w:jc w:val="right"/>
              <w:rPr>
                <w:bCs/>
                <w:szCs w:val="22"/>
              </w:rPr>
            </w:pPr>
          </w:p>
        </w:tc>
      </w:tr>
    </w:tbl>
    <w:p w14:paraId="32BD7DB2" w14:textId="77A44DB0" w:rsidR="00D3474D" w:rsidRPr="00197550" w:rsidRDefault="00D3474D" w:rsidP="00D3474D">
      <w:pPr>
        <w:rPr>
          <w:vanish/>
          <w:szCs w:val="22"/>
        </w:rPr>
      </w:pPr>
      <w:r w:rsidRPr="00197550">
        <w:rPr>
          <w:vanish/>
          <w:szCs w:val="22"/>
        </w:rPr>
        <w:t>&lt;/AI6&gt;</w:t>
      </w:r>
    </w:p>
    <w:p w14:paraId="2A8BE8E9" w14:textId="77777777" w:rsidR="00D3474D" w:rsidRPr="00197550" w:rsidRDefault="00D3474D" w:rsidP="00D3474D">
      <w:pPr>
        <w:rPr>
          <w:vanish/>
          <w:szCs w:val="22"/>
        </w:rPr>
      </w:pPr>
      <w:r w:rsidRPr="00197550">
        <w:rPr>
          <w:vanish/>
          <w:szCs w:val="22"/>
        </w:rPr>
        <w:t>&lt;AI7&gt;</w:t>
      </w:r>
    </w:p>
    <w:tbl>
      <w:tblPr>
        <w:tblW w:w="9792" w:type="dxa"/>
        <w:tblInd w:w="-720" w:type="dxa"/>
        <w:tblLayout w:type="fixed"/>
        <w:tblCellMar>
          <w:top w:w="115" w:type="dxa"/>
          <w:left w:w="115" w:type="dxa"/>
          <w:right w:w="115" w:type="dxa"/>
        </w:tblCellMar>
        <w:tblLook w:val="04A0" w:firstRow="1" w:lastRow="0" w:firstColumn="1" w:lastColumn="0" w:noHBand="0" w:noVBand="1"/>
      </w:tblPr>
      <w:tblGrid>
        <w:gridCol w:w="720"/>
        <w:gridCol w:w="8789"/>
        <w:gridCol w:w="283"/>
      </w:tblGrid>
      <w:tr w:rsidR="00D3474D" w:rsidRPr="00197550" w14:paraId="2B45B58B" w14:textId="77777777" w:rsidTr="00690340">
        <w:tc>
          <w:tcPr>
            <w:tcW w:w="720" w:type="dxa"/>
          </w:tcPr>
          <w:p w14:paraId="547304EA" w14:textId="77777777" w:rsidR="00D3474D" w:rsidRPr="00197550" w:rsidRDefault="008C2D41" w:rsidP="00F87FE6">
            <w:pPr>
              <w:rPr>
                <w:b/>
                <w:szCs w:val="22"/>
              </w:rPr>
            </w:pPr>
            <w:r w:rsidRPr="00197550">
              <w:rPr>
                <w:b/>
                <w:szCs w:val="22"/>
              </w:rPr>
              <w:t>5</w:t>
            </w:r>
          </w:p>
        </w:tc>
        <w:tc>
          <w:tcPr>
            <w:tcW w:w="8789" w:type="dxa"/>
          </w:tcPr>
          <w:p w14:paraId="5B906FC7" w14:textId="758E0790" w:rsidR="00D3474D" w:rsidRPr="00D3760A" w:rsidRDefault="007135F2" w:rsidP="00D3760A">
            <w:pPr>
              <w:rPr>
                <w:b/>
              </w:rPr>
            </w:pPr>
            <w:r w:rsidRPr="007135F2">
              <w:rPr>
                <w:b/>
              </w:rPr>
              <w:t>Fair Funding Review update</w:t>
            </w:r>
          </w:p>
        </w:tc>
        <w:tc>
          <w:tcPr>
            <w:tcW w:w="283" w:type="dxa"/>
          </w:tcPr>
          <w:p w14:paraId="4F1D1F47" w14:textId="77777777" w:rsidR="00D3474D" w:rsidRPr="00197550" w:rsidRDefault="00D3474D" w:rsidP="00C43F20">
            <w:pPr>
              <w:widowControl w:val="0"/>
              <w:rPr>
                <w:b/>
                <w:bCs/>
                <w:szCs w:val="22"/>
              </w:rPr>
            </w:pPr>
          </w:p>
        </w:tc>
      </w:tr>
      <w:tr w:rsidR="00D3474D" w:rsidRPr="00197550" w14:paraId="000EC03C" w14:textId="77777777" w:rsidTr="00690340">
        <w:tc>
          <w:tcPr>
            <w:tcW w:w="720" w:type="dxa"/>
          </w:tcPr>
          <w:p w14:paraId="2C526BAA" w14:textId="77777777" w:rsidR="00D3474D" w:rsidRPr="00197550" w:rsidRDefault="00D3474D" w:rsidP="00C43F20">
            <w:pPr>
              <w:rPr>
                <w:b/>
                <w:szCs w:val="22"/>
              </w:rPr>
            </w:pPr>
          </w:p>
        </w:tc>
        <w:tc>
          <w:tcPr>
            <w:tcW w:w="8789" w:type="dxa"/>
          </w:tcPr>
          <w:p w14:paraId="70F92E40" w14:textId="7F6A21C5" w:rsidR="00BF26ED" w:rsidRDefault="001B5AA1" w:rsidP="00D3760A">
            <w:pPr>
              <w:tabs>
                <w:tab w:val="left" w:pos="2229"/>
              </w:tabs>
              <w:autoSpaceDE w:val="0"/>
              <w:autoSpaceDN w:val="0"/>
              <w:adjustRightInd w:val="0"/>
              <w:rPr>
                <w:rFonts w:cs="Arial"/>
                <w:iCs/>
                <w:szCs w:val="22"/>
              </w:rPr>
            </w:pPr>
            <w:r>
              <w:rPr>
                <w:rFonts w:cs="Arial"/>
                <w:iCs/>
                <w:szCs w:val="22"/>
              </w:rPr>
              <w:t>Charlie</w:t>
            </w:r>
            <w:r w:rsidR="007135F2">
              <w:rPr>
                <w:rFonts w:cs="Arial"/>
                <w:iCs/>
                <w:szCs w:val="22"/>
              </w:rPr>
              <w:t xml:space="preserve"> </w:t>
            </w:r>
            <w:r w:rsidR="00D66FB8">
              <w:rPr>
                <w:rFonts w:cs="Arial"/>
                <w:iCs/>
                <w:szCs w:val="22"/>
              </w:rPr>
              <w:t xml:space="preserve">Coleman </w:t>
            </w:r>
            <w:r w:rsidR="007135F2">
              <w:rPr>
                <w:rFonts w:cs="Arial"/>
                <w:iCs/>
                <w:szCs w:val="22"/>
              </w:rPr>
              <w:t xml:space="preserve">(DCLG) introduced the paper </w:t>
            </w:r>
            <w:r>
              <w:rPr>
                <w:rFonts w:cs="Arial"/>
                <w:iCs/>
                <w:szCs w:val="22"/>
              </w:rPr>
              <w:t xml:space="preserve">and confirmed there is no change of remit for the review. </w:t>
            </w:r>
          </w:p>
          <w:p w14:paraId="547E5235" w14:textId="77777777" w:rsidR="001B5AA1" w:rsidRDefault="001B5AA1" w:rsidP="00D3760A">
            <w:pPr>
              <w:tabs>
                <w:tab w:val="left" w:pos="2229"/>
              </w:tabs>
              <w:autoSpaceDE w:val="0"/>
              <w:autoSpaceDN w:val="0"/>
              <w:adjustRightInd w:val="0"/>
              <w:rPr>
                <w:rFonts w:cs="Arial"/>
                <w:iCs/>
                <w:szCs w:val="22"/>
              </w:rPr>
            </w:pPr>
          </w:p>
          <w:p w14:paraId="6F3C5C49" w14:textId="60F2E4EA" w:rsidR="00D66FB8" w:rsidRDefault="001B5AA1" w:rsidP="00D3760A">
            <w:pPr>
              <w:tabs>
                <w:tab w:val="left" w:pos="2229"/>
              </w:tabs>
              <w:autoSpaceDE w:val="0"/>
              <w:autoSpaceDN w:val="0"/>
              <w:adjustRightInd w:val="0"/>
              <w:rPr>
                <w:rFonts w:cs="Arial"/>
                <w:iCs/>
                <w:szCs w:val="22"/>
              </w:rPr>
            </w:pPr>
            <w:r>
              <w:rPr>
                <w:rFonts w:cs="Arial"/>
                <w:iCs/>
                <w:szCs w:val="22"/>
              </w:rPr>
              <w:t>A timeline of 2020/21 implementation is being actively considered</w:t>
            </w:r>
            <w:r w:rsidR="00D66FB8">
              <w:rPr>
                <w:rFonts w:cs="Arial"/>
                <w:iCs/>
                <w:szCs w:val="22"/>
              </w:rPr>
              <w:t xml:space="preserve">. </w:t>
            </w:r>
            <w:r w:rsidR="00D66FB8" w:rsidRPr="00D66FB8">
              <w:rPr>
                <w:rFonts w:cs="Arial"/>
                <w:iCs/>
                <w:szCs w:val="22"/>
              </w:rPr>
              <w:t xml:space="preserve">The latter implementation date will allow for more consultation and collaboration with the sector and will allow for a new multi-level model on Children's Services to be commissioned, to allow a service specific option to be considered and to have a large data gathering model.  </w:t>
            </w:r>
          </w:p>
          <w:p w14:paraId="08B72EF5" w14:textId="77777777" w:rsidR="00D66FB8" w:rsidRDefault="00D66FB8" w:rsidP="00D3760A">
            <w:pPr>
              <w:tabs>
                <w:tab w:val="left" w:pos="2229"/>
              </w:tabs>
              <w:autoSpaceDE w:val="0"/>
              <w:autoSpaceDN w:val="0"/>
              <w:adjustRightInd w:val="0"/>
              <w:rPr>
                <w:rFonts w:cs="Arial"/>
                <w:iCs/>
                <w:szCs w:val="22"/>
              </w:rPr>
            </w:pPr>
          </w:p>
          <w:p w14:paraId="6144C464" w14:textId="77777777" w:rsidR="002F5919" w:rsidRDefault="00D66FB8" w:rsidP="00D3760A">
            <w:pPr>
              <w:tabs>
                <w:tab w:val="left" w:pos="2229"/>
              </w:tabs>
              <w:autoSpaceDE w:val="0"/>
              <w:autoSpaceDN w:val="0"/>
              <w:adjustRightInd w:val="0"/>
              <w:rPr>
                <w:rFonts w:cs="Arial"/>
                <w:iCs/>
                <w:szCs w:val="22"/>
              </w:rPr>
            </w:pPr>
            <w:r>
              <w:rPr>
                <w:rFonts w:cs="Arial"/>
                <w:iCs/>
                <w:szCs w:val="22"/>
              </w:rPr>
              <w:t>DCLG have</w:t>
            </w:r>
            <w:r w:rsidRPr="00D66FB8">
              <w:rPr>
                <w:rFonts w:cs="Arial"/>
                <w:iCs/>
                <w:szCs w:val="22"/>
              </w:rPr>
              <w:t xml:space="preserve"> looked at options for single and service specific formulae, the design of the area cost adjustment including bringing costs other than staff and business rates, options for the deprivation indices including use of the IMD, a scoping paper on resources.  </w:t>
            </w:r>
          </w:p>
          <w:p w14:paraId="76F63629" w14:textId="77777777" w:rsidR="002F5919" w:rsidRDefault="002F5919" w:rsidP="00D3760A">
            <w:pPr>
              <w:tabs>
                <w:tab w:val="left" w:pos="2229"/>
              </w:tabs>
              <w:autoSpaceDE w:val="0"/>
              <w:autoSpaceDN w:val="0"/>
              <w:adjustRightInd w:val="0"/>
              <w:rPr>
                <w:rFonts w:cs="Arial"/>
                <w:iCs/>
                <w:szCs w:val="22"/>
              </w:rPr>
            </w:pPr>
          </w:p>
          <w:p w14:paraId="721968EB" w14:textId="77777777" w:rsidR="002F5919" w:rsidRDefault="00D66FB8" w:rsidP="00D3760A">
            <w:pPr>
              <w:tabs>
                <w:tab w:val="left" w:pos="2229"/>
              </w:tabs>
              <w:autoSpaceDE w:val="0"/>
              <w:autoSpaceDN w:val="0"/>
              <w:adjustRightInd w:val="0"/>
              <w:rPr>
                <w:rFonts w:cs="Arial"/>
                <w:iCs/>
                <w:szCs w:val="22"/>
              </w:rPr>
            </w:pPr>
            <w:r w:rsidRPr="00D66FB8">
              <w:rPr>
                <w:rFonts w:cs="Arial"/>
                <w:iCs/>
                <w:szCs w:val="22"/>
              </w:rPr>
              <w:t>The consultation document would be published alongside the call for evidence in the Aut</w:t>
            </w:r>
            <w:r w:rsidR="002F5919">
              <w:rPr>
                <w:rFonts w:cs="Arial"/>
                <w:iCs/>
                <w:szCs w:val="22"/>
              </w:rPr>
              <w:t>umn and will</w:t>
            </w:r>
            <w:r w:rsidRPr="00D66FB8">
              <w:rPr>
                <w:rFonts w:cs="Arial"/>
                <w:iCs/>
                <w:szCs w:val="22"/>
              </w:rPr>
              <w:t xml:space="preserve"> look at the options for different approaches - a single formula or a foundation formula plus specific formulae - cost drivers for a foundation formula and for service formulae. </w:t>
            </w:r>
          </w:p>
          <w:p w14:paraId="1368FDB4" w14:textId="77777777" w:rsidR="002F5919" w:rsidRDefault="002F5919" w:rsidP="00D3760A">
            <w:pPr>
              <w:tabs>
                <w:tab w:val="left" w:pos="2229"/>
              </w:tabs>
              <w:autoSpaceDE w:val="0"/>
              <w:autoSpaceDN w:val="0"/>
              <w:adjustRightInd w:val="0"/>
              <w:rPr>
                <w:rFonts w:cs="Arial"/>
                <w:iCs/>
                <w:szCs w:val="22"/>
              </w:rPr>
            </w:pPr>
          </w:p>
          <w:p w14:paraId="259E7E20" w14:textId="5A98FC4D" w:rsidR="00D66FB8" w:rsidRDefault="002F5919" w:rsidP="00D3760A">
            <w:pPr>
              <w:tabs>
                <w:tab w:val="left" w:pos="2229"/>
              </w:tabs>
              <w:autoSpaceDE w:val="0"/>
              <w:autoSpaceDN w:val="0"/>
              <w:adjustRightInd w:val="0"/>
              <w:rPr>
                <w:rFonts w:cs="Arial"/>
                <w:iCs/>
                <w:szCs w:val="22"/>
              </w:rPr>
            </w:pPr>
            <w:r>
              <w:rPr>
                <w:rFonts w:cs="Arial"/>
                <w:iCs/>
                <w:szCs w:val="22"/>
              </w:rPr>
              <w:t>DCLG are keen to engage with local government</w:t>
            </w:r>
            <w:r w:rsidR="00D66FB8" w:rsidRPr="00D66FB8">
              <w:rPr>
                <w:rFonts w:cs="Arial"/>
                <w:iCs/>
                <w:szCs w:val="22"/>
              </w:rPr>
              <w:t xml:space="preserve"> colleagues in particular.  They will also look at options for statistical </w:t>
            </w:r>
            <w:r>
              <w:rPr>
                <w:rFonts w:cs="Arial"/>
                <w:iCs/>
                <w:szCs w:val="22"/>
              </w:rPr>
              <w:t xml:space="preserve">techniques for weighting and </w:t>
            </w:r>
            <w:r w:rsidR="00D66FB8" w:rsidRPr="00D66FB8">
              <w:rPr>
                <w:rFonts w:cs="Arial"/>
                <w:iCs/>
                <w:szCs w:val="22"/>
              </w:rPr>
              <w:t xml:space="preserve">will publish some technical papers next year having consulted with the sector.  </w:t>
            </w:r>
          </w:p>
          <w:p w14:paraId="227030C2" w14:textId="77777777" w:rsidR="00F1712A" w:rsidRDefault="00F1712A" w:rsidP="00FC3347">
            <w:pPr>
              <w:tabs>
                <w:tab w:val="left" w:pos="2229"/>
              </w:tabs>
              <w:autoSpaceDE w:val="0"/>
              <w:autoSpaceDN w:val="0"/>
              <w:adjustRightInd w:val="0"/>
              <w:rPr>
                <w:rFonts w:cs="Arial"/>
                <w:iCs/>
                <w:szCs w:val="22"/>
              </w:rPr>
            </w:pPr>
          </w:p>
          <w:p w14:paraId="5B6394D4" w14:textId="076C6AD9" w:rsidR="00F1712A" w:rsidRPr="007135F2" w:rsidRDefault="00BF26ED" w:rsidP="007135F2">
            <w:pPr>
              <w:tabs>
                <w:tab w:val="left" w:pos="2229"/>
              </w:tabs>
              <w:autoSpaceDE w:val="0"/>
              <w:autoSpaceDN w:val="0"/>
              <w:adjustRightInd w:val="0"/>
              <w:rPr>
                <w:rFonts w:cs="Arial"/>
                <w:iCs/>
                <w:szCs w:val="22"/>
              </w:rPr>
            </w:pPr>
            <w:r>
              <w:rPr>
                <w:rFonts w:cs="Arial"/>
                <w:iCs/>
                <w:szCs w:val="22"/>
              </w:rPr>
              <w:t xml:space="preserve">The </w:t>
            </w:r>
            <w:r w:rsidR="007135F2">
              <w:rPr>
                <w:rFonts w:cs="Arial"/>
                <w:iCs/>
                <w:szCs w:val="22"/>
              </w:rPr>
              <w:t>Steering Group discussed:</w:t>
            </w:r>
          </w:p>
          <w:p w14:paraId="036EC919" w14:textId="77777777" w:rsidR="00FC3347" w:rsidRDefault="00FC3347" w:rsidP="00567B67">
            <w:pPr>
              <w:autoSpaceDE w:val="0"/>
              <w:autoSpaceDN w:val="0"/>
              <w:adjustRightInd w:val="0"/>
              <w:rPr>
                <w:b/>
                <w:szCs w:val="22"/>
                <w:lang w:val="en-US"/>
              </w:rPr>
            </w:pPr>
          </w:p>
          <w:p w14:paraId="3A140B89" w14:textId="0A6D3A27" w:rsidR="002F5919" w:rsidRPr="002672EC" w:rsidRDefault="002F5919" w:rsidP="002F5919">
            <w:pPr>
              <w:pStyle w:val="ListParagraph"/>
              <w:numPr>
                <w:ilvl w:val="0"/>
                <w:numId w:val="45"/>
              </w:numPr>
              <w:autoSpaceDE w:val="0"/>
              <w:autoSpaceDN w:val="0"/>
              <w:adjustRightInd w:val="0"/>
              <w:rPr>
                <w:szCs w:val="22"/>
                <w:lang w:val="en-US"/>
              </w:rPr>
            </w:pPr>
            <w:r w:rsidRPr="002672EC">
              <w:rPr>
                <w:szCs w:val="22"/>
                <w:lang w:val="en-US"/>
              </w:rPr>
              <w:t>The availability of IMD data in 2019</w:t>
            </w:r>
          </w:p>
          <w:p w14:paraId="1B5C9E65" w14:textId="0D376D9B" w:rsidR="002F5919" w:rsidRPr="002672EC" w:rsidRDefault="002F5919" w:rsidP="002F5919">
            <w:pPr>
              <w:pStyle w:val="ListParagraph"/>
              <w:numPr>
                <w:ilvl w:val="0"/>
                <w:numId w:val="45"/>
              </w:numPr>
              <w:autoSpaceDE w:val="0"/>
              <w:autoSpaceDN w:val="0"/>
              <w:adjustRightInd w:val="0"/>
              <w:rPr>
                <w:szCs w:val="22"/>
                <w:lang w:val="en-US"/>
              </w:rPr>
            </w:pPr>
            <w:r w:rsidRPr="002672EC">
              <w:rPr>
                <w:szCs w:val="22"/>
                <w:lang w:val="en-US"/>
              </w:rPr>
              <w:t>A Department of Health formulae on adult social care</w:t>
            </w:r>
          </w:p>
          <w:p w14:paraId="1503AFD3" w14:textId="4E17790B" w:rsidR="002F5919" w:rsidRPr="002672EC" w:rsidRDefault="002672EC" w:rsidP="002F5919">
            <w:pPr>
              <w:pStyle w:val="ListParagraph"/>
              <w:numPr>
                <w:ilvl w:val="0"/>
                <w:numId w:val="45"/>
              </w:numPr>
              <w:autoSpaceDE w:val="0"/>
              <w:autoSpaceDN w:val="0"/>
              <w:adjustRightInd w:val="0"/>
              <w:rPr>
                <w:szCs w:val="22"/>
                <w:lang w:val="en-US"/>
              </w:rPr>
            </w:pPr>
            <w:r w:rsidRPr="002672EC">
              <w:rPr>
                <w:szCs w:val="22"/>
                <w:lang w:val="en-US"/>
              </w:rPr>
              <w:t>Negative RSG in 2019/20</w:t>
            </w:r>
          </w:p>
          <w:p w14:paraId="16516136" w14:textId="77777777" w:rsidR="00B54998" w:rsidRPr="00A90625" w:rsidRDefault="00B54998" w:rsidP="00567B67">
            <w:pPr>
              <w:autoSpaceDE w:val="0"/>
              <w:autoSpaceDN w:val="0"/>
              <w:adjustRightInd w:val="0"/>
              <w:rPr>
                <w:b/>
                <w:szCs w:val="22"/>
                <w:lang w:val="en-US"/>
              </w:rPr>
            </w:pPr>
          </w:p>
        </w:tc>
        <w:tc>
          <w:tcPr>
            <w:tcW w:w="283" w:type="dxa"/>
          </w:tcPr>
          <w:p w14:paraId="4B0B0013" w14:textId="77777777" w:rsidR="00D3474D" w:rsidRPr="00197550" w:rsidRDefault="00D3474D" w:rsidP="00C43F20">
            <w:pPr>
              <w:widowControl w:val="0"/>
              <w:jc w:val="right"/>
              <w:rPr>
                <w:b/>
                <w:bCs/>
                <w:szCs w:val="22"/>
              </w:rPr>
            </w:pPr>
          </w:p>
        </w:tc>
      </w:tr>
      <w:tr w:rsidR="00B37DB2" w:rsidRPr="00197550" w14:paraId="482144B2" w14:textId="77777777" w:rsidTr="00690340">
        <w:tc>
          <w:tcPr>
            <w:tcW w:w="720" w:type="dxa"/>
          </w:tcPr>
          <w:p w14:paraId="50F15D6A" w14:textId="497CFEE7" w:rsidR="00B37DB2" w:rsidRPr="00197550" w:rsidRDefault="00197550" w:rsidP="008C2D41">
            <w:pPr>
              <w:rPr>
                <w:rFonts w:cs="Arial Bold"/>
                <w:b/>
                <w:szCs w:val="22"/>
              </w:rPr>
            </w:pPr>
            <w:r>
              <w:rPr>
                <w:rFonts w:cs="Arial Bold"/>
                <w:b/>
                <w:szCs w:val="22"/>
              </w:rPr>
              <w:t>6</w:t>
            </w:r>
          </w:p>
        </w:tc>
        <w:tc>
          <w:tcPr>
            <w:tcW w:w="8789" w:type="dxa"/>
          </w:tcPr>
          <w:p w14:paraId="56999E60" w14:textId="328276DB" w:rsidR="00B37DB2" w:rsidRPr="00BF26ED" w:rsidRDefault="007135F2" w:rsidP="00BF26ED">
            <w:pPr>
              <w:rPr>
                <w:b/>
              </w:rPr>
            </w:pPr>
            <w:r w:rsidRPr="007135F2">
              <w:rPr>
                <w:b/>
              </w:rPr>
              <w:t>Update on current pilots</w:t>
            </w:r>
          </w:p>
        </w:tc>
        <w:tc>
          <w:tcPr>
            <w:tcW w:w="283" w:type="dxa"/>
          </w:tcPr>
          <w:p w14:paraId="5E5D9B72" w14:textId="77777777" w:rsidR="00B37DB2" w:rsidRPr="00197550" w:rsidRDefault="00B37DB2" w:rsidP="00C43F20">
            <w:pPr>
              <w:widowControl w:val="0"/>
              <w:jc w:val="right"/>
              <w:rPr>
                <w:b/>
                <w:bCs/>
                <w:szCs w:val="22"/>
              </w:rPr>
            </w:pPr>
          </w:p>
        </w:tc>
      </w:tr>
      <w:tr w:rsidR="00B37DB2" w:rsidRPr="00197550" w14:paraId="5299E667" w14:textId="77777777" w:rsidTr="00690340">
        <w:tc>
          <w:tcPr>
            <w:tcW w:w="720" w:type="dxa"/>
          </w:tcPr>
          <w:p w14:paraId="3F554A2A" w14:textId="77777777" w:rsidR="00B37DB2" w:rsidRPr="00197550" w:rsidRDefault="00B37DB2" w:rsidP="00C43F20">
            <w:pPr>
              <w:rPr>
                <w:b/>
                <w:szCs w:val="22"/>
              </w:rPr>
            </w:pPr>
          </w:p>
        </w:tc>
        <w:tc>
          <w:tcPr>
            <w:tcW w:w="8789" w:type="dxa"/>
          </w:tcPr>
          <w:p w14:paraId="05B2034E" w14:textId="69F6FDC7" w:rsidR="00A77ED9" w:rsidRDefault="007135F2" w:rsidP="00B94E12">
            <w:pPr>
              <w:tabs>
                <w:tab w:val="left" w:pos="2229"/>
              </w:tabs>
              <w:autoSpaceDE w:val="0"/>
              <w:autoSpaceDN w:val="0"/>
              <w:adjustRightInd w:val="0"/>
              <w:rPr>
                <w:rFonts w:cs="Arial"/>
                <w:iCs/>
                <w:szCs w:val="22"/>
              </w:rPr>
            </w:pPr>
            <w:r>
              <w:rPr>
                <w:rFonts w:cs="Arial"/>
                <w:iCs/>
                <w:szCs w:val="22"/>
              </w:rPr>
              <w:t>Anne Charlton (DCLG) provided a verbal update.</w:t>
            </w:r>
          </w:p>
          <w:p w14:paraId="758B78CE" w14:textId="77777777" w:rsidR="002672EC" w:rsidRDefault="002672EC" w:rsidP="00B94E12">
            <w:pPr>
              <w:tabs>
                <w:tab w:val="left" w:pos="2229"/>
              </w:tabs>
              <w:autoSpaceDE w:val="0"/>
              <w:autoSpaceDN w:val="0"/>
              <w:adjustRightInd w:val="0"/>
              <w:rPr>
                <w:rFonts w:cs="Arial"/>
                <w:iCs/>
                <w:szCs w:val="22"/>
              </w:rPr>
            </w:pPr>
          </w:p>
          <w:p w14:paraId="0C0A84B4" w14:textId="53D7A651" w:rsidR="002672EC" w:rsidRPr="002672EC" w:rsidRDefault="003D019E" w:rsidP="002672EC">
            <w:pPr>
              <w:tabs>
                <w:tab w:val="left" w:pos="2229"/>
              </w:tabs>
              <w:autoSpaceDE w:val="0"/>
              <w:autoSpaceDN w:val="0"/>
              <w:adjustRightInd w:val="0"/>
              <w:rPr>
                <w:rFonts w:cs="Arial"/>
                <w:iCs/>
                <w:szCs w:val="22"/>
              </w:rPr>
            </w:pPr>
            <w:r>
              <w:rPr>
                <w:rFonts w:cs="Arial"/>
                <w:iCs/>
                <w:szCs w:val="22"/>
              </w:rPr>
              <w:t xml:space="preserve">16 </w:t>
            </w:r>
            <w:r w:rsidR="002672EC" w:rsidRPr="002672EC">
              <w:rPr>
                <w:rFonts w:cs="Arial"/>
                <w:iCs/>
                <w:szCs w:val="22"/>
              </w:rPr>
              <w:t>authorities of the 30 within the pilots</w:t>
            </w:r>
            <w:r w:rsidR="002672EC">
              <w:rPr>
                <w:rFonts w:cs="Arial"/>
                <w:iCs/>
                <w:szCs w:val="22"/>
              </w:rPr>
              <w:t xml:space="preserve"> had given feedback. The </w:t>
            </w:r>
            <w:r w:rsidR="002672EC" w:rsidRPr="002672EC">
              <w:rPr>
                <w:rFonts w:cs="Arial"/>
                <w:iCs/>
                <w:szCs w:val="22"/>
              </w:rPr>
              <w:t>initial overview</w:t>
            </w:r>
            <w:r>
              <w:rPr>
                <w:rFonts w:cs="Arial"/>
                <w:iCs/>
                <w:szCs w:val="22"/>
              </w:rPr>
              <w:t xml:space="preserve"> is</w:t>
            </w:r>
            <w:r w:rsidR="002672EC" w:rsidRPr="002672EC">
              <w:rPr>
                <w:rFonts w:cs="Arial"/>
                <w:iCs/>
                <w:szCs w:val="22"/>
              </w:rPr>
              <w:t>:</w:t>
            </w:r>
          </w:p>
          <w:p w14:paraId="0C439E41" w14:textId="77777777" w:rsidR="003D019E" w:rsidRDefault="003D019E" w:rsidP="002672EC">
            <w:pPr>
              <w:pStyle w:val="ListParagraph"/>
              <w:numPr>
                <w:ilvl w:val="0"/>
                <w:numId w:val="46"/>
              </w:numPr>
              <w:tabs>
                <w:tab w:val="left" w:pos="2229"/>
              </w:tabs>
              <w:autoSpaceDE w:val="0"/>
              <w:autoSpaceDN w:val="0"/>
              <w:adjustRightInd w:val="0"/>
              <w:rPr>
                <w:rFonts w:cs="Arial"/>
                <w:iCs/>
                <w:szCs w:val="22"/>
              </w:rPr>
            </w:pPr>
            <w:r w:rsidRPr="003D019E">
              <w:rPr>
                <w:rFonts w:cs="Arial"/>
                <w:iCs/>
                <w:szCs w:val="22"/>
              </w:rPr>
              <w:t xml:space="preserve">The </w:t>
            </w:r>
            <w:r w:rsidR="002672EC" w:rsidRPr="003D019E">
              <w:rPr>
                <w:rFonts w:cs="Arial"/>
                <w:iCs/>
                <w:szCs w:val="22"/>
              </w:rPr>
              <w:t>key driver</w:t>
            </w:r>
            <w:r w:rsidRPr="003D019E">
              <w:rPr>
                <w:rFonts w:cs="Arial"/>
                <w:iCs/>
                <w:szCs w:val="22"/>
              </w:rPr>
              <w:t xml:space="preserve"> of involvement </w:t>
            </w:r>
            <w:r w:rsidR="002672EC" w:rsidRPr="003D019E">
              <w:rPr>
                <w:rFonts w:cs="Arial"/>
                <w:iCs/>
                <w:szCs w:val="22"/>
              </w:rPr>
              <w:t xml:space="preserve"> was to help sha</w:t>
            </w:r>
            <w:r>
              <w:rPr>
                <w:rFonts w:cs="Arial"/>
                <w:iCs/>
                <w:szCs w:val="22"/>
              </w:rPr>
              <w:t xml:space="preserve">pe the future of the </w:t>
            </w:r>
            <w:proofErr w:type="spellStart"/>
            <w:r>
              <w:rPr>
                <w:rFonts w:cs="Arial"/>
                <w:iCs/>
                <w:szCs w:val="22"/>
              </w:rPr>
              <w:t>programm</w:t>
            </w:r>
            <w:proofErr w:type="spellEnd"/>
          </w:p>
          <w:p w14:paraId="46B9F4E6" w14:textId="77777777" w:rsidR="003D019E" w:rsidRDefault="002672EC" w:rsidP="002672EC">
            <w:pPr>
              <w:pStyle w:val="ListParagraph"/>
              <w:numPr>
                <w:ilvl w:val="0"/>
                <w:numId w:val="46"/>
              </w:numPr>
              <w:tabs>
                <w:tab w:val="left" w:pos="2229"/>
              </w:tabs>
              <w:autoSpaceDE w:val="0"/>
              <w:autoSpaceDN w:val="0"/>
              <w:adjustRightInd w:val="0"/>
              <w:rPr>
                <w:rFonts w:cs="Arial"/>
                <w:iCs/>
                <w:szCs w:val="22"/>
              </w:rPr>
            </w:pPr>
            <w:r w:rsidRPr="003D019E">
              <w:rPr>
                <w:rFonts w:cs="Arial"/>
                <w:iCs/>
                <w:szCs w:val="22"/>
              </w:rPr>
              <w:lastRenderedPageBreak/>
              <w:t xml:space="preserve">Appetite </w:t>
            </w:r>
            <w:r w:rsidR="003D019E">
              <w:rPr>
                <w:rFonts w:cs="Arial"/>
                <w:iCs/>
                <w:szCs w:val="22"/>
              </w:rPr>
              <w:t>for more grants to be rolled in</w:t>
            </w:r>
          </w:p>
          <w:p w14:paraId="03144B8B" w14:textId="77777777" w:rsidR="003D019E" w:rsidRDefault="002672EC" w:rsidP="002672EC">
            <w:pPr>
              <w:pStyle w:val="ListParagraph"/>
              <w:numPr>
                <w:ilvl w:val="0"/>
                <w:numId w:val="46"/>
              </w:numPr>
              <w:tabs>
                <w:tab w:val="left" w:pos="2229"/>
              </w:tabs>
              <w:autoSpaceDE w:val="0"/>
              <w:autoSpaceDN w:val="0"/>
              <w:adjustRightInd w:val="0"/>
              <w:rPr>
                <w:rFonts w:cs="Arial"/>
                <w:iCs/>
                <w:szCs w:val="22"/>
              </w:rPr>
            </w:pPr>
            <w:r w:rsidRPr="003D019E">
              <w:rPr>
                <w:rFonts w:cs="Arial"/>
                <w:iCs/>
                <w:szCs w:val="22"/>
              </w:rPr>
              <w:t xml:space="preserve">Risks in the system - difficult to resist larger shocks if there was no no-detriment clause and authorities were more exposed to the general economy.   </w:t>
            </w:r>
          </w:p>
          <w:p w14:paraId="5065C057" w14:textId="77777777" w:rsidR="003D019E" w:rsidRDefault="002672EC" w:rsidP="002672EC">
            <w:pPr>
              <w:pStyle w:val="ListParagraph"/>
              <w:numPr>
                <w:ilvl w:val="0"/>
                <w:numId w:val="46"/>
              </w:numPr>
              <w:tabs>
                <w:tab w:val="left" w:pos="2229"/>
              </w:tabs>
              <w:autoSpaceDE w:val="0"/>
              <w:autoSpaceDN w:val="0"/>
              <w:adjustRightInd w:val="0"/>
              <w:rPr>
                <w:rFonts w:cs="Arial"/>
                <w:iCs/>
                <w:szCs w:val="22"/>
              </w:rPr>
            </w:pPr>
            <w:r w:rsidRPr="003D019E">
              <w:rPr>
                <w:rFonts w:cs="Arial"/>
                <w:iCs/>
                <w:szCs w:val="22"/>
              </w:rPr>
              <w:t>Some have concrete plans to grow their BR base but they saw this as more long-term and not in 17-18. Areas saw wider benefits from economic growth but wanted to attract the 'right sort of businesses' for the general good of the area.</w:t>
            </w:r>
          </w:p>
          <w:p w14:paraId="4803D9D5" w14:textId="77777777" w:rsidR="003D019E" w:rsidRDefault="002672EC" w:rsidP="002672EC">
            <w:pPr>
              <w:pStyle w:val="ListParagraph"/>
              <w:numPr>
                <w:ilvl w:val="0"/>
                <w:numId w:val="46"/>
              </w:numPr>
              <w:tabs>
                <w:tab w:val="left" w:pos="2229"/>
              </w:tabs>
              <w:autoSpaceDE w:val="0"/>
              <w:autoSpaceDN w:val="0"/>
              <w:adjustRightInd w:val="0"/>
              <w:rPr>
                <w:rFonts w:cs="Arial"/>
                <w:iCs/>
                <w:szCs w:val="22"/>
              </w:rPr>
            </w:pPr>
            <w:r w:rsidRPr="003D019E">
              <w:rPr>
                <w:rFonts w:cs="Arial"/>
                <w:iCs/>
                <w:szCs w:val="22"/>
              </w:rPr>
              <w:t>Areas with large student populations were concerned about BR relief on university properties and the fact that students are exempt from CT as well as the more business focus of universities.</w:t>
            </w:r>
          </w:p>
          <w:p w14:paraId="59635C23" w14:textId="77777777" w:rsidR="003D019E" w:rsidRDefault="002672EC" w:rsidP="002672EC">
            <w:pPr>
              <w:pStyle w:val="ListParagraph"/>
              <w:numPr>
                <w:ilvl w:val="0"/>
                <w:numId w:val="46"/>
              </w:numPr>
              <w:tabs>
                <w:tab w:val="left" w:pos="2229"/>
              </w:tabs>
              <w:autoSpaceDE w:val="0"/>
              <w:autoSpaceDN w:val="0"/>
              <w:adjustRightInd w:val="0"/>
              <w:rPr>
                <w:rFonts w:cs="Arial"/>
                <w:iCs/>
                <w:szCs w:val="22"/>
              </w:rPr>
            </w:pPr>
            <w:r w:rsidRPr="003D019E">
              <w:rPr>
                <w:rFonts w:cs="Arial"/>
                <w:iCs/>
                <w:szCs w:val="22"/>
              </w:rPr>
              <w:t>Link with enterprise zones - some neighbouring authorities were concerned about cross-boundary competition and there was a concern about growth sustainability.</w:t>
            </w:r>
          </w:p>
          <w:p w14:paraId="02A66090" w14:textId="53D2A1B3" w:rsidR="002672EC" w:rsidRPr="003D019E" w:rsidRDefault="002672EC" w:rsidP="002672EC">
            <w:pPr>
              <w:pStyle w:val="ListParagraph"/>
              <w:numPr>
                <w:ilvl w:val="0"/>
                <w:numId w:val="46"/>
              </w:numPr>
              <w:tabs>
                <w:tab w:val="left" w:pos="2229"/>
              </w:tabs>
              <w:autoSpaceDE w:val="0"/>
              <w:autoSpaceDN w:val="0"/>
              <w:adjustRightInd w:val="0"/>
              <w:rPr>
                <w:rFonts w:cs="Arial"/>
                <w:iCs/>
                <w:szCs w:val="22"/>
              </w:rPr>
            </w:pPr>
            <w:r w:rsidRPr="003D019E">
              <w:rPr>
                <w:rFonts w:cs="Arial"/>
                <w:iCs/>
                <w:szCs w:val="22"/>
              </w:rPr>
              <w:t>Appeals - general agreement that the appeal system has too much risk.  Concern about the time taken to process appeals.  Small authorities are vulnerable to large ratepayers; larger authorities were concerned about volatility of income without entering the safety net.</w:t>
            </w:r>
          </w:p>
          <w:p w14:paraId="52167192" w14:textId="77777777" w:rsidR="007135F2" w:rsidRDefault="007135F2" w:rsidP="00B94E12">
            <w:pPr>
              <w:tabs>
                <w:tab w:val="left" w:pos="2229"/>
              </w:tabs>
              <w:autoSpaceDE w:val="0"/>
              <w:autoSpaceDN w:val="0"/>
              <w:adjustRightInd w:val="0"/>
              <w:rPr>
                <w:rFonts w:cs="Arial"/>
                <w:iCs/>
                <w:szCs w:val="22"/>
              </w:rPr>
            </w:pPr>
          </w:p>
          <w:p w14:paraId="19356D07" w14:textId="50DBCC2B" w:rsidR="007156B8" w:rsidRDefault="00A77ED9" w:rsidP="00B94E12">
            <w:pPr>
              <w:tabs>
                <w:tab w:val="left" w:pos="2229"/>
              </w:tabs>
              <w:autoSpaceDE w:val="0"/>
              <w:autoSpaceDN w:val="0"/>
              <w:adjustRightInd w:val="0"/>
              <w:rPr>
                <w:rFonts w:cs="Arial"/>
                <w:iCs/>
                <w:szCs w:val="22"/>
              </w:rPr>
            </w:pPr>
            <w:r>
              <w:rPr>
                <w:rFonts w:cs="Arial"/>
                <w:iCs/>
                <w:szCs w:val="22"/>
              </w:rPr>
              <w:t>The</w:t>
            </w:r>
            <w:r w:rsidR="001B5AA1">
              <w:rPr>
                <w:rFonts w:cs="Arial"/>
                <w:iCs/>
                <w:szCs w:val="22"/>
              </w:rPr>
              <w:t xml:space="preserve"> Steering Group </w:t>
            </w:r>
            <w:r w:rsidR="007156B8">
              <w:rPr>
                <w:rFonts w:cs="Arial"/>
                <w:iCs/>
                <w:szCs w:val="22"/>
              </w:rPr>
              <w:t>discussed:</w:t>
            </w:r>
          </w:p>
          <w:p w14:paraId="37CC769E" w14:textId="1819222A" w:rsidR="00CC074D" w:rsidRPr="00277EEC" w:rsidRDefault="00277EEC" w:rsidP="001B5AA1">
            <w:pPr>
              <w:pStyle w:val="ListParagraph"/>
              <w:numPr>
                <w:ilvl w:val="0"/>
                <w:numId w:val="37"/>
              </w:numPr>
              <w:tabs>
                <w:tab w:val="left" w:pos="2229"/>
              </w:tabs>
              <w:autoSpaceDE w:val="0"/>
              <w:autoSpaceDN w:val="0"/>
              <w:adjustRightInd w:val="0"/>
              <w:rPr>
                <w:rFonts w:cs="Arial"/>
                <w:iCs/>
                <w:szCs w:val="22"/>
              </w:rPr>
            </w:pPr>
            <w:r w:rsidRPr="00277EEC">
              <w:rPr>
                <w:rFonts w:cs="Arial"/>
                <w:iCs/>
                <w:szCs w:val="22"/>
              </w:rPr>
              <w:t xml:space="preserve">The no detriment clause </w:t>
            </w:r>
          </w:p>
          <w:p w14:paraId="6C6F7BC3" w14:textId="566E7D5C" w:rsidR="00277EEC" w:rsidRPr="00277EEC" w:rsidRDefault="00277EEC" w:rsidP="001B5AA1">
            <w:pPr>
              <w:pStyle w:val="ListParagraph"/>
              <w:numPr>
                <w:ilvl w:val="0"/>
                <w:numId w:val="37"/>
              </w:numPr>
              <w:tabs>
                <w:tab w:val="left" w:pos="2229"/>
              </w:tabs>
              <w:autoSpaceDE w:val="0"/>
              <w:autoSpaceDN w:val="0"/>
              <w:adjustRightInd w:val="0"/>
              <w:rPr>
                <w:rFonts w:cs="Arial"/>
                <w:iCs/>
                <w:szCs w:val="22"/>
              </w:rPr>
            </w:pPr>
            <w:r w:rsidRPr="00277EEC">
              <w:rPr>
                <w:rFonts w:cs="Arial"/>
                <w:iCs/>
                <w:szCs w:val="22"/>
              </w:rPr>
              <w:t>The opportunity to learn from pilots</w:t>
            </w:r>
          </w:p>
          <w:p w14:paraId="65BE2104" w14:textId="77777777" w:rsidR="00FA6F7C" w:rsidRPr="00556EFC" w:rsidRDefault="00FA6F7C" w:rsidP="001B5AA1">
            <w:pPr>
              <w:tabs>
                <w:tab w:val="left" w:pos="2229"/>
              </w:tabs>
              <w:autoSpaceDE w:val="0"/>
              <w:autoSpaceDN w:val="0"/>
              <w:adjustRightInd w:val="0"/>
              <w:rPr>
                <w:rFonts w:cs="Arial"/>
                <w:iCs/>
                <w:szCs w:val="22"/>
              </w:rPr>
            </w:pPr>
          </w:p>
        </w:tc>
        <w:tc>
          <w:tcPr>
            <w:tcW w:w="283" w:type="dxa"/>
          </w:tcPr>
          <w:p w14:paraId="4A059109" w14:textId="77777777" w:rsidR="00B37DB2" w:rsidRPr="00197550" w:rsidRDefault="00B37DB2" w:rsidP="00C43F20">
            <w:pPr>
              <w:widowControl w:val="0"/>
              <w:jc w:val="right"/>
              <w:rPr>
                <w:b/>
                <w:bCs/>
                <w:szCs w:val="22"/>
              </w:rPr>
            </w:pPr>
          </w:p>
        </w:tc>
      </w:tr>
      <w:tr w:rsidR="00E87DD0" w:rsidRPr="00197550" w14:paraId="0FE19CA8" w14:textId="77777777" w:rsidTr="00690340">
        <w:trPr>
          <w:gridAfter w:val="1"/>
          <w:wAfter w:w="283" w:type="dxa"/>
          <w:trHeight w:val="359"/>
        </w:trPr>
        <w:tc>
          <w:tcPr>
            <w:tcW w:w="720" w:type="dxa"/>
            <w:hideMark/>
          </w:tcPr>
          <w:p w14:paraId="18DAF28F" w14:textId="45F71728" w:rsidR="00E87DD0" w:rsidRPr="00197550" w:rsidRDefault="007135F2" w:rsidP="00B37DB2">
            <w:pPr>
              <w:rPr>
                <w:rFonts w:cs="Arial Bold"/>
                <w:b/>
                <w:szCs w:val="22"/>
              </w:rPr>
            </w:pPr>
            <w:r>
              <w:rPr>
                <w:rFonts w:cs="Arial Bold"/>
                <w:b/>
                <w:szCs w:val="22"/>
              </w:rPr>
              <w:lastRenderedPageBreak/>
              <w:t>7</w:t>
            </w:r>
          </w:p>
        </w:tc>
        <w:tc>
          <w:tcPr>
            <w:tcW w:w="8789" w:type="dxa"/>
            <w:hideMark/>
          </w:tcPr>
          <w:p w14:paraId="22981D1C" w14:textId="77A4AB02" w:rsidR="00207BE6" w:rsidRPr="00207BE6" w:rsidRDefault="007135F2" w:rsidP="00207BE6">
            <w:pPr>
              <w:rPr>
                <w:b/>
              </w:rPr>
            </w:pPr>
            <w:r>
              <w:rPr>
                <w:b/>
              </w:rPr>
              <w:t xml:space="preserve">Summary of key press lines </w:t>
            </w:r>
          </w:p>
          <w:p w14:paraId="47CA8500" w14:textId="77777777" w:rsidR="00E87DD0" w:rsidRDefault="00E87DD0" w:rsidP="00E87DD0">
            <w:pPr>
              <w:widowControl w:val="0"/>
              <w:rPr>
                <w:b/>
                <w:szCs w:val="22"/>
              </w:rPr>
            </w:pPr>
            <w:r w:rsidRPr="00197550">
              <w:rPr>
                <w:b/>
                <w:szCs w:val="22"/>
              </w:rPr>
              <w:t xml:space="preserve"> </w:t>
            </w:r>
          </w:p>
          <w:p w14:paraId="62C135AA" w14:textId="77777777" w:rsidR="001B5AA1" w:rsidRPr="001B5AA1" w:rsidRDefault="001B5AA1" w:rsidP="00E87DD0">
            <w:pPr>
              <w:widowControl w:val="0"/>
              <w:rPr>
                <w:szCs w:val="22"/>
              </w:rPr>
            </w:pPr>
            <w:r w:rsidRPr="001B5AA1">
              <w:rPr>
                <w:szCs w:val="22"/>
              </w:rPr>
              <w:t xml:space="preserve">The following lines were agreed: </w:t>
            </w:r>
          </w:p>
          <w:p w14:paraId="63D904DC" w14:textId="77777777" w:rsidR="001B5AA1" w:rsidRDefault="001B5AA1" w:rsidP="00E87DD0">
            <w:pPr>
              <w:widowControl w:val="0"/>
              <w:rPr>
                <w:b/>
                <w:szCs w:val="22"/>
              </w:rPr>
            </w:pPr>
          </w:p>
          <w:p w14:paraId="028DFD43" w14:textId="77777777" w:rsidR="001B5AA1" w:rsidRDefault="001B5AA1" w:rsidP="001B5AA1">
            <w:pPr>
              <w:pStyle w:val="ListParagraph"/>
              <w:numPr>
                <w:ilvl w:val="0"/>
                <w:numId w:val="43"/>
              </w:numPr>
              <w:contextualSpacing w:val="0"/>
            </w:pPr>
            <w:r>
              <w:t>The Steering Group received an update on BRR and discussed options for the improvement of the system.  </w:t>
            </w:r>
          </w:p>
          <w:p w14:paraId="1C39A1CC" w14:textId="77777777" w:rsidR="001B5AA1" w:rsidRDefault="001B5AA1" w:rsidP="001B5AA1">
            <w:pPr>
              <w:pStyle w:val="ListParagraph"/>
              <w:numPr>
                <w:ilvl w:val="0"/>
                <w:numId w:val="43"/>
              </w:numPr>
              <w:contextualSpacing w:val="0"/>
            </w:pPr>
            <w:r>
              <w:t>They discussed the scope and practicality of retention and noted challenges and opportunities to come.  </w:t>
            </w:r>
          </w:p>
          <w:p w14:paraId="6A00DA43" w14:textId="77777777" w:rsidR="001B5AA1" w:rsidRDefault="001B5AA1" w:rsidP="001B5AA1">
            <w:pPr>
              <w:pStyle w:val="ListParagraph"/>
              <w:numPr>
                <w:ilvl w:val="0"/>
                <w:numId w:val="43"/>
              </w:numPr>
              <w:contextualSpacing w:val="0"/>
            </w:pPr>
            <w:r>
              <w:t xml:space="preserve">There was a progress update on the Fair Funding Review and the group noted the next steps which included a detailed assessment of children’s services costs and the planned Autumn Consultation document. </w:t>
            </w:r>
          </w:p>
          <w:p w14:paraId="3DC2344D" w14:textId="77777777" w:rsidR="001B5AA1" w:rsidRDefault="001B5AA1" w:rsidP="001B5AA1">
            <w:pPr>
              <w:pStyle w:val="ListParagraph"/>
              <w:numPr>
                <w:ilvl w:val="0"/>
                <w:numId w:val="43"/>
              </w:numPr>
              <w:contextualSpacing w:val="0"/>
            </w:pPr>
            <w:r>
              <w:t xml:space="preserve">There was an update on the lessons learned from the first Business Rates pilots. The group noted the value in sharing this feedback as part of application process for the next pilots. </w:t>
            </w:r>
          </w:p>
          <w:p w14:paraId="40A187C0" w14:textId="30AFC910" w:rsidR="001B5AA1" w:rsidRPr="00197550" w:rsidRDefault="001B5AA1" w:rsidP="00E87DD0">
            <w:pPr>
              <w:widowControl w:val="0"/>
              <w:rPr>
                <w:b/>
                <w:szCs w:val="22"/>
              </w:rPr>
            </w:pPr>
          </w:p>
        </w:tc>
      </w:tr>
      <w:tr w:rsidR="00E87DD0" w:rsidRPr="00197550" w14:paraId="58B6DA57" w14:textId="77777777" w:rsidTr="00690340">
        <w:trPr>
          <w:gridAfter w:val="1"/>
          <w:wAfter w:w="283" w:type="dxa"/>
        </w:trPr>
        <w:tc>
          <w:tcPr>
            <w:tcW w:w="720" w:type="dxa"/>
          </w:tcPr>
          <w:p w14:paraId="5D438C95" w14:textId="2934A635" w:rsidR="00E87DD0" w:rsidRPr="00197550" w:rsidRDefault="00E87DD0" w:rsidP="00E87DD0">
            <w:pPr>
              <w:rPr>
                <w:b/>
                <w:szCs w:val="22"/>
              </w:rPr>
            </w:pPr>
          </w:p>
        </w:tc>
        <w:tc>
          <w:tcPr>
            <w:tcW w:w="8789" w:type="dxa"/>
          </w:tcPr>
          <w:p w14:paraId="3BDE42D6" w14:textId="77777777" w:rsidR="00E87DD0" w:rsidRPr="00197550" w:rsidRDefault="00E87DD0" w:rsidP="007135F2">
            <w:pPr>
              <w:rPr>
                <w:b/>
                <w:szCs w:val="22"/>
              </w:rPr>
            </w:pPr>
          </w:p>
        </w:tc>
      </w:tr>
      <w:tr w:rsidR="00E87DD0" w:rsidRPr="00197550" w14:paraId="36E95EDD" w14:textId="77777777" w:rsidTr="00690340">
        <w:trPr>
          <w:gridAfter w:val="1"/>
          <w:wAfter w:w="283" w:type="dxa"/>
        </w:trPr>
        <w:tc>
          <w:tcPr>
            <w:tcW w:w="720" w:type="dxa"/>
          </w:tcPr>
          <w:p w14:paraId="79E32A32" w14:textId="09A9023A" w:rsidR="00E87DD0" w:rsidRPr="00197550" w:rsidRDefault="00C60A22" w:rsidP="00B37DB2">
            <w:pPr>
              <w:rPr>
                <w:rFonts w:cs="Arial Bold"/>
                <w:b/>
                <w:szCs w:val="22"/>
              </w:rPr>
            </w:pPr>
            <w:r>
              <w:rPr>
                <w:rFonts w:cs="Arial Bold"/>
                <w:b/>
                <w:szCs w:val="22"/>
              </w:rPr>
              <w:t>8</w:t>
            </w:r>
          </w:p>
        </w:tc>
        <w:tc>
          <w:tcPr>
            <w:tcW w:w="8789" w:type="dxa"/>
          </w:tcPr>
          <w:p w14:paraId="1AD6C444" w14:textId="77777777" w:rsidR="00207BE6" w:rsidRPr="00207BE6" w:rsidRDefault="00207BE6" w:rsidP="00207BE6">
            <w:pPr>
              <w:rPr>
                <w:b/>
              </w:rPr>
            </w:pPr>
            <w:r w:rsidRPr="00207BE6">
              <w:rPr>
                <w:b/>
              </w:rPr>
              <w:t>AOB</w:t>
            </w:r>
          </w:p>
          <w:p w14:paraId="3C34212C" w14:textId="77777777" w:rsidR="00E87DD0" w:rsidRPr="00197550" w:rsidRDefault="00E87DD0" w:rsidP="00567B67">
            <w:pPr>
              <w:rPr>
                <w:b/>
                <w:szCs w:val="22"/>
              </w:rPr>
            </w:pPr>
            <w:bookmarkStart w:id="0" w:name="_GoBack"/>
            <w:bookmarkEnd w:id="0"/>
          </w:p>
        </w:tc>
      </w:tr>
      <w:tr w:rsidR="00E87DD0" w:rsidRPr="00197550" w14:paraId="3B911E3D" w14:textId="77777777" w:rsidTr="00690340">
        <w:trPr>
          <w:gridAfter w:val="1"/>
          <w:wAfter w:w="283" w:type="dxa"/>
        </w:trPr>
        <w:tc>
          <w:tcPr>
            <w:tcW w:w="720" w:type="dxa"/>
          </w:tcPr>
          <w:p w14:paraId="31E921DF" w14:textId="77777777" w:rsidR="00E87DD0" w:rsidRPr="00197550" w:rsidRDefault="00E87DD0" w:rsidP="00E87DD0">
            <w:pPr>
              <w:rPr>
                <w:b/>
                <w:szCs w:val="22"/>
              </w:rPr>
            </w:pPr>
          </w:p>
        </w:tc>
        <w:tc>
          <w:tcPr>
            <w:tcW w:w="8789" w:type="dxa"/>
          </w:tcPr>
          <w:p w14:paraId="6DEFE260" w14:textId="61751F77" w:rsidR="008F6C22" w:rsidRPr="00277EEC" w:rsidRDefault="00277EEC" w:rsidP="008F6C22">
            <w:pPr>
              <w:rPr>
                <w:szCs w:val="22"/>
              </w:rPr>
            </w:pPr>
            <w:r w:rsidRPr="00277EEC">
              <w:rPr>
                <w:szCs w:val="22"/>
              </w:rPr>
              <w:t xml:space="preserve">Check Challenge Appeal implementation was raised.  The Steering Group agreed that the VOA would be asked to give an update.  </w:t>
            </w:r>
          </w:p>
          <w:p w14:paraId="03415814" w14:textId="77777777" w:rsidR="007135F2" w:rsidRDefault="007135F2" w:rsidP="008F6C22">
            <w:pPr>
              <w:rPr>
                <w:b/>
                <w:szCs w:val="22"/>
              </w:rPr>
            </w:pPr>
          </w:p>
          <w:p w14:paraId="7CDC9D8D" w14:textId="77777777" w:rsidR="007135F2" w:rsidRDefault="007135F2" w:rsidP="008F6C22">
            <w:pPr>
              <w:rPr>
                <w:b/>
                <w:szCs w:val="22"/>
              </w:rPr>
            </w:pPr>
          </w:p>
          <w:p w14:paraId="36952376" w14:textId="77777777" w:rsidR="007135F2" w:rsidRDefault="007135F2" w:rsidP="008F6C22">
            <w:pPr>
              <w:rPr>
                <w:b/>
                <w:szCs w:val="22"/>
              </w:rPr>
            </w:pPr>
          </w:p>
          <w:p w14:paraId="127E2C61" w14:textId="77777777" w:rsidR="007135F2" w:rsidRDefault="007135F2" w:rsidP="008F6C22">
            <w:pPr>
              <w:rPr>
                <w:b/>
                <w:szCs w:val="22"/>
              </w:rPr>
            </w:pPr>
          </w:p>
          <w:p w14:paraId="2BF736ED" w14:textId="77777777" w:rsidR="007135F2" w:rsidRDefault="007135F2" w:rsidP="008F6C22">
            <w:pPr>
              <w:rPr>
                <w:b/>
                <w:szCs w:val="22"/>
              </w:rPr>
            </w:pPr>
          </w:p>
          <w:p w14:paraId="4602DAF8" w14:textId="77777777" w:rsidR="007135F2" w:rsidRDefault="007135F2" w:rsidP="008F6C22">
            <w:pPr>
              <w:rPr>
                <w:b/>
                <w:szCs w:val="22"/>
              </w:rPr>
            </w:pPr>
          </w:p>
          <w:p w14:paraId="769730C2" w14:textId="77777777" w:rsidR="007135F2" w:rsidRDefault="007135F2" w:rsidP="008F6C22">
            <w:pPr>
              <w:rPr>
                <w:b/>
                <w:szCs w:val="22"/>
              </w:rPr>
            </w:pPr>
          </w:p>
          <w:p w14:paraId="21368C6C" w14:textId="77777777" w:rsidR="007135F2" w:rsidRDefault="007135F2" w:rsidP="008F6C22">
            <w:pPr>
              <w:rPr>
                <w:b/>
                <w:szCs w:val="22"/>
              </w:rPr>
            </w:pPr>
          </w:p>
          <w:p w14:paraId="44B5CE25" w14:textId="77777777" w:rsidR="007135F2" w:rsidRDefault="007135F2" w:rsidP="008F6C22">
            <w:pPr>
              <w:rPr>
                <w:b/>
                <w:szCs w:val="22"/>
              </w:rPr>
            </w:pPr>
          </w:p>
          <w:p w14:paraId="0DB24327" w14:textId="77777777" w:rsidR="007135F2" w:rsidRDefault="007135F2" w:rsidP="008F6C22">
            <w:pPr>
              <w:rPr>
                <w:b/>
                <w:szCs w:val="22"/>
              </w:rPr>
            </w:pPr>
          </w:p>
          <w:p w14:paraId="465164B4" w14:textId="77777777" w:rsidR="000266DD" w:rsidRPr="00197550" w:rsidRDefault="000266DD" w:rsidP="00696029">
            <w:pPr>
              <w:rPr>
                <w:b/>
                <w:szCs w:val="22"/>
              </w:rPr>
            </w:pPr>
          </w:p>
        </w:tc>
      </w:tr>
    </w:tbl>
    <w:p w14:paraId="4941E3A0" w14:textId="77777777" w:rsidR="00D3474D" w:rsidRPr="00197550" w:rsidRDefault="00D3474D" w:rsidP="00D3474D">
      <w:pPr>
        <w:rPr>
          <w:vanish/>
          <w:szCs w:val="22"/>
        </w:rPr>
      </w:pPr>
      <w:r w:rsidRPr="00197550">
        <w:rPr>
          <w:vanish/>
          <w:szCs w:val="22"/>
        </w:rPr>
        <w:lastRenderedPageBreak/>
        <w:t>&lt;/AI7&gt;</w:t>
      </w:r>
    </w:p>
    <w:p w14:paraId="7FC64651" w14:textId="77777777" w:rsidR="00D3474D" w:rsidRPr="00197550" w:rsidRDefault="00D3474D" w:rsidP="00D3474D">
      <w:pPr>
        <w:rPr>
          <w:vanish/>
          <w:szCs w:val="22"/>
        </w:rPr>
      </w:pPr>
      <w:r w:rsidRPr="00197550">
        <w:rPr>
          <w:vanish/>
          <w:szCs w:val="22"/>
        </w:rPr>
        <w:t>&lt;AI8&gt;</w:t>
      </w:r>
    </w:p>
    <w:p w14:paraId="74847F6B" w14:textId="77777777" w:rsidR="00D3474D" w:rsidRPr="00197550" w:rsidRDefault="00D3474D" w:rsidP="00D3474D">
      <w:pPr>
        <w:rPr>
          <w:vanish/>
          <w:szCs w:val="22"/>
        </w:rPr>
      </w:pPr>
      <w:r w:rsidRPr="00197550">
        <w:rPr>
          <w:vanish/>
          <w:szCs w:val="22"/>
        </w:rPr>
        <w:t>&lt;/AI9&gt;</w:t>
      </w:r>
    </w:p>
    <w:p w14:paraId="1A191E97" w14:textId="77777777" w:rsidR="00D3474D" w:rsidRPr="00197550" w:rsidRDefault="00D3474D" w:rsidP="00D3474D">
      <w:pPr>
        <w:rPr>
          <w:vanish/>
          <w:szCs w:val="22"/>
        </w:rPr>
      </w:pPr>
      <w:r w:rsidRPr="00197550">
        <w:rPr>
          <w:vanish/>
          <w:szCs w:val="22"/>
        </w:rPr>
        <w:t>&lt;TRAILER_SECTION&gt;</w:t>
      </w:r>
    </w:p>
    <w:p w14:paraId="50B73DED" w14:textId="77777777" w:rsidR="00D3474D" w:rsidRPr="00197550" w:rsidRDefault="00D3474D" w:rsidP="00D3474D">
      <w:pPr>
        <w:rPr>
          <w:b/>
          <w:szCs w:val="22"/>
          <w:u w:val="single"/>
        </w:rPr>
      </w:pPr>
      <w:r w:rsidRPr="00197550">
        <w:rPr>
          <w:b/>
          <w:szCs w:val="22"/>
          <w:u w:val="single"/>
        </w:rPr>
        <w:t xml:space="preserve">Appendix A - Attendance </w:t>
      </w:r>
    </w:p>
    <w:p w14:paraId="20CF9A58" w14:textId="77777777" w:rsidR="00D3474D" w:rsidRPr="00197550" w:rsidRDefault="00D3474D" w:rsidP="00D3474D">
      <w:pPr>
        <w:rPr>
          <w:color w:val="FF0000"/>
          <w:szCs w:val="22"/>
        </w:rPr>
      </w:pPr>
    </w:p>
    <w:p w14:paraId="5760F55D" w14:textId="77777777" w:rsidR="00D3474D" w:rsidRPr="00197550" w:rsidRDefault="00D3474D" w:rsidP="00D3474D">
      <w:pPr>
        <w:rPr>
          <w:vanish/>
          <w:color w:val="FF0000"/>
          <w:szCs w:val="22"/>
        </w:rPr>
      </w:pPr>
    </w:p>
    <w:p w14:paraId="3DB1D0FE" w14:textId="77777777" w:rsidR="00D3474D" w:rsidRPr="00197550" w:rsidRDefault="00D3474D" w:rsidP="00D3474D">
      <w:pPr>
        <w:rPr>
          <w:vanish/>
          <w:color w:val="FF0000"/>
          <w:szCs w:val="22"/>
        </w:rPr>
      </w:pPr>
    </w:p>
    <w:p w14:paraId="69AB82CD" w14:textId="77777777" w:rsidR="00D3474D" w:rsidRPr="00197550" w:rsidRDefault="00D3474D" w:rsidP="00D3474D">
      <w:pPr>
        <w:rPr>
          <w:color w:val="FF0000"/>
          <w:szCs w:val="22"/>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3049"/>
        <w:gridCol w:w="3776"/>
      </w:tblGrid>
      <w:tr w:rsidR="004179ED" w:rsidRPr="00197550" w14:paraId="6E79220C" w14:textId="77777777" w:rsidTr="00AE3804">
        <w:trPr>
          <w:trHeight w:val="300"/>
        </w:trPr>
        <w:tc>
          <w:tcPr>
            <w:tcW w:w="1215" w:type="pct"/>
            <w:shd w:val="clear" w:color="auto" w:fill="auto"/>
            <w:noWrap/>
            <w:vAlign w:val="bottom"/>
            <w:hideMark/>
          </w:tcPr>
          <w:p w14:paraId="73C5ED34" w14:textId="77777777" w:rsidR="004179ED" w:rsidRPr="00197550" w:rsidRDefault="004179ED" w:rsidP="00AE3804">
            <w:pPr>
              <w:rPr>
                <w:rFonts w:cs="Arial"/>
                <w:b/>
                <w:bCs/>
                <w:szCs w:val="22"/>
              </w:rPr>
            </w:pPr>
            <w:r w:rsidRPr="00197550">
              <w:rPr>
                <w:rFonts w:cs="Arial"/>
                <w:b/>
                <w:bCs/>
                <w:szCs w:val="22"/>
              </w:rPr>
              <w:t>Nominee</w:t>
            </w:r>
          </w:p>
        </w:tc>
        <w:tc>
          <w:tcPr>
            <w:tcW w:w="1691" w:type="pct"/>
            <w:shd w:val="clear" w:color="auto" w:fill="auto"/>
            <w:noWrap/>
            <w:vAlign w:val="bottom"/>
            <w:hideMark/>
          </w:tcPr>
          <w:p w14:paraId="0B29D1F7" w14:textId="77777777" w:rsidR="004179ED" w:rsidRPr="00197550" w:rsidRDefault="004179ED" w:rsidP="00AE3804">
            <w:pPr>
              <w:rPr>
                <w:rFonts w:cs="Arial"/>
                <w:b/>
                <w:bCs/>
                <w:szCs w:val="22"/>
              </w:rPr>
            </w:pPr>
            <w:r w:rsidRPr="00197550">
              <w:rPr>
                <w:rFonts w:cs="Arial"/>
                <w:b/>
                <w:bCs/>
                <w:szCs w:val="22"/>
              </w:rPr>
              <w:t>Organisation</w:t>
            </w:r>
          </w:p>
        </w:tc>
        <w:tc>
          <w:tcPr>
            <w:tcW w:w="2094" w:type="pct"/>
            <w:shd w:val="clear" w:color="auto" w:fill="auto"/>
            <w:noWrap/>
            <w:vAlign w:val="bottom"/>
            <w:hideMark/>
          </w:tcPr>
          <w:p w14:paraId="5E689DC3" w14:textId="77777777" w:rsidR="004179ED" w:rsidRPr="00197550" w:rsidRDefault="004179ED" w:rsidP="00AE3804">
            <w:pPr>
              <w:rPr>
                <w:rFonts w:cs="Arial"/>
                <w:b/>
                <w:bCs/>
                <w:szCs w:val="22"/>
              </w:rPr>
            </w:pPr>
            <w:r w:rsidRPr="00197550">
              <w:rPr>
                <w:rFonts w:cs="Arial"/>
                <w:b/>
                <w:bCs/>
                <w:szCs w:val="22"/>
              </w:rPr>
              <w:t>Signature</w:t>
            </w:r>
          </w:p>
        </w:tc>
      </w:tr>
      <w:tr w:rsidR="004179ED" w:rsidRPr="00197550" w14:paraId="49C4D602" w14:textId="77777777" w:rsidTr="00AE3804">
        <w:trPr>
          <w:trHeight w:val="285"/>
        </w:trPr>
        <w:tc>
          <w:tcPr>
            <w:tcW w:w="1215" w:type="pct"/>
            <w:shd w:val="clear" w:color="auto" w:fill="auto"/>
            <w:noWrap/>
            <w:vAlign w:val="bottom"/>
            <w:hideMark/>
          </w:tcPr>
          <w:p w14:paraId="381C08E4" w14:textId="032B6DDB" w:rsidR="004179ED" w:rsidRPr="00197550" w:rsidRDefault="00306489" w:rsidP="00AE3804">
            <w:pPr>
              <w:rPr>
                <w:rFonts w:cs="Arial"/>
                <w:szCs w:val="22"/>
              </w:rPr>
            </w:pPr>
            <w:r>
              <w:rPr>
                <w:rFonts w:cs="Arial"/>
                <w:szCs w:val="22"/>
              </w:rPr>
              <w:t>Shelia Little</w:t>
            </w:r>
          </w:p>
        </w:tc>
        <w:tc>
          <w:tcPr>
            <w:tcW w:w="1691" w:type="pct"/>
            <w:shd w:val="clear" w:color="auto" w:fill="auto"/>
            <w:noWrap/>
            <w:vAlign w:val="bottom"/>
            <w:hideMark/>
          </w:tcPr>
          <w:p w14:paraId="268DE746" w14:textId="77777777" w:rsidR="004179ED" w:rsidRPr="00197550" w:rsidRDefault="004179ED" w:rsidP="00AE3804">
            <w:pPr>
              <w:rPr>
                <w:rFonts w:cs="Arial"/>
                <w:szCs w:val="22"/>
              </w:rPr>
            </w:pPr>
            <w:r w:rsidRPr="00197550">
              <w:rPr>
                <w:rFonts w:cs="Arial"/>
                <w:szCs w:val="22"/>
              </w:rPr>
              <w:t>County Councils' Network (CCN)</w:t>
            </w:r>
          </w:p>
        </w:tc>
        <w:tc>
          <w:tcPr>
            <w:tcW w:w="2094" w:type="pct"/>
            <w:shd w:val="clear" w:color="auto" w:fill="auto"/>
            <w:noWrap/>
            <w:vAlign w:val="bottom"/>
          </w:tcPr>
          <w:p w14:paraId="2CEE371B" w14:textId="77777777" w:rsidR="004179ED" w:rsidRPr="00197550" w:rsidRDefault="004A26AF" w:rsidP="004A26AF">
            <w:pPr>
              <w:rPr>
                <w:rFonts w:cs="Arial"/>
                <w:szCs w:val="22"/>
              </w:rPr>
            </w:pPr>
            <w:r>
              <w:rPr>
                <w:rFonts w:cs="Arial"/>
                <w:szCs w:val="22"/>
              </w:rPr>
              <w:t>Present</w:t>
            </w:r>
          </w:p>
        </w:tc>
      </w:tr>
      <w:tr w:rsidR="004179ED" w:rsidRPr="00197550" w14:paraId="5AFB09D3" w14:textId="77777777" w:rsidTr="00AE3804">
        <w:trPr>
          <w:trHeight w:val="285"/>
        </w:trPr>
        <w:tc>
          <w:tcPr>
            <w:tcW w:w="1215" w:type="pct"/>
            <w:shd w:val="clear" w:color="auto" w:fill="auto"/>
            <w:noWrap/>
            <w:vAlign w:val="bottom"/>
            <w:hideMark/>
          </w:tcPr>
          <w:p w14:paraId="1F52E458" w14:textId="75F455C1" w:rsidR="004179ED" w:rsidRPr="00197550" w:rsidRDefault="00E2717D" w:rsidP="000F5FB4">
            <w:pPr>
              <w:rPr>
                <w:rFonts w:cs="Arial"/>
                <w:szCs w:val="22"/>
              </w:rPr>
            </w:pPr>
            <w:r>
              <w:rPr>
                <w:rFonts w:cs="Arial"/>
                <w:szCs w:val="22"/>
              </w:rPr>
              <w:t xml:space="preserve">Graham </w:t>
            </w:r>
            <w:proofErr w:type="spellStart"/>
            <w:r>
              <w:rPr>
                <w:rFonts w:cs="Arial"/>
                <w:szCs w:val="22"/>
              </w:rPr>
              <w:t>Soul</w:t>
            </w:r>
            <w:r w:rsidR="000F5FB4">
              <w:rPr>
                <w:rFonts w:cs="Arial"/>
                <w:szCs w:val="22"/>
              </w:rPr>
              <w:t>s</w:t>
            </w:r>
            <w:r>
              <w:rPr>
                <w:rFonts w:cs="Arial"/>
                <w:szCs w:val="22"/>
              </w:rPr>
              <w:t>by</w:t>
            </w:r>
            <w:proofErr w:type="spellEnd"/>
          </w:p>
        </w:tc>
        <w:tc>
          <w:tcPr>
            <w:tcW w:w="1691" w:type="pct"/>
            <w:shd w:val="clear" w:color="auto" w:fill="auto"/>
            <w:noWrap/>
            <w:vAlign w:val="bottom"/>
            <w:hideMark/>
          </w:tcPr>
          <w:p w14:paraId="4A0EC0BC" w14:textId="77777777" w:rsidR="004179ED" w:rsidRPr="00197550" w:rsidRDefault="004179ED" w:rsidP="00AE3804">
            <w:pPr>
              <w:rPr>
                <w:rFonts w:cs="Arial"/>
                <w:szCs w:val="22"/>
              </w:rPr>
            </w:pPr>
            <w:r w:rsidRPr="00197550">
              <w:rPr>
                <w:rFonts w:cs="Arial"/>
                <w:szCs w:val="22"/>
              </w:rPr>
              <w:t>District Councils' Network (DCN)</w:t>
            </w:r>
          </w:p>
        </w:tc>
        <w:tc>
          <w:tcPr>
            <w:tcW w:w="2094" w:type="pct"/>
            <w:shd w:val="clear" w:color="auto" w:fill="auto"/>
            <w:noWrap/>
            <w:vAlign w:val="bottom"/>
          </w:tcPr>
          <w:p w14:paraId="3304D20D" w14:textId="2A161E22" w:rsidR="004179ED" w:rsidRPr="00197550" w:rsidRDefault="00E2717D" w:rsidP="00AE3804">
            <w:pPr>
              <w:rPr>
                <w:rFonts w:cs="Arial"/>
                <w:szCs w:val="22"/>
              </w:rPr>
            </w:pPr>
            <w:r>
              <w:rPr>
                <w:rFonts w:cs="Arial"/>
                <w:szCs w:val="22"/>
              </w:rPr>
              <w:t>Present</w:t>
            </w:r>
          </w:p>
        </w:tc>
      </w:tr>
      <w:tr w:rsidR="004179ED" w:rsidRPr="00197550" w14:paraId="20998567" w14:textId="77777777" w:rsidTr="00AE3804">
        <w:trPr>
          <w:trHeight w:val="285"/>
        </w:trPr>
        <w:tc>
          <w:tcPr>
            <w:tcW w:w="1215" w:type="pct"/>
            <w:shd w:val="clear" w:color="auto" w:fill="auto"/>
            <w:noWrap/>
            <w:vAlign w:val="bottom"/>
            <w:hideMark/>
          </w:tcPr>
          <w:p w14:paraId="6BB4B9F8" w14:textId="77777777" w:rsidR="004179ED" w:rsidRPr="00197550" w:rsidRDefault="004179ED" w:rsidP="00AE3804">
            <w:pPr>
              <w:rPr>
                <w:rFonts w:cs="Arial"/>
                <w:szCs w:val="22"/>
              </w:rPr>
            </w:pPr>
            <w:r w:rsidRPr="00197550">
              <w:rPr>
                <w:rFonts w:cs="Arial"/>
                <w:szCs w:val="22"/>
              </w:rPr>
              <w:t>Frances Foster</w:t>
            </w:r>
          </w:p>
        </w:tc>
        <w:tc>
          <w:tcPr>
            <w:tcW w:w="1691" w:type="pct"/>
            <w:shd w:val="clear" w:color="auto" w:fill="auto"/>
            <w:noWrap/>
            <w:vAlign w:val="bottom"/>
            <w:hideMark/>
          </w:tcPr>
          <w:p w14:paraId="0F4F4287" w14:textId="77777777" w:rsidR="004179ED" w:rsidRPr="00197550" w:rsidRDefault="004179ED" w:rsidP="00AE3804">
            <w:pPr>
              <w:rPr>
                <w:rFonts w:cs="Arial"/>
                <w:szCs w:val="22"/>
              </w:rPr>
            </w:pPr>
            <w:r w:rsidRPr="00197550">
              <w:rPr>
                <w:rFonts w:cs="Arial"/>
                <w:szCs w:val="22"/>
              </w:rPr>
              <w:t>Special Interest Group of Municipal Authorities (SIGOMA)</w:t>
            </w:r>
          </w:p>
        </w:tc>
        <w:tc>
          <w:tcPr>
            <w:tcW w:w="2094" w:type="pct"/>
            <w:shd w:val="clear" w:color="auto" w:fill="auto"/>
            <w:noWrap/>
            <w:vAlign w:val="bottom"/>
          </w:tcPr>
          <w:p w14:paraId="6EB7EA04" w14:textId="77777777" w:rsidR="004179ED" w:rsidRPr="00197550" w:rsidRDefault="005B3376" w:rsidP="00AE3804">
            <w:pPr>
              <w:rPr>
                <w:rFonts w:cs="Arial"/>
                <w:szCs w:val="22"/>
              </w:rPr>
            </w:pPr>
            <w:r>
              <w:rPr>
                <w:rFonts w:cs="Arial"/>
                <w:szCs w:val="22"/>
              </w:rPr>
              <w:t>Apologies</w:t>
            </w:r>
          </w:p>
        </w:tc>
      </w:tr>
      <w:tr w:rsidR="004179ED" w:rsidRPr="00197550" w14:paraId="6A5BBEAA" w14:textId="77777777" w:rsidTr="00AE3804">
        <w:trPr>
          <w:trHeight w:val="285"/>
        </w:trPr>
        <w:tc>
          <w:tcPr>
            <w:tcW w:w="1215" w:type="pct"/>
            <w:shd w:val="clear" w:color="auto" w:fill="auto"/>
            <w:noWrap/>
            <w:vAlign w:val="bottom"/>
          </w:tcPr>
          <w:p w14:paraId="3C9F9443" w14:textId="77777777" w:rsidR="004179ED" w:rsidRPr="00197550" w:rsidRDefault="004179ED" w:rsidP="00AE3804">
            <w:pPr>
              <w:rPr>
                <w:rFonts w:cs="Arial"/>
                <w:szCs w:val="22"/>
              </w:rPr>
            </w:pPr>
            <w:r w:rsidRPr="00197550">
              <w:rPr>
                <w:rFonts w:cs="Arial"/>
                <w:szCs w:val="22"/>
              </w:rPr>
              <w:t xml:space="preserve">Paul Martin </w:t>
            </w:r>
          </w:p>
        </w:tc>
        <w:tc>
          <w:tcPr>
            <w:tcW w:w="1691" w:type="pct"/>
            <w:shd w:val="clear" w:color="auto" w:fill="auto"/>
            <w:noWrap/>
            <w:vAlign w:val="bottom"/>
          </w:tcPr>
          <w:p w14:paraId="5107B1FE" w14:textId="77777777" w:rsidR="004179ED" w:rsidRPr="00197550" w:rsidRDefault="004179ED" w:rsidP="00AE3804">
            <w:pPr>
              <w:rPr>
                <w:rFonts w:cs="Arial"/>
                <w:szCs w:val="22"/>
              </w:rPr>
            </w:pPr>
            <w:r w:rsidRPr="00197550">
              <w:rPr>
                <w:rFonts w:cs="Arial"/>
                <w:szCs w:val="22"/>
              </w:rPr>
              <w:t>Society of Local Authority Chief Executives (SOLACE)</w:t>
            </w:r>
          </w:p>
        </w:tc>
        <w:tc>
          <w:tcPr>
            <w:tcW w:w="2094" w:type="pct"/>
            <w:shd w:val="clear" w:color="auto" w:fill="auto"/>
            <w:noWrap/>
            <w:vAlign w:val="bottom"/>
          </w:tcPr>
          <w:p w14:paraId="2F444D71" w14:textId="77777777" w:rsidR="004179ED" w:rsidRPr="00197550" w:rsidRDefault="005B3376" w:rsidP="00AE3804">
            <w:pPr>
              <w:rPr>
                <w:rFonts w:cs="Arial"/>
                <w:szCs w:val="22"/>
              </w:rPr>
            </w:pPr>
            <w:r>
              <w:rPr>
                <w:rFonts w:cs="Arial"/>
                <w:szCs w:val="22"/>
              </w:rPr>
              <w:t>Apologies</w:t>
            </w:r>
          </w:p>
        </w:tc>
      </w:tr>
      <w:tr w:rsidR="004179ED" w:rsidRPr="00197550" w14:paraId="51BC28F9" w14:textId="77777777" w:rsidTr="00AE3804">
        <w:trPr>
          <w:trHeight w:val="285"/>
        </w:trPr>
        <w:tc>
          <w:tcPr>
            <w:tcW w:w="1215" w:type="pct"/>
            <w:shd w:val="clear" w:color="auto" w:fill="auto"/>
            <w:noWrap/>
            <w:vAlign w:val="bottom"/>
          </w:tcPr>
          <w:p w14:paraId="5CAE7F0F" w14:textId="77777777" w:rsidR="004179ED" w:rsidRPr="00197550" w:rsidRDefault="004179ED" w:rsidP="00AE3804">
            <w:pPr>
              <w:rPr>
                <w:rFonts w:cs="Arial"/>
                <w:szCs w:val="22"/>
              </w:rPr>
            </w:pPr>
            <w:r w:rsidRPr="00197550">
              <w:rPr>
                <w:rFonts w:cs="Arial"/>
                <w:szCs w:val="22"/>
              </w:rPr>
              <w:t>Pat Ritchie</w:t>
            </w:r>
          </w:p>
        </w:tc>
        <w:tc>
          <w:tcPr>
            <w:tcW w:w="1691" w:type="pct"/>
            <w:shd w:val="clear" w:color="auto" w:fill="auto"/>
            <w:noWrap/>
            <w:vAlign w:val="bottom"/>
          </w:tcPr>
          <w:p w14:paraId="2D4D5398" w14:textId="0FDAF73A" w:rsidR="004179ED" w:rsidRPr="00197550" w:rsidRDefault="00306489" w:rsidP="00AE3804">
            <w:pPr>
              <w:rPr>
                <w:rFonts w:cs="Arial"/>
                <w:szCs w:val="22"/>
              </w:rPr>
            </w:pPr>
            <w:r w:rsidRPr="00306489">
              <w:rPr>
                <w:rFonts w:cs="Arial"/>
                <w:szCs w:val="22"/>
              </w:rPr>
              <w:t>Society of Local Authority Chief Executives (SOLACE)</w:t>
            </w:r>
          </w:p>
        </w:tc>
        <w:tc>
          <w:tcPr>
            <w:tcW w:w="2094" w:type="pct"/>
            <w:shd w:val="clear" w:color="auto" w:fill="auto"/>
            <w:noWrap/>
            <w:vAlign w:val="bottom"/>
          </w:tcPr>
          <w:p w14:paraId="0A8CAC57" w14:textId="77777777" w:rsidR="004179ED" w:rsidRPr="00197550" w:rsidRDefault="004A26AF" w:rsidP="00AE3804">
            <w:pPr>
              <w:rPr>
                <w:rFonts w:cs="Arial"/>
                <w:szCs w:val="22"/>
              </w:rPr>
            </w:pPr>
            <w:r>
              <w:rPr>
                <w:rFonts w:cs="Arial"/>
                <w:szCs w:val="22"/>
              </w:rPr>
              <w:t>Apologies</w:t>
            </w:r>
          </w:p>
        </w:tc>
      </w:tr>
      <w:tr w:rsidR="00306489" w:rsidRPr="00197550" w14:paraId="3C9FF76B" w14:textId="77777777" w:rsidTr="00AE3804">
        <w:trPr>
          <w:trHeight w:val="285"/>
        </w:trPr>
        <w:tc>
          <w:tcPr>
            <w:tcW w:w="1215" w:type="pct"/>
            <w:shd w:val="clear" w:color="auto" w:fill="auto"/>
            <w:noWrap/>
            <w:vAlign w:val="bottom"/>
          </w:tcPr>
          <w:p w14:paraId="01DED7B3" w14:textId="5FE38655" w:rsidR="00306489" w:rsidRPr="00197550" w:rsidRDefault="00306489" w:rsidP="00AE3804">
            <w:pPr>
              <w:rPr>
                <w:rFonts w:cs="Arial"/>
                <w:szCs w:val="22"/>
              </w:rPr>
            </w:pPr>
            <w:r>
              <w:rPr>
                <w:rFonts w:cs="Arial"/>
                <w:szCs w:val="22"/>
              </w:rPr>
              <w:t xml:space="preserve">Richard </w:t>
            </w:r>
            <w:proofErr w:type="spellStart"/>
            <w:r>
              <w:rPr>
                <w:rFonts w:cs="Arial"/>
                <w:szCs w:val="22"/>
              </w:rPr>
              <w:t>Flinton</w:t>
            </w:r>
            <w:proofErr w:type="spellEnd"/>
          </w:p>
        </w:tc>
        <w:tc>
          <w:tcPr>
            <w:tcW w:w="1691" w:type="pct"/>
            <w:shd w:val="clear" w:color="auto" w:fill="auto"/>
            <w:noWrap/>
            <w:vAlign w:val="bottom"/>
          </w:tcPr>
          <w:p w14:paraId="5D059B5C" w14:textId="14C91BE8" w:rsidR="00306489" w:rsidRPr="00306489" w:rsidRDefault="00306489" w:rsidP="00AE3804">
            <w:pPr>
              <w:rPr>
                <w:rFonts w:cs="Arial"/>
                <w:szCs w:val="22"/>
              </w:rPr>
            </w:pPr>
            <w:r w:rsidRPr="00306489">
              <w:rPr>
                <w:rFonts w:cs="Arial"/>
                <w:szCs w:val="22"/>
              </w:rPr>
              <w:t>Society of Local Authority Chief Executives (SOLACE)</w:t>
            </w:r>
          </w:p>
        </w:tc>
        <w:tc>
          <w:tcPr>
            <w:tcW w:w="2094" w:type="pct"/>
            <w:shd w:val="clear" w:color="auto" w:fill="auto"/>
            <w:noWrap/>
            <w:vAlign w:val="bottom"/>
          </w:tcPr>
          <w:p w14:paraId="3B260524" w14:textId="02404B42" w:rsidR="00306489" w:rsidRDefault="00306489" w:rsidP="00AE3804">
            <w:pPr>
              <w:rPr>
                <w:rFonts w:cs="Arial"/>
                <w:szCs w:val="22"/>
              </w:rPr>
            </w:pPr>
            <w:r>
              <w:rPr>
                <w:rFonts w:cs="Arial"/>
                <w:szCs w:val="22"/>
              </w:rPr>
              <w:t>Present</w:t>
            </w:r>
          </w:p>
        </w:tc>
      </w:tr>
      <w:tr w:rsidR="004A26AF" w:rsidRPr="00197550" w14:paraId="2A017B83" w14:textId="77777777" w:rsidTr="00AE3804">
        <w:trPr>
          <w:trHeight w:val="285"/>
        </w:trPr>
        <w:tc>
          <w:tcPr>
            <w:tcW w:w="1215" w:type="pct"/>
            <w:shd w:val="clear" w:color="auto" w:fill="auto"/>
            <w:noWrap/>
            <w:vAlign w:val="bottom"/>
          </w:tcPr>
          <w:p w14:paraId="3A7CA81B" w14:textId="7BC826A2" w:rsidR="004A26AF" w:rsidRPr="00197550" w:rsidRDefault="00306489" w:rsidP="00AE3804">
            <w:pPr>
              <w:rPr>
                <w:rFonts w:cs="Arial"/>
                <w:szCs w:val="22"/>
              </w:rPr>
            </w:pPr>
            <w:r>
              <w:rPr>
                <w:rFonts w:cs="Arial"/>
                <w:szCs w:val="22"/>
              </w:rPr>
              <w:t>Mike Curtis</w:t>
            </w:r>
          </w:p>
        </w:tc>
        <w:tc>
          <w:tcPr>
            <w:tcW w:w="1691" w:type="pct"/>
            <w:shd w:val="clear" w:color="auto" w:fill="auto"/>
            <w:noWrap/>
            <w:vAlign w:val="bottom"/>
          </w:tcPr>
          <w:p w14:paraId="5B49F0DE" w14:textId="7078D7C7" w:rsidR="004A26AF" w:rsidRPr="00197550" w:rsidRDefault="00306489" w:rsidP="00AE3804">
            <w:pPr>
              <w:rPr>
                <w:rFonts w:cs="Arial"/>
                <w:szCs w:val="22"/>
              </w:rPr>
            </w:pPr>
            <w:r w:rsidRPr="00306489">
              <w:rPr>
                <w:rFonts w:cs="Arial"/>
                <w:szCs w:val="22"/>
              </w:rPr>
              <w:t>Society of London Treasurers (SLT) - ALATS</w:t>
            </w:r>
          </w:p>
        </w:tc>
        <w:tc>
          <w:tcPr>
            <w:tcW w:w="2094" w:type="pct"/>
            <w:shd w:val="clear" w:color="auto" w:fill="auto"/>
            <w:noWrap/>
            <w:vAlign w:val="bottom"/>
          </w:tcPr>
          <w:p w14:paraId="3EAA656A" w14:textId="5705F50C" w:rsidR="004A26AF" w:rsidRDefault="00306489" w:rsidP="00AE3804">
            <w:pPr>
              <w:rPr>
                <w:rFonts w:cs="Arial"/>
                <w:szCs w:val="22"/>
              </w:rPr>
            </w:pPr>
            <w:r>
              <w:rPr>
                <w:rFonts w:cs="Arial"/>
                <w:szCs w:val="22"/>
              </w:rPr>
              <w:t>Apologies</w:t>
            </w:r>
          </w:p>
        </w:tc>
      </w:tr>
      <w:tr w:rsidR="004179ED" w:rsidRPr="00197550" w14:paraId="12DC641A" w14:textId="77777777" w:rsidTr="00AE3804">
        <w:trPr>
          <w:trHeight w:val="285"/>
        </w:trPr>
        <w:tc>
          <w:tcPr>
            <w:tcW w:w="1215" w:type="pct"/>
            <w:shd w:val="clear" w:color="auto" w:fill="auto"/>
            <w:noWrap/>
            <w:vAlign w:val="bottom"/>
            <w:hideMark/>
          </w:tcPr>
          <w:p w14:paraId="15EC0890" w14:textId="66FAD704" w:rsidR="004179ED" w:rsidRPr="00197550" w:rsidRDefault="00306489" w:rsidP="00AE3804">
            <w:pPr>
              <w:rPr>
                <w:rFonts w:cs="Arial"/>
                <w:szCs w:val="22"/>
              </w:rPr>
            </w:pPr>
            <w:r>
              <w:rPr>
                <w:rFonts w:cs="Arial"/>
                <w:szCs w:val="22"/>
              </w:rPr>
              <w:t>Paul Wildsmith</w:t>
            </w:r>
          </w:p>
        </w:tc>
        <w:tc>
          <w:tcPr>
            <w:tcW w:w="1691" w:type="pct"/>
            <w:shd w:val="clear" w:color="auto" w:fill="auto"/>
            <w:noWrap/>
            <w:vAlign w:val="bottom"/>
            <w:hideMark/>
          </w:tcPr>
          <w:p w14:paraId="1B114A17" w14:textId="542F8704" w:rsidR="004179ED" w:rsidRPr="00197550" w:rsidRDefault="00306489" w:rsidP="00AE3804">
            <w:pPr>
              <w:rPr>
                <w:rFonts w:cs="Arial"/>
                <w:szCs w:val="22"/>
              </w:rPr>
            </w:pPr>
            <w:r>
              <w:rPr>
                <w:rFonts w:cs="Arial"/>
                <w:szCs w:val="22"/>
              </w:rPr>
              <w:t xml:space="preserve">Society of Municipal Treasurers (SMT) - ALATS </w:t>
            </w:r>
          </w:p>
        </w:tc>
        <w:tc>
          <w:tcPr>
            <w:tcW w:w="2094" w:type="pct"/>
            <w:shd w:val="clear" w:color="auto" w:fill="auto"/>
            <w:noWrap/>
            <w:vAlign w:val="bottom"/>
          </w:tcPr>
          <w:p w14:paraId="01541CAA" w14:textId="1A96AADF" w:rsidR="004179ED" w:rsidRPr="00197550" w:rsidRDefault="00306489" w:rsidP="00AE3804">
            <w:pPr>
              <w:rPr>
                <w:rFonts w:cs="Arial"/>
                <w:szCs w:val="22"/>
              </w:rPr>
            </w:pPr>
            <w:r>
              <w:rPr>
                <w:rFonts w:cs="Arial"/>
                <w:szCs w:val="22"/>
              </w:rPr>
              <w:t>Apologies</w:t>
            </w:r>
          </w:p>
        </w:tc>
      </w:tr>
      <w:tr w:rsidR="004179ED" w:rsidRPr="00197550" w14:paraId="3EBE8264" w14:textId="77777777" w:rsidTr="00AE3804">
        <w:trPr>
          <w:trHeight w:val="285"/>
        </w:trPr>
        <w:tc>
          <w:tcPr>
            <w:tcW w:w="1215" w:type="pct"/>
            <w:shd w:val="clear" w:color="auto" w:fill="auto"/>
            <w:noWrap/>
            <w:vAlign w:val="bottom"/>
            <w:hideMark/>
          </w:tcPr>
          <w:p w14:paraId="43D89E1C" w14:textId="4915BF8F" w:rsidR="004179ED" w:rsidRPr="00197550" w:rsidRDefault="00306489" w:rsidP="00AE3804">
            <w:pPr>
              <w:rPr>
                <w:rFonts w:cs="Arial"/>
                <w:szCs w:val="22"/>
              </w:rPr>
            </w:pPr>
            <w:r>
              <w:rPr>
                <w:rFonts w:cs="Arial"/>
                <w:szCs w:val="22"/>
              </w:rPr>
              <w:t>Pete Moore</w:t>
            </w:r>
          </w:p>
        </w:tc>
        <w:tc>
          <w:tcPr>
            <w:tcW w:w="1691" w:type="pct"/>
            <w:shd w:val="clear" w:color="auto" w:fill="auto"/>
            <w:noWrap/>
            <w:vAlign w:val="bottom"/>
            <w:hideMark/>
          </w:tcPr>
          <w:p w14:paraId="683678C1" w14:textId="77777777" w:rsidR="004179ED" w:rsidRPr="00197550" w:rsidRDefault="004179ED" w:rsidP="00AE3804">
            <w:pPr>
              <w:rPr>
                <w:rFonts w:cs="Arial"/>
                <w:szCs w:val="22"/>
              </w:rPr>
            </w:pPr>
            <w:r w:rsidRPr="00197550">
              <w:rPr>
                <w:rFonts w:cs="Arial"/>
                <w:szCs w:val="22"/>
              </w:rPr>
              <w:t>Society of County Treasurers (SCT) - ALATS</w:t>
            </w:r>
          </w:p>
        </w:tc>
        <w:tc>
          <w:tcPr>
            <w:tcW w:w="2094" w:type="pct"/>
            <w:shd w:val="clear" w:color="auto" w:fill="auto"/>
            <w:noWrap/>
            <w:vAlign w:val="bottom"/>
          </w:tcPr>
          <w:p w14:paraId="0CC36320" w14:textId="77777777" w:rsidR="004179ED" w:rsidRPr="00197550" w:rsidRDefault="004A26AF" w:rsidP="00AE3804">
            <w:pPr>
              <w:rPr>
                <w:rFonts w:cs="Arial"/>
                <w:szCs w:val="22"/>
              </w:rPr>
            </w:pPr>
            <w:r>
              <w:rPr>
                <w:rFonts w:cs="Arial"/>
                <w:szCs w:val="22"/>
              </w:rPr>
              <w:t>Present</w:t>
            </w:r>
          </w:p>
        </w:tc>
      </w:tr>
      <w:tr w:rsidR="004179ED" w:rsidRPr="00197550" w14:paraId="7AA12870" w14:textId="77777777" w:rsidTr="00AE3804">
        <w:trPr>
          <w:trHeight w:val="285"/>
        </w:trPr>
        <w:tc>
          <w:tcPr>
            <w:tcW w:w="1215" w:type="pct"/>
            <w:shd w:val="clear" w:color="auto" w:fill="auto"/>
            <w:noWrap/>
            <w:vAlign w:val="bottom"/>
            <w:hideMark/>
          </w:tcPr>
          <w:p w14:paraId="2D9CFFE9" w14:textId="7F418D69" w:rsidR="004179ED" w:rsidRPr="00197550" w:rsidRDefault="00306489" w:rsidP="00AE3804">
            <w:pPr>
              <w:rPr>
                <w:rFonts w:cs="Arial"/>
                <w:szCs w:val="22"/>
              </w:rPr>
            </w:pPr>
            <w:r>
              <w:rPr>
                <w:rFonts w:cs="Arial"/>
                <w:szCs w:val="22"/>
              </w:rPr>
              <w:t>Jill Penn</w:t>
            </w:r>
            <w:r w:rsidR="004179ED" w:rsidRPr="00197550">
              <w:rPr>
                <w:rFonts w:cs="Arial"/>
                <w:szCs w:val="22"/>
              </w:rPr>
              <w:t xml:space="preserve"> </w:t>
            </w:r>
          </w:p>
        </w:tc>
        <w:tc>
          <w:tcPr>
            <w:tcW w:w="1691" w:type="pct"/>
            <w:shd w:val="clear" w:color="auto" w:fill="auto"/>
            <w:noWrap/>
            <w:vAlign w:val="bottom"/>
            <w:hideMark/>
          </w:tcPr>
          <w:p w14:paraId="7B124F5A" w14:textId="77777777" w:rsidR="004179ED" w:rsidRPr="00197550" w:rsidRDefault="004179ED" w:rsidP="00AE3804">
            <w:pPr>
              <w:rPr>
                <w:rFonts w:cs="Arial"/>
                <w:szCs w:val="22"/>
              </w:rPr>
            </w:pPr>
            <w:r w:rsidRPr="00197550">
              <w:rPr>
                <w:rFonts w:cs="Arial"/>
                <w:szCs w:val="22"/>
              </w:rPr>
              <w:t>Society of District Council Treasurers (SDCT) - ALATS</w:t>
            </w:r>
          </w:p>
        </w:tc>
        <w:tc>
          <w:tcPr>
            <w:tcW w:w="2094" w:type="pct"/>
            <w:shd w:val="clear" w:color="auto" w:fill="auto"/>
            <w:noWrap/>
            <w:vAlign w:val="bottom"/>
          </w:tcPr>
          <w:p w14:paraId="087B3B5E" w14:textId="3CDA93DF" w:rsidR="004179ED" w:rsidRPr="00197550" w:rsidRDefault="00306489" w:rsidP="00AE3804">
            <w:pPr>
              <w:rPr>
                <w:rFonts w:cs="Arial"/>
                <w:szCs w:val="22"/>
              </w:rPr>
            </w:pPr>
            <w:r>
              <w:rPr>
                <w:rFonts w:cs="Arial"/>
                <w:szCs w:val="22"/>
              </w:rPr>
              <w:t>Present</w:t>
            </w:r>
          </w:p>
        </w:tc>
      </w:tr>
      <w:tr w:rsidR="004179ED" w:rsidRPr="00197550" w14:paraId="4493058D" w14:textId="77777777" w:rsidTr="00AE3804">
        <w:trPr>
          <w:trHeight w:val="285"/>
        </w:trPr>
        <w:tc>
          <w:tcPr>
            <w:tcW w:w="1215" w:type="pct"/>
            <w:shd w:val="clear" w:color="auto" w:fill="auto"/>
            <w:noWrap/>
            <w:vAlign w:val="bottom"/>
            <w:hideMark/>
          </w:tcPr>
          <w:p w14:paraId="13993FBC" w14:textId="29A6597C" w:rsidR="004179ED" w:rsidRPr="00197550" w:rsidRDefault="00306489" w:rsidP="00AE3804">
            <w:pPr>
              <w:rPr>
                <w:rFonts w:cs="Arial"/>
                <w:szCs w:val="22"/>
              </w:rPr>
            </w:pPr>
            <w:r>
              <w:rPr>
                <w:rFonts w:cs="Arial"/>
                <w:szCs w:val="22"/>
              </w:rPr>
              <w:t>Joe Chesterton</w:t>
            </w:r>
            <w:r w:rsidR="004179ED" w:rsidRPr="00197550">
              <w:rPr>
                <w:rFonts w:cs="Arial"/>
                <w:szCs w:val="22"/>
              </w:rPr>
              <w:t xml:space="preserve"> </w:t>
            </w:r>
          </w:p>
        </w:tc>
        <w:tc>
          <w:tcPr>
            <w:tcW w:w="1691" w:type="pct"/>
            <w:shd w:val="clear" w:color="auto" w:fill="auto"/>
            <w:noWrap/>
            <w:vAlign w:val="bottom"/>
            <w:hideMark/>
          </w:tcPr>
          <w:p w14:paraId="792ECA43" w14:textId="77777777" w:rsidR="004179ED" w:rsidRPr="00197550" w:rsidRDefault="004179ED" w:rsidP="00AE3804">
            <w:pPr>
              <w:rPr>
                <w:rFonts w:cs="Arial"/>
                <w:szCs w:val="22"/>
              </w:rPr>
            </w:pPr>
            <w:r w:rsidRPr="00197550">
              <w:rPr>
                <w:rFonts w:cs="Arial"/>
                <w:szCs w:val="22"/>
              </w:rPr>
              <w:t>Society of Unitary Treasurers (SUT) - ALATS</w:t>
            </w:r>
          </w:p>
        </w:tc>
        <w:tc>
          <w:tcPr>
            <w:tcW w:w="2094" w:type="pct"/>
            <w:shd w:val="clear" w:color="auto" w:fill="auto"/>
            <w:noWrap/>
            <w:vAlign w:val="bottom"/>
          </w:tcPr>
          <w:p w14:paraId="13126AAC" w14:textId="77777777" w:rsidR="004179ED" w:rsidRPr="00197550" w:rsidRDefault="004A26AF" w:rsidP="00AE3804">
            <w:pPr>
              <w:rPr>
                <w:rFonts w:cs="Arial"/>
                <w:szCs w:val="22"/>
              </w:rPr>
            </w:pPr>
            <w:r>
              <w:rPr>
                <w:rFonts w:cs="Arial"/>
                <w:szCs w:val="22"/>
              </w:rPr>
              <w:t>Present</w:t>
            </w:r>
          </w:p>
        </w:tc>
      </w:tr>
      <w:tr w:rsidR="00306489" w:rsidRPr="00197550" w14:paraId="19DFABC5" w14:textId="77777777" w:rsidTr="00AE3804">
        <w:trPr>
          <w:trHeight w:val="285"/>
        </w:trPr>
        <w:tc>
          <w:tcPr>
            <w:tcW w:w="1215" w:type="pct"/>
            <w:shd w:val="clear" w:color="auto" w:fill="auto"/>
            <w:noWrap/>
            <w:vAlign w:val="bottom"/>
          </w:tcPr>
          <w:p w14:paraId="5748CD7C" w14:textId="1708B229" w:rsidR="00306489" w:rsidRPr="00197550" w:rsidRDefault="00306489" w:rsidP="00306489">
            <w:pPr>
              <w:rPr>
                <w:rFonts w:cs="Arial"/>
                <w:szCs w:val="22"/>
              </w:rPr>
            </w:pPr>
            <w:r w:rsidRPr="00197550">
              <w:rPr>
                <w:rFonts w:cs="Arial"/>
                <w:bCs/>
                <w:szCs w:val="22"/>
              </w:rPr>
              <w:t>Richard Paver</w:t>
            </w:r>
          </w:p>
        </w:tc>
        <w:tc>
          <w:tcPr>
            <w:tcW w:w="1691" w:type="pct"/>
            <w:shd w:val="clear" w:color="auto" w:fill="auto"/>
            <w:noWrap/>
            <w:vAlign w:val="bottom"/>
          </w:tcPr>
          <w:p w14:paraId="1EFFF108" w14:textId="0D49BC4A" w:rsidR="00306489" w:rsidRPr="00197550" w:rsidRDefault="00306489" w:rsidP="00306489">
            <w:pPr>
              <w:rPr>
                <w:rFonts w:cs="Arial"/>
                <w:szCs w:val="22"/>
              </w:rPr>
            </w:pPr>
            <w:r w:rsidRPr="00197550">
              <w:rPr>
                <w:rFonts w:cs="Arial"/>
                <w:bCs/>
                <w:szCs w:val="22"/>
              </w:rPr>
              <w:t>Greater Manchester Combined Authority</w:t>
            </w:r>
          </w:p>
        </w:tc>
        <w:tc>
          <w:tcPr>
            <w:tcW w:w="2094" w:type="pct"/>
            <w:shd w:val="clear" w:color="auto" w:fill="auto"/>
            <w:noWrap/>
            <w:vAlign w:val="bottom"/>
          </w:tcPr>
          <w:p w14:paraId="5BCE715C" w14:textId="1E06D21D" w:rsidR="00306489" w:rsidRPr="00197550" w:rsidRDefault="00306489" w:rsidP="00306489">
            <w:pPr>
              <w:rPr>
                <w:rFonts w:cs="Arial"/>
                <w:szCs w:val="22"/>
              </w:rPr>
            </w:pPr>
            <w:r>
              <w:rPr>
                <w:rFonts w:cs="Arial"/>
                <w:szCs w:val="22"/>
              </w:rPr>
              <w:t>Present</w:t>
            </w:r>
          </w:p>
        </w:tc>
      </w:tr>
      <w:tr w:rsidR="00306489" w:rsidRPr="00197550" w14:paraId="240BB042" w14:textId="77777777" w:rsidTr="00AE3804">
        <w:trPr>
          <w:trHeight w:val="285"/>
        </w:trPr>
        <w:tc>
          <w:tcPr>
            <w:tcW w:w="1215" w:type="pct"/>
            <w:shd w:val="clear" w:color="auto" w:fill="auto"/>
            <w:noWrap/>
            <w:vAlign w:val="bottom"/>
            <w:hideMark/>
          </w:tcPr>
          <w:p w14:paraId="34CD53C6" w14:textId="17A3E0E1" w:rsidR="00306489" w:rsidRPr="00197550" w:rsidRDefault="00EB780A" w:rsidP="00306489">
            <w:pPr>
              <w:rPr>
                <w:rFonts w:cs="Arial"/>
                <w:szCs w:val="22"/>
              </w:rPr>
            </w:pPr>
            <w:r>
              <w:rPr>
                <w:rFonts w:cs="Arial"/>
                <w:szCs w:val="22"/>
              </w:rPr>
              <w:t>Guy Ware</w:t>
            </w:r>
          </w:p>
        </w:tc>
        <w:tc>
          <w:tcPr>
            <w:tcW w:w="1691" w:type="pct"/>
            <w:shd w:val="clear" w:color="auto" w:fill="auto"/>
            <w:noWrap/>
            <w:vAlign w:val="bottom"/>
            <w:hideMark/>
          </w:tcPr>
          <w:p w14:paraId="4413970A" w14:textId="0B2C6B2A" w:rsidR="00306489" w:rsidRPr="00197550" w:rsidRDefault="00EB780A" w:rsidP="00306489">
            <w:pPr>
              <w:rPr>
                <w:rFonts w:cs="Arial"/>
                <w:szCs w:val="22"/>
              </w:rPr>
            </w:pPr>
            <w:r>
              <w:rPr>
                <w:rFonts w:cs="Arial"/>
                <w:szCs w:val="22"/>
              </w:rPr>
              <w:t>London Councils</w:t>
            </w:r>
          </w:p>
        </w:tc>
        <w:tc>
          <w:tcPr>
            <w:tcW w:w="2094" w:type="pct"/>
            <w:shd w:val="clear" w:color="auto" w:fill="auto"/>
            <w:noWrap/>
            <w:vAlign w:val="bottom"/>
          </w:tcPr>
          <w:p w14:paraId="3E9638BE" w14:textId="2923A127" w:rsidR="00306489" w:rsidRPr="00197550" w:rsidRDefault="00EB780A" w:rsidP="00306489">
            <w:pPr>
              <w:rPr>
                <w:rFonts w:cs="Arial"/>
                <w:szCs w:val="22"/>
              </w:rPr>
            </w:pPr>
            <w:r>
              <w:rPr>
                <w:rFonts w:cs="Arial"/>
                <w:szCs w:val="22"/>
              </w:rPr>
              <w:t>Present</w:t>
            </w:r>
          </w:p>
        </w:tc>
      </w:tr>
      <w:tr w:rsidR="00306489" w:rsidRPr="00197550" w14:paraId="3DE795C3" w14:textId="77777777" w:rsidTr="00AE3804">
        <w:trPr>
          <w:trHeight w:val="285"/>
        </w:trPr>
        <w:tc>
          <w:tcPr>
            <w:tcW w:w="1215" w:type="pct"/>
            <w:shd w:val="clear" w:color="auto" w:fill="auto"/>
            <w:noWrap/>
            <w:vAlign w:val="bottom"/>
            <w:hideMark/>
          </w:tcPr>
          <w:p w14:paraId="57E2AAC1" w14:textId="77777777" w:rsidR="00306489" w:rsidRPr="00197550" w:rsidRDefault="00306489" w:rsidP="00306489">
            <w:pPr>
              <w:rPr>
                <w:rFonts w:cs="Arial"/>
                <w:szCs w:val="22"/>
              </w:rPr>
            </w:pPr>
            <w:r w:rsidRPr="00197550">
              <w:rPr>
                <w:rFonts w:cs="Arial"/>
                <w:szCs w:val="22"/>
              </w:rPr>
              <w:t xml:space="preserve">David </w:t>
            </w:r>
            <w:proofErr w:type="spellStart"/>
            <w:r w:rsidRPr="00197550">
              <w:rPr>
                <w:rFonts w:cs="Arial"/>
                <w:szCs w:val="22"/>
              </w:rPr>
              <w:t>Magor</w:t>
            </w:r>
            <w:proofErr w:type="spellEnd"/>
            <w:r w:rsidRPr="00197550">
              <w:rPr>
                <w:rFonts w:cs="Arial"/>
                <w:szCs w:val="22"/>
              </w:rPr>
              <w:t xml:space="preserve"> </w:t>
            </w:r>
          </w:p>
        </w:tc>
        <w:tc>
          <w:tcPr>
            <w:tcW w:w="1691" w:type="pct"/>
            <w:shd w:val="clear" w:color="auto" w:fill="auto"/>
            <w:noWrap/>
            <w:vAlign w:val="bottom"/>
            <w:hideMark/>
          </w:tcPr>
          <w:p w14:paraId="2DBDA327" w14:textId="77777777" w:rsidR="00306489" w:rsidRPr="00197550" w:rsidRDefault="00306489" w:rsidP="00306489">
            <w:pPr>
              <w:rPr>
                <w:rFonts w:cs="Arial"/>
                <w:szCs w:val="22"/>
              </w:rPr>
            </w:pPr>
            <w:r w:rsidRPr="00197550">
              <w:rPr>
                <w:rFonts w:cs="Arial"/>
                <w:szCs w:val="22"/>
              </w:rPr>
              <w:t>Institute of Revenues Rating and Valuation (IRRV)</w:t>
            </w:r>
          </w:p>
        </w:tc>
        <w:tc>
          <w:tcPr>
            <w:tcW w:w="2094" w:type="pct"/>
            <w:shd w:val="clear" w:color="auto" w:fill="auto"/>
            <w:noWrap/>
            <w:vAlign w:val="bottom"/>
          </w:tcPr>
          <w:p w14:paraId="5F28DE5E" w14:textId="400C0ED7" w:rsidR="00306489" w:rsidRPr="00197550" w:rsidRDefault="00EB780A" w:rsidP="00306489">
            <w:pPr>
              <w:rPr>
                <w:rFonts w:cs="Arial"/>
                <w:szCs w:val="22"/>
              </w:rPr>
            </w:pPr>
            <w:r>
              <w:rPr>
                <w:rFonts w:cs="Arial"/>
                <w:szCs w:val="22"/>
              </w:rPr>
              <w:t>Apologies</w:t>
            </w:r>
          </w:p>
        </w:tc>
      </w:tr>
      <w:tr w:rsidR="00306489" w:rsidRPr="00197550" w14:paraId="3A01C6F5" w14:textId="77777777" w:rsidTr="00AE3804">
        <w:trPr>
          <w:trHeight w:val="285"/>
        </w:trPr>
        <w:tc>
          <w:tcPr>
            <w:tcW w:w="1215" w:type="pct"/>
            <w:shd w:val="clear" w:color="auto" w:fill="auto"/>
            <w:noWrap/>
            <w:vAlign w:val="bottom"/>
            <w:hideMark/>
          </w:tcPr>
          <w:p w14:paraId="78693CF8" w14:textId="437F7659" w:rsidR="00306489" w:rsidRPr="00197550" w:rsidRDefault="00306489" w:rsidP="00306489">
            <w:pPr>
              <w:rPr>
                <w:rFonts w:cs="Arial"/>
                <w:szCs w:val="22"/>
              </w:rPr>
            </w:pPr>
            <w:r w:rsidRPr="00197550">
              <w:rPr>
                <w:rFonts w:cs="Arial"/>
                <w:szCs w:val="22"/>
              </w:rPr>
              <w:t xml:space="preserve">Martin </w:t>
            </w:r>
            <w:r>
              <w:rPr>
                <w:rFonts w:cs="Arial"/>
                <w:szCs w:val="22"/>
              </w:rPr>
              <w:t>Mitchell (sub)</w:t>
            </w:r>
            <w:r w:rsidRPr="00197550">
              <w:rPr>
                <w:rFonts w:cs="Arial"/>
                <w:szCs w:val="22"/>
              </w:rPr>
              <w:t xml:space="preserve"> </w:t>
            </w:r>
          </w:p>
        </w:tc>
        <w:tc>
          <w:tcPr>
            <w:tcW w:w="1691" w:type="pct"/>
            <w:shd w:val="clear" w:color="auto" w:fill="auto"/>
            <w:noWrap/>
            <w:vAlign w:val="bottom"/>
            <w:hideMark/>
          </w:tcPr>
          <w:p w14:paraId="7854DBD8" w14:textId="77777777" w:rsidR="00306489" w:rsidRPr="00197550" w:rsidRDefault="00306489" w:rsidP="00306489">
            <w:pPr>
              <w:rPr>
                <w:rFonts w:cs="Arial"/>
                <w:szCs w:val="22"/>
              </w:rPr>
            </w:pPr>
            <w:r w:rsidRPr="00197550">
              <w:rPr>
                <w:rFonts w:cs="Arial"/>
                <w:szCs w:val="22"/>
              </w:rPr>
              <w:t>Greater London Authority (GLA)</w:t>
            </w:r>
          </w:p>
        </w:tc>
        <w:tc>
          <w:tcPr>
            <w:tcW w:w="2094" w:type="pct"/>
            <w:shd w:val="clear" w:color="auto" w:fill="auto"/>
            <w:noWrap/>
            <w:vAlign w:val="bottom"/>
          </w:tcPr>
          <w:p w14:paraId="6A82E115" w14:textId="77777777" w:rsidR="00306489" w:rsidRPr="00197550" w:rsidRDefault="00306489" w:rsidP="00306489">
            <w:pPr>
              <w:rPr>
                <w:rFonts w:cs="Arial"/>
                <w:szCs w:val="22"/>
              </w:rPr>
            </w:pPr>
            <w:r>
              <w:rPr>
                <w:rFonts w:cs="Arial"/>
                <w:szCs w:val="22"/>
              </w:rPr>
              <w:t>Present</w:t>
            </w:r>
          </w:p>
        </w:tc>
      </w:tr>
      <w:tr w:rsidR="00306489" w:rsidRPr="00197550" w14:paraId="0FB731BD" w14:textId="77777777" w:rsidTr="00AE3804">
        <w:trPr>
          <w:trHeight w:val="598"/>
        </w:trPr>
        <w:tc>
          <w:tcPr>
            <w:tcW w:w="1215" w:type="pct"/>
            <w:shd w:val="clear" w:color="auto" w:fill="auto"/>
            <w:noWrap/>
            <w:vAlign w:val="bottom"/>
            <w:hideMark/>
          </w:tcPr>
          <w:p w14:paraId="6F2570C2" w14:textId="4F13C75E" w:rsidR="00306489" w:rsidRPr="00197550" w:rsidRDefault="00EB780A" w:rsidP="00306489">
            <w:pPr>
              <w:rPr>
                <w:rFonts w:cs="Arial"/>
                <w:szCs w:val="22"/>
              </w:rPr>
            </w:pPr>
            <w:r>
              <w:rPr>
                <w:rFonts w:cs="Arial"/>
                <w:szCs w:val="22"/>
              </w:rPr>
              <w:t>Sean Nolan</w:t>
            </w:r>
          </w:p>
        </w:tc>
        <w:tc>
          <w:tcPr>
            <w:tcW w:w="1691" w:type="pct"/>
            <w:shd w:val="clear" w:color="auto" w:fill="auto"/>
            <w:noWrap/>
            <w:vAlign w:val="bottom"/>
            <w:hideMark/>
          </w:tcPr>
          <w:p w14:paraId="0A63BFAF" w14:textId="1D242ADE" w:rsidR="00306489" w:rsidRPr="00197550" w:rsidRDefault="00EB780A" w:rsidP="00306489">
            <w:pPr>
              <w:rPr>
                <w:rFonts w:cs="Arial"/>
                <w:szCs w:val="22"/>
              </w:rPr>
            </w:pPr>
            <w:r>
              <w:rPr>
                <w:rFonts w:cs="Arial"/>
                <w:szCs w:val="22"/>
              </w:rPr>
              <w:t>CIPFA</w:t>
            </w:r>
          </w:p>
        </w:tc>
        <w:tc>
          <w:tcPr>
            <w:tcW w:w="2094" w:type="pct"/>
            <w:shd w:val="clear" w:color="auto" w:fill="auto"/>
            <w:noWrap/>
            <w:vAlign w:val="bottom"/>
          </w:tcPr>
          <w:p w14:paraId="2FBD6422" w14:textId="77777777" w:rsidR="00306489" w:rsidRPr="00197550" w:rsidRDefault="00306489" w:rsidP="00306489">
            <w:pPr>
              <w:rPr>
                <w:rFonts w:cs="Arial"/>
                <w:szCs w:val="22"/>
              </w:rPr>
            </w:pPr>
            <w:r>
              <w:rPr>
                <w:rFonts w:cs="Arial"/>
                <w:szCs w:val="22"/>
              </w:rPr>
              <w:t xml:space="preserve">Apologies </w:t>
            </w:r>
          </w:p>
        </w:tc>
      </w:tr>
      <w:tr w:rsidR="00306489" w:rsidRPr="00197550" w14:paraId="174CBEF9" w14:textId="77777777" w:rsidTr="00AE3804">
        <w:trPr>
          <w:trHeight w:val="808"/>
        </w:trPr>
        <w:tc>
          <w:tcPr>
            <w:tcW w:w="1215" w:type="pct"/>
            <w:shd w:val="clear" w:color="auto" w:fill="auto"/>
            <w:noWrap/>
            <w:vAlign w:val="bottom"/>
            <w:hideMark/>
          </w:tcPr>
          <w:p w14:paraId="01FBDAC8" w14:textId="77777777" w:rsidR="00306489" w:rsidRPr="00197550" w:rsidRDefault="00306489" w:rsidP="00306489">
            <w:pPr>
              <w:rPr>
                <w:rFonts w:cs="Arial"/>
                <w:szCs w:val="22"/>
              </w:rPr>
            </w:pPr>
            <w:r w:rsidRPr="00197550">
              <w:rPr>
                <w:rFonts w:cs="Arial"/>
                <w:szCs w:val="22"/>
              </w:rPr>
              <w:t>Duncan Savage</w:t>
            </w:r>
          </w:p>
        </w:tc>
        <w:tc>
          <w:tcPr>
            <w:tcW w:w="1691" w:type="pct"/>
            <w:shd w:val="clear" w:color="auto" w:fill="auto"/>
            <w:noWrap/>
            <w:vAlign w:val="bottom"/>
            <w:hideMark/>
          </w:tcPr>
          <w:p w14:paraId="3604EA32" w14:textId="77777777" w:rsidR="00306489" w:rsidRPr="00197550" w:rsidRDefault="00306489" w:rsidP="00306489">
            <w:pPr>
              <w:rPr>
                <w:rFonts w:cs="Arial"/>
                <w:szCs w:val="22"/>
              </w:rPr>
            </w:pPr>
            <w:r w:rsidRPr="00197550">
              <w:rPr>
                <w:rFonts w:cs="Arial"/>
                <w:szCs w:val="22"/>
              </w:rPr>
              <w:t>Chief Fire Officers Association Finance Network</w:t>
            </w:r>
          </w:p>
        </w:tc>
        <w:tc>
          <w:tcPr>
            <w:tcW w:w="2094" w:type="pct"/>
            <w:shd w:val="clear" w:color="auto" w:fill="auto"/>
            <w:noWrap/>
            <w:vAlign w:val="bottom"/>
          </w:tcPr>
          <w:p w14:paraId="75995B34" w14:textId="6C3D8965" w:rsidR="00306489" w:rsidRPr="00197550" w:rsidRDefault="00EB780A" w:rsidP="00306489">
            <w:pPr>
              <w:rPr>
                <w:rFonts w:cs="Arial"/>
                <w:szCs w:val="22"/>
              </w:rPr>
            </w:pPr>
            <w:r>
              <w:rPr>
                <w:rFonts w:cs="Arial"/>
                <w:szCs w:val="22"/>
              </w:rPr>
              <w:t>Apologies</w:t>
            </w:r>
          </w:p>
        </w:tc>
      </w:tr>
      <w:tr w:rsidR="00306489" w:rsidRPr="00197550" w14:paraId="44ADC8EB" w14:textId="77777777" w:rsidTr="00306489">
        <w:trPr>
          <w:trHeight w:val="689"/>
        </w:trPr>
        <w:tc>
          <w:tcPr>
            <w:tcW w:w="1215" w:type="pct"/>
            <w:shd w:val="clear" w:color="auto" w:fill="auto"/>
            <w:noWrap/>
            <w:vAlign w:val="bottom"/>
          </w:tcPr>
          <w:p w14:paraId="76470B47" w14:textId="0F8D563A" w:rsidR="00306489" w:rsidRPr="00197550" w:rsidRDefault="00EB780A" w:rsidP="00306489">
            <w:pPr>
              <w:rPr>
                <w:rFonts w:cs="Arial"/>
                <w:bCs/>
                <w:szCs w:val="22"/>
              </w:rPr>
            </w:pPr>
            <w:r>
              <w:rPr>
                <w:rFonts w:cs="Arial"/>
                <w:bCs/>
                <w:szCs w:val="22"/>
              </w:rPr>
              <w:t>Andrew Edwards</w:t>
            </w:r>
          </w:p>
        </w:tc>
        <w:tc>
          <w:tcPr>
            <w:tcW w:w="1691" w:type="pct"/>
            <w:shd w:val="clear" w:color="auto" w:fill="auto"/>
            <w:noWrap/>
            <w:vAlign w:val="bottom"/>
          </w:tcPr>
          <w:p w14:paraId="1E88A52C" w14:textId="3C319ECD" w:rsidR="00306489" w:rsidRPr="00197550" w:rsidRDefault="00EB780A" w:rsidP="00306489">
            <w:pPr>
              <w:rPr>
                <w:rFonts w:cs="Arial"/>
                <w:bCs/>
                <w:szCs w:val="22"/>
              </w:rPr>
            </w:pPr>
            <w:r>
              <w:rPr>
                <w:rFonts w:cs="Arial"/>
                <w:bCs/>
                <w:szCs w:val="22"/>
              </w:rPr>
              <w:t>VOA</w:t>
            </w:r>
          </w:p>
        </w:tc>
        <w:tc>
          <w:tcPr>
            <w:tcW w:w="2094" w:type="pct"/>
            <w:shd w:val="clear" w:color="auto" w:fill="auto"/>
            <w:noWrap/>
            <w:vAlign w:val="bottom"/>
          </w:tcPr>
          <w:p w14:paraId="7B353E8E" w14:textId="56A5ECFF" w:rsidR="00306489" w:rsidRPr="00197550" w:rsidRDefault="00EB780A" w:rsidP="00306489">
            <w:pPr>
              <w:rPr>
                <w:rFonts w:cs="Arial"/>
                <w:szCs w:val="22"/>
              </w:rPr>
            </w:pPr>
            <w:r>
              <w:rPr>
                <w:rFonts w:cs="Arial"/>
                <w:szCs w:val="22"/>
              </w:rPr>
              <w:t>Apologies</w:t>
            </w:r>
          </w:p>
        </w:tc>
      </w:tr>
      <w:tr w:rsidR="00306489" w:rsidRPr="00197550" w14:paraId="06078809" w14:textId="77777777" w:rsidTr="00AE3804">
        <w:trPr>
          <w:trHeight w:val="689"/>
        </w:trPr>
        <w:tc>
          <w:tcPr>
            <w:tcW w:w="1215" w:type="pct"/>
            <w:shd w:val="clear" w:color="auto" w:fill="auto"/>
            <w:noWrap/>
            <w:vAlign w:val="bottom"/>
          </w:tcPr>
          <w:p w14:paraId="5A01B89C" w14:textId="616791D5" w:rsidR="00306489" w:rsidRPr="00197550" w:rsidRDefault="00EB780A" w:rsidP="00306489">
            <w:pPr>
              <w:rPr>
                <w:rFonts w:cs="Arial"/>
                <w:bCs/>
                <w:szCs w:val="22"/>
              </w:rPr>
            </w:pPr>
            <w:r>
              <w:rPr>
                <w:rFonts w:cs="Arial"/>
                <w:bCs/>
                <w:szCs w:val="22"/>
              </w:rPr>
              <w:t>Max Soule</w:t>
            </w:r>
          </w:p>
        </w:tc>
        <w:tc>
          <w:tcPr>
            <w:tcW w:w="1691" w:type="pct"/>
            <w:shd w:val="clear" w:color="auto" w:fill="auto"/>
            <w:noWrap/>
            <w:vAlign w:val="bottom"/>
          </w:tcPr>
          <w:p w14:paraId="0F141F54" w14:textId="5D527942" w:rsidR="00306489" w:rsidRPr="00197550" w:rsidRDefault="00EB780A" w:rsidP="00306489">
            <w:pPr>
              <w:rPr>
                <w:rFonts w:cs="Arial"/>
                <w:bCs/>
                <w:szCs w:val="22"/>
              </w:rPr>
            </w:pPr>
            <w:r>
              <w:rPr>
                <w:rFonts w:cs="Arial"/>
                <w:bCs/>
                <w:szCs w:val="22"/>
              </w:rPr>
              <w:t>HMT</w:t>
            </w:r>
          </w:p>
        </w:tc>
        <w:tc>
          <w:tcPr>
            <w:tcW w:w="2094" w:type="pct"/>
            <w:shd w:val="clear" w:color="auto" w:fill="auto"/>
            <w:noWrap/>
            <w:vAlign w:val="bottom"/>
          </w:tcPr>
          <w:p w14:paraId="12028726" w14:textId="0EA72B1B" w:rsidR="00306489" w:rsidRPr="00197550" w:rsidRDefault="00EB780A" w:rsidP="00306489">
            <w:pPr>
              <w:rPr>
                <w:rFonts w:cs="Arial"/>
                <w:szCs w:val="22"/>
              </w:rPr>
            </w:pPr>
            <w:r>
              <w:rPr>
                <w:rFonts w:cs="Arial"/>
                <w:szCs w:val="22"/>
              </w:rPr>
              <w:t>Present</w:t>
            </w:r>
          </w:p>
        </w:tc>
      </w:tr>
      <w:tr w:rsidR="00306489" w:rsidRPr="00197550" w14:paraId="02B1FA69" w14:textId="77777777" w:rsidTr="00AE3804">
        <w:trPr>
          <w:trHeight w:val="689"/>
        </w:trPr>
        <w:tc>
          <w:tcPr>
            <w:tcW w:w="1215" w:type="pct"/>
            <w:shd w:val="clear" w:color="auto" w:fill="auto"/>
            <w:noWrap/>
            <w:vAlign w:val="bottom"/>
          </w:tcPr>
          <w:p w14:paraId="6BE1703D" w14:textId="596C2032" w:rsidR="00306489" w:rsidRPr="00197550" w:rsidRDefault="00EB780A" w:rsidP="00306489">
            <w:pPr>
              <w:rPr>
                <w:rFonts w:cs="Arial"/>
                <w:bCs/>
                <w:szCs w:val="22"/>
              </w:rPr>
            </w:pPr>
            <w:r>
              <w:rPr>
                <w:rFonts w:cs="Arial"/>
                <w:bCs/>
                <w:szCs w:val="22"/>
              </w:rPr>
              <w:t xml:space="preserve">Pete </w:t>
            </w:r>
            <w:proofErr w:type="spellStart"/>
            <w:r>
              <w:rPr>
                <w:rFonts w:cs="Arial"/>
                <w:bCs/>
                <w:szCs w:val="22"/>
              </w:rPr>
              <w:t>Liliford</w:t>
            </w:r>
            <w:proofErr w:type="spellEnd"/>
          </w:p>
        </w:tc>
        <w:tc>
          <w:tcPr>
            <w:tcW w:w="1691" w:type="pct"/>
            <w:shd w:val="clear" w:color="auto" w:fill="auto"/>
            <w:noWrap/>
            <w:vAlign w:val="bottom"/>
          </w:tcPr>
          <w:p w14:paraId="429BBBF0" w14:textId="0C32A9C2" w:rsidR="00306489" w:rsidRPr="00197550" w:rsidRDefault="00EB780A" w:rsidP="00EB780A">
            <w:pPr>
              <w:rPr>
                <w:rFonts w:cs="Arial"/>
                <w:bCs/>
                <w:szCs w:val="22"/>
              </w:rPr>
            </w:pPr>
            <w:r>
              <w:rPr>
                <w:rFonts w:cs="Arial"/>
                <w:bCs/>
                <w:szCs w:val="22"/>
              </w:rPr>
              <w:t>HMT</w:t>
            </w:r>
          </w:p>
        </w:tc>
        <w:tc>
          <w:tcPr>
            <w:tcW w:w="2094" w:type="pct"/>
            <w:shd w:val="clear" w:color="auto" w:fill="auto"/>
            <w:noWrap/>
            <w:vAlign w:val="bottom"/>
          </w:tcPr>
          <w:p w14:paraId="6B85AFB1" w14:textId="77777777" w:rsidR="00306489" w:rsidRPr="00197550" w:rsidRDefault="00306489" w:rsidP="00306489">
            <w:pPr>
              <w:rPr>
                <w:rFonts w:cs="Arial"/>
                <w:szCs w:val="22"/>
              </w:rPr>
            </w:pPr>
            <w:r>
              <w:rPr>
                <w:rFonts w:cs="Arial"/>
                <w:szCs w:val="22"/>
              </w:rPr>
              <w:t>Present</w:t>
            </w:r>
          </w:p>
        </w:tc>
      </w:tr>
      <w:tr w:rsidR="00306489" w:rsidRPr="00197550" w14:paraId="317EF557" w14:textId="77777777" w:rsidTr="00AE3804">
        <w:trPr>
          <w:trHeight w:val="300"/>
        </w:trPr>
        <w:tc>
          <w:tcPr>
            <w:tcW w:w="1215" w:type="pct"/>
            <w:shd w:val="clear" w:color="auto" w:fill="auto"/>
            <w:noWrap/>
            <w:vAlign w:val="bottom"/>
          </w:tcPr>
          <w:p w14:paraId="3EB3E18C" w14:textId="77777777" w:rsidR="00306489" w:rsidRPr="00197550" w:rsidRDefault="00306489" w:rsidP="00306489">
            <w:pPr>
              <w:rPr>
                <w:rFonts w:cs="Arial"/>
                <w:b/>
                <w:szCs w:val="22"/>
              </w:rPr>
            </w:pPr>
            <w:r w:rsidRPr="00197550">
              <w:rPr>
                <w:rFonts w:cs="Arial"/>
                <w:b/>
                <w:szCs w:val="22"/>
              </w:rPr>
              <w:t>DCLG</w:t>
            </w:r>
          </w:p>
        </w:tc>
        <w:tc>
          <w:tcPr>
            <w:tcW w:w="1691" w:type="pct"/>
            <w:shd w:val="clear" w:color="auto" w:fill="auto"/>
            <w:noWrap/>
            <w:vAlign w:val="bottom"/>
          </w:tcPr>
          <w:p w14:paraId="15E09320" w14:textId="77777777" w:rsidR="00306489" w:rsidRPr="00197550" w:rsidRDefault="00306489" w:rsidP="00306489">
            <w:pPr>
              <w:rPr>
                <w:rFonts w:cs="Arial"/>
                <w:bCs/>
                <w:szCs w:val="22"/>
              </w:rPr>
            </w:pPr>
          </w:p>
        </w:tc>
        <w:tc>
          <w:tcPr>
            <w:tcW w:w="2094" w:type="pct"/>
            <w:shd w:val="clear" w:color="auto" w:fill="auto"/>
            <w:noWrap/>
            <w:vAlign w:val="bottom"/>
          </w:tcPr>
          <w:p w14:paraId="6378EF3D" w14:textId="77777777" w:rsidR="00306489" w:rsidRPr="00197550" w:rsidRDefault="00306489" w:rsidP="00306489">
            <w:pPr>
              <w:rPr>
                <w:rFonts w:cs="Arial"/>
                <w:szCs w:val="22"/>
              </w:rPr>
            </w:pPr>
          </w:p>
        </w:tc>
      </w:tr>
      <w:tr w:rsidR="00306489" w:rsidRPr="00197550" w14:paraId="3DB1B567" w14:textId="77777777" w:rsidTr="00AE3804">
        <w:trPr>
          <w:trHeight w:val="300"/>
        </w:trPr>
        <w:tc>
          <w:tcPr>
            <w:tcW w:w="1215" w:type="pct"/>
            <w:shd w:val="clear" w:color="auto" w:fill="auto"/>
            <w:noWrap/>
            <w:vAlign w:val="bottom"/>
          </w:tcPr>
          <w:p w14:paraId="6E96DFF2" w14:textId="7568BB9C" w:rsidR="00306489" w:rsidRPr="00197550" w:rsidRDefault="00EB780A" w:rsidP="00306489">
            <w:pPr>
              <w:rPr>
                <w:rFonts w:cs="Arial"/>
                <w:szCs w:val="22"/>
              </w:rPr>
            </w:pPr>
            <w:r>
              <w:rPr>
                <w:rFonts w:cs="Arial"/>
                <w:szCs w:val="22"/>
              </w:rPr>
              <w:t>Alex Skinner</w:t>
            </w:r>
          </w:p>
        </w:tc>
        <w:tc>
          <w:tcPr>
            <w:tcW w:w="1691" w:type="pct"/>
            <w:shd w:val="clear" w:color="auto" w:fill="auto"/>
            <w:noWrap/>
            <w:vAlign w:val="bottom"/>
          </w:tcPr>
          <w:p w14:paraId="2D1A42D9" w14:textId="77777777" w:rsidR="00306489" w:rsidRPr="00197550" w:rsidRDefault="00306489" w:rsidP="00306489">
            <w:pPr>
              <w:rPr>
                <w:rFonts w:cs="Arial"/>
                <w:bCs/>
                <w:szCs w:val="22"/>
              </w:rPr>
            </w:pPr>
            <w:r w:rsidRPr="00197550">
              <w:rPr>
                <w:rFonts w:cs="Arial"/>
                <w:bCs/>
                <w:szCs w:val="22"/>
              </w:rPr>
              <w:t>Department for Communities and Local Government (DCLG)</w:t>
            </w:r>
          </w:p>
        </w:tc>
        <w:tc>
          <w:tcPr>
            <w:tcW w:w="2094" w:type="pct"/>
            <w:shd w:val="clear" w:color="auto" w:fill="auto"/>
            <w:noWrap/>
            <w:vAlign w:val="bottom"/>
          </w:tcPr>
          <w:p w14:paraId="63834317" w14:textId="77777777" w:rsidR="00306489" w:rsidRPr="00197550" w:rsidRDefault="00306489" w:rsidP="00306489">
            <w:pPr>
              <w:rPr>
                <w:rFonts w:cs="Arial"/>
                <w:szCs w:val="22"/>
              </w:rPr>
            </w:pPr>
            <w:r>
              <w:rPr>
                <w:rFonts w:cs="Arial"/>
                <w:szCs w:val="22"/>
              </w:rPr>
              <w:t xml:space="preserve">Present </w:t>
            </w:r>
          </w:p>
        </w:tc>
      </w:tr>
      <w:tr w:rsidR="00306489" w:rsidRPr="00197550" w14:paraId="70F0172E" w14:textId="77777777" w:rsidTr="00AE3804">
        <w:trPr>
          <w:trHeight w:val="300"/>
        </w:trPr>
        <w:tc>
          <w:tcPr>
            <w:tcW w:w="1215" w:type="pct"/>
            <w:shd w:val="clear" w:color="auto" w:fill="auto"/>
            <w:noWrap/>
            <w:vAlign w:val="bottom"/>
          </w:tcPr>
          <w:p w14:paraId="65890768" w14:textId="77777777" w:rsidR="00306489" w:rsidRPr="00197550" w:rsidRDefault="00306489" w:rsidP="00306489">
            <w:pPr>
              <w:rPr>
                <w:rFonts w:cs="Arial"/>
                <w:szCs w:val="22"/>
              </w:rPr>
            </w:pPr>
            <w:r w:rsidRPr="00197550">
              <w:rPr>
                <w:rFonts w:cs="Arial"/>
                <w:szCs w:val="22"/>
              </w:rPr>
              <w:lastRenderedPageBreak/>
              <w:t xml:space="preserve">Stuart </w:t>
            </w:r>
            <w:proofErr w:type="spellStart"/>
            <w:r w:rsidRPr="00197550">
              <w:rPr>
                <w:rFonts w:cs="Arial"/>
                <w:szCs w:val="22"/>
              </w:rPr>
              <w:t>Hoggan</w:t>
            </w:r>
            <w:proofErr w:type="spellEnd"/>
          </w:p>
        </w:tc>
        <w:tc>
          <w:tcPr>
            <w:tcW w:w="1691" w:type="pct"/>
            <w:shd w:val="clear" w:color="auto" w:fill="auto"/>
            <w:noWrap/>
            <w:vAlign w:val="bottom"/>
          </w:tcPr>
          <w:p w14:paraId="54EE1C90" w14:textId="77777777" w:rsidR="00306489" w:rsidRPr="00197550" w:rsidRDefault="00306489" w:rsidP="00306489">
            <w:pPr>
              <w:rPr>
                <w:rFonts w:cs="Arial"/>
                <w:bCs/>
                <w:szCs w:val="22"/>
              </w:rPr>
            </w:pPr>
            <w:r w:rsidRPr="00197550">
              <w:rPr>
                <w:rFonts w:cs="Arial"/>
                <w:bCs/>
                <w:szCs w:val="22"/>
              </w:rPr>
              <w:t>Department for Communities and Local Government (DCLG)</w:t>
            </w:r>
          </w:p>
        </w:tc>
        <w:tc>
          <w:tcPr>
            <w:tcW w:w="2094" w:type="pct"/>
            <w:shd w:val="clear" w:color="auto" w:fill="auto"/>
            <w:noWrap/>
            <w:vAlign w:val="bottom"/>
          </w:tcPr>
          <w:p w14:paraId="4DCA9CD9" w14:textId="77777777" w:rsidR="00306489" w:rsidRPr="00197550" w:rsidRDefault="00306489" w:rsidP="00306489">
            <w:pPr>
              <w:rPr>
                <w:rFonts w:cs="Arial"/>
                <w:szCs w:val="22"/>
              </w:rPr>
            </w:pPr>
            <w:r>
              <w:rPr>
                <w:rFonts w:cs="Arial"/>
                <w:szCs w:val="22"/>
              </w:rPr>
              <w:t>Present</w:t>
            </w:r>
          </w:p>
        </w:tc>
      </w:tr>
      <w:tr w:rsidR="00306489" w:rsidRPr="00197550" w14:paraId="754B21A1" w14:textId="77777777" w:rsidTr="00AE3804">
        <w:trPr>
          <w:trHeight w:val="300"/>
        </w:trPr>
        <w:tc>
          <w:tcPr>
            <w:tcW w:w="1215" w:type="pct"/>
            <w:shd w:val="clear" w:color="auto" w:fill="auto"/>
            <w:noWrap/>
            <w:vAlign w:val="bottom"/>
          </w:tcPr>
          <w:p w14:paraId="45B6448F" w14:textId="62B5C44B" w:rsidR="00306489" w:rsidRPr="00197550" w:rsidRDefault="00EB780A" w:rsidP="00306489">
            <w:pPr>
              <w:rPr>
                <w:rFonts w:cs="Arial"/>
                <w:szCs w:val="22"/>
              </w:rPr>
            </w:pPr>
            <w:r>
              <w:rPr>
                <w:rFonts w:cs="Arial"/>
                <w:szCs w:val="22"/>
              </w:rPr>
              <w:t>Charlie Coleman</w:t>
            </w:r>
          </w:p>
        </w:tc>
        <w:tc>
          <w:tcPr>
            <w:tcW w:w="1691" w:type="pct"/>
            <w:shd w:val="clear" w:color="auto" w:fill="auto"/>
            <w:noWrap/>
            <w:vAlign w:val="bottom"/>
          </w:tcPr>
          <w:p w14:paraId="7C70FDBC" w14:textId="77777777" w:rsidR="00306489" w:rsidRPr="00197550" w:rsidRDefault="00306489" w:rsidP="00306489">
            <w:pPr>
              <w:rPr>
                <w:rFonts w:cs="Arial"/>
                <w:bCs/>
                <w:szCs w:val="22"/>
              </w:rPr>
            </w:pPr>
            <w:r w:rsidRPr="00197550">
              <w:rPr>
                <w:rFonts w:cs="Arial"/>
                <w:bCs/>
                <w:szCs w:val="22"/>
              </w:rPr>
              <w:t>Department for Communities and Local Government (DCLG)</w:t>
            </w:r>
          </w:p>
        </w:tc>
        <w:tc>
          <w:tcPr>
            <w:tcW w:w="2094" w:type="pct"/>
            <w:shd w:val="clear" w:color="auto" w:fill="auto"/>
            <w:noWrap/>
            <w:vAlign w:val="bottom"/>
          </w:tcPr>
          <w:p w14:paraId="15C302B2" w14:textId="77777777" w:rsidR="00306489" w:rsidRPr="00197550" w:rsidRDefault="00306489" w:rsidP="00306489">
            <w:pPr>
              <w:rPr>
                <w:rFonts w:cs="Arial"/>
                <w:szCs w:val="22"/>
              </w:rPr>
            </w:pPr>
            <w:r>
              <w:rPr>
                <w:rFonts w:cs="Arial"/>
                <w:szCs w:val="22"/>
              </w:rPr>
              <w:t>Present</w:t>
            </w:r>
          </w:p>
        </w:tc>
      </w:tr>
      <w:tr w:rsidR="00306489" w:rsidRPr="00197550" w14:paraId="440A16C5" w14:textId="77777777" w:rsidTr="00AE3804">
        <w:trPr>
          <w:trHeight w:val="285"/>
        </w:trPr>
        <w:tc>
          <w:tcPr>
            <w:tcW w:w="1215" w:type="pct"/>
            <w:shd w:val="clear" w:color="auto" w:fill="auto"/>
            <w:noWrap/>
            <w:vAlign w:val="bottom"/>
          </w:tcPr>
          <w:p w14:paraId="5E561BD1" w14:textId="77777777" w:rsidR="00306489" w:rsidRPr="00197550" w:rsidRDefault="00306489" w:rsidP="00306489">
            <w:pPr>
              <w:rPr>
                <w:rFonts w:cs="Arial"/>
                <w:szCs w:val="22"/>
              </w:rPr>
            </w:pPr>
            <w:r>
              <w:rPr>
                <w:rFonts w:cs="Arial"/>
                <w:szCs w:val="22"/>
              </w:rPr>
              <w:t>Sophie Broadfield</w:t>
            </w:r>
          </w:p>
        </w:tc>
        <w:tc>
          <w:tcPr>
            <w:tcW w:w="1691" w:type="pct"/>
            <w:shd w:val="clear" w:color="auto" w:fill="auto"/>
            <w:noWrap/>
            <w:vAlign w:val="bottom"/>
          </w:tcPr>
          <w:p w14:paraId="2876045B" w14:textId="77777777" w:rsidR="00306489" w:rsidRPr="00197550" w:rsidRDefault="00306489" w:rsidP="00306489">
            <w:pPr>
              <w:rPr>
                <w:rFonts w:cs="Arial"/>
                <w:bCs/>
                <w:szCs w:val="22"/>
              </w:rPr>
            </w:pPr>
            <w:r w:rsidRPr="00197550">
              <w:rPr>
                <w:rFonts w:cs="Arial"/>
                <w:bCs/>
                <w:szCs w:val="22"/>
              </w:rPr>
              <w:t>Department for Communities and Local Government (DCLG)</w:t>
            </w:r>
          </w:p>
        </w:tc>
        <w:tc>
          <w:tcPr>
            <w:tcW w:w="2094" w:type="pct"/>
            <w:shd w:val="clear" w:color="auto" w:fill="auto"/>
            <w:noWrap/>
            <w:vAlign w:val="bottom"/>
          </w:tcPr>
          <w:p w14:paraId="5291F252" w14:textId="77777777" w:rsidR="00306489" w:rsidRPr="00197550" w:rsidRDefault="00306489" w:rsidP="00306489">
            <w:pPr>
              <w:rPr>
                <w:rFonts w:cs="Arial"/>
                <w:szCs w:val="22"/>
              </w:rPr>
            </w:pPr>
            <w:r>
              <w:rPr>
                <w:rFonts w:cs="Arial"/>
                <w:szCs w:val="22"/>
              </w:rPr>
              <w:t>Present</w:t>
            </w:r>
          </w:p>
        </w:tc>
      </w:tr>
      <w:tr w:rsidR="00306489" w:rsidRPr="00197550" w14:paraId="7D4BD927" w14:textId="77777777" w:rsidTr="00BC3416">
        <w:trPr>
          <w:trHeight w:val="285"/>
        </w:trPr>
        <w:tc>
          <w:tcPr>
            <w:tcW w:w="1215" w:type="pct"/>
            <w:shd w:val="clear" w:color="auto" w:fill="auto"/>
            <w:noWrap/>
            <w:vAlign w:val="bottom"/>
          </w:tcPr>
          <w:p w14:paraId="52185B62" w14:textId="74FE78A7" w:rsidR="00306489" w:rsidRPr="00197550" w:rsidRDefault="00EB780A" w:rsidP="00306489">
            <w:pPr>
              <w:rPr>
                <w:rFonts w:cs="Arial"/>
                <w:szCs w:val="22"/>
              </w:rPr>
            </w:pPr>
            <w:r>
              <w:rPr>
                <w:rFonts w:cs="Arial"/>
                <w:szCs w:val="22"/>
              </w:rPr>
              <w:t>Anne Charlton</w:t>
            </w:r>
          </w:p>
        </w:tc>
        <w:tc>
          <w:tcPr>
            <w:tcW w:w="1691" w:type="pct"/>
            <w:shd w:val="clear" w:color="auto" w:fill="auto"/>
            <w:noWrap/>
          </w:tcPr>
          <w:p w14:paraId="0B7693F3" w14:textId="77777777" w:rsidR="00306489" w:rsidRPr="00197550" w:rsidRDefault="00306489" w:rsidP="00306489">
            <w:pPr>
              <w:rPr>
                <w:rFonts w:cs="Arial"/>
                <w:bCs/>
                <w:szCs w:val="22"/>
              </w:rPr>
            </w:pPr>
            <w:r w:rsidRPr="00197550">
              <w:rPr>
                <w:szCs w:val="22"/>
              </w:rPr>
              <w:t>Department for Communities and Local Government (DCLG)</w:t>
            </w:r>
          </w:p>
        </w:tc>
        <w:tc>
          <w:tcPr>
            <w:tcW w:w="2094" w:type="pct"/>
            <w:shd w:val="clear" w:color="auto" w:fill="auto"/>
            <w:noWrap/>
            <w:vAlign w:val="bottom"/>
          </w:tcPr>
          <w:p w14:paraId="5F16807B" w14:textId="77777777" w:rsidR="00306489" w:rsidRDefault="00306489" w:rsidP="00306489">
            <w:r w:rsidRPr="00E420A1">
              <w:rPr>
                <w:rFonts w:cs="Arial"/>
                <w:szCs w:val="22"/>
              </w:rPr>
              <w:t>Present</w:t>
            </w:r>
          </w:p>
        </w:tc>
      </w:tr>
      <w:tr w:rsidR="00EB780A" w:rsidRPr="00197550" w14:paraId="4E9FF9AC" w14:textId="77777777" w:rsidTr="00EB780A">
        <w:trPr>
          <w:trHeight w:val="285"/>
        </w:trPr>
        <w:tc>
          <w:tcPr>
            <w:tcW w:w="1215" w:type="pct"/>
            <w:shd w:val="clear" w:color="auto" w:fill="auto"/>
            <w:noWrap/>
            <w:vAlign w:val="bottom"/>
          </w:tcPr>
          <w:p w14:paraId="1ED83ACB" w14:textId="057EAF41" w:rsidR="00EB780A" w:rsidRDefault="00EB780A" w:rsidP="00EB780A">
            <w:pPr>
              <w:rPr>
                <w:rFonts w:cs="Arial"/>
                <w:szCs w:val="22"/>
              </w:rPr>
            </w:pPr>
            <w:r>
              <w:rPr>
                <w:rFonts w:cs="Arial"/>
                <w:szCs w:val="22"/>
              </w:rPr>
              <w:t>Leon Clement</w:t>
            </w:r>
          </w:p>
        </w:tc>
        <w:tc>
          <w:tcPr>
            <w:tcW w:w="1691" w:type="pct"/>
            <w:shd w:val="clear" w:color="auto" w:fill="auto"/>
            <w:noWrap/>
            <w:vAlign w:val="bottom"/>
          </w:tcPr>
          <w:p w14:paraId="68542E73" w14:textId="5B08D6E5" w:rsidR="00EB780A" w:rsidRPr="00197550" w:rsidRDefault="00EB780A" w:rsidP="00EB780A">
            <w:pPr>
              <w:rPr>
                <w:szCs w:val="22"/>
              </w:rPr>
            </w:pPr>
            <w:r w:rsidRPr="00197550">
              <w:rPr>
                <w:rFonts w:cs="Arial"/>
                <w:bCs/>
                <w:szCs w:val="22"/>
              </w:rPr>
              <w:t>Department for Communities and Local Government (DCLG)</w:t>
            </w:r>
          </w:p>
        </w:tc>
        <w:tc>
          <w:tcPr>
            <w:tcW w:w="2094" w:type="pct"/>
            <w:shd w:val="clear" w:color="auto" w:fill="auto"/>
            <w:noWrap/>
            <w:vAlign w:val="bottom"/>
          </w:tcPr>
          <w:p w14:paraId="0086CE2B" w14:textId="7D28FC22" w:rsidR="00EB780A" w:rsidRPr="00E420A1" w:rsidRDefault="00EB780A" w:rsidP="00EB780A">
            <w:pPr>
              <w:rPr>
                <w:rFonts w:cs="Arial"/>
                <w:szCs w:val="22"/>
              </w:rPr>
            </w:pPr>
            <w:r>
              <w:rPr>
                <w:rFonts w:cs="Arial"/>
                <w:szCs w:val="22"/>
              </w:rPr>
              <w:t>Present</w:t>
            </w:r>
          </w:p>
        </w:tc>
      </w:tr>
      <w:tr w:rsidR="00EB780A" w:rsidRPr="00197550" w14:paraId="60BCAA5E" w14:textId="77777777" w:rsidTr="00EB780A">
        <w:trPr>
          <w:trHeight w:val="285"/>
        </w:trPr>
        <w:tc>
          <w:tcPr>
            <w:tcW w:w="1215" w:type="pct"/>
            <w:shd w:val="clear" w:color="auto" w:fill="auto"/>
            <w:noWrap/>
            <w:vAlign w:val="bottom"/>
          </w:tcPr>
          <w:p w14:paraId="6A3A2236" w14:textId="68160942" w:rsidR="00EB780A" w:rsidRDefault="00EB780A" w:rsidP="00EB780A">
            <w:pPr>
              <w:rPr>
                <w:rFonts w:cs="Arial"/>
                <w:szCs w:val="22"/>
              </w:rPr>
            </w:pPr>
            <w:proofErr w:type="spellStart"/>
            <w:r>
              <w:rPr>
                <w:rFonts w:cs="Arial"/>
                <w:szCs w:val="22"/>
              </w:rPr>
              <w:t>Sanna</w:t>
            </w:r>
            <w:proofErr w:type="spellEnd"/>
            <w:r>
              <w:rPr>
                <w:rFonts w:cs="Arial"/>
                <w:szCs w:val="22"/>
              </w:rPr>
              <w:t xml:space="preserve"> </w:t>
            </w:r>
            <w:proofErr w:type="spellStart"/>
            <w:r>
              <w:rPr>
                <w:rFonts w:cs="Arial"/>
                <w:szCs w:val="22"/>
              </w:rPr>
              <w:t>Tuunanen</w:t>
            </w:r>
            <w:proofErr w:type="spellEnd"/>
          </w:p>
        </w:tc>
        <w:tc>
          <w:tcPr>
            <w:tcW w:w="1691" w:type="pct"/>
            <w:shd w:val="clear" w:color="auto" w:fill="auto"/>
            <w:noWrap/>
            <w:vAlign w:val="bottom"/>
          </w:tcPr>
          <w:p w14:paraId="533F580B" w14:textId="285DA89A" w:rsidR="00EB780A" w:rsidRPr="00197550" w:rsidRDefault="00EB780A" w:rsidP="00EB780A">
            <w:pPr>
              <w:rPr>
                <w:szCs w:val="22"/>
              </w:rPr>
            </w:pPr>
            <w:r w:rsidRPr="00197550">
              <w:rPr>
                <w:rFonts w:cs="Arial"/>
                <w:bCs/>
                <w:szCs w:val="22"/>
              </w:rPr>
              <w:t>Department for Communities and Local Government (DCLG)</w:t>
            </w:r>
          </w:p>
        </w:tc>
        <w:tc>
          <w:tcPr>
            <w:tcW w:w="2094" w:type="pct"/>
            <w:shd w:val="clear" w:color="auto" w:fill="auto"/>
            <w:noWrap/>
            <w:vAlign w:val="bottom"/>
          </w:tcPr>
          <w:p w14:paraId="40218373" w14:textId="2C19E65A" w:rsidR="00EB780A" w:rsidRPr="00E420A1" w:rsidRDefault="00EB780A" w:rsidP="00EB780A">
            <w:pPr>
              <w:rPr>
                <w:rFonts w:cs="Arial"/>
                <w:szCs w:val="22"/>
              </w:rPr>
            </w:pPr>
            <w:r>
              <w:rPr>
                <w:rFonts w:cs="Arial"/>
                <w:szCs w:val="22"/>
              </w:rPr>
              <w:t>Present</w:t>
            </w:r>
          </w:p>
        </w:tc>
      </w:tr>
      <w:tr w:rsidR="00EB780A" w:rsidRPr="00197550" w14:paraId="6FB7909E" w14:textId="77777777" w:rsidTr="00EB780A">
        <w:trPr>
          <w:trHeight w:val="285"/>
        </w:trPr>
        <w:tc>
          <w:tcPr>
            <w:tcW w:w="1215" w:type="pct"/>
            <w:shd w:val="clear" w:color="auto" w:fill="auto"/>
            <w:noWrap/>
            <w:vAlign w:val="bottom"/>
          </w:tcPr>
          <w:p w14:paraId="40E0BEF3" w14:textId="306E0F1B" w:rsidR="00EB780A" w:rsidRDefault="00EB780A" w:rsidP="00EB780A">
            <w:pPr>
              <w:rPr>
                <w:rFonts w:cs="Arial"/>
                <w:szCs w:val="22"/>
              </w:rPr>
            </w:pPr>
            <w:r>
              <w:rPr>
                <w:rFonts w:cs="Arial"/>
                <w:szCs w:val="22"/>
              </w:rPr>
              <w:t>Aimee Powell</w:t>
            </w:r>
          </w:p>
        </w:tc>
        <w:tc>
          <w:tcPr>
            <w:tcW w:w="1691" w:type="pct"/>
            <w:shd w:val="clear" w:color="auto" w:fill="auto"/>
            <w:noWrap/>
            <w:vAlign w:val="bottom"/>
          </w:tcPr>
          <w:p w14:paraId="090A5236" w14:textId="78A6CC54" w:rsidR="00EB780A" w:rsidRPr="00197550" w:rsidRDefault="00EB780A" w:rsidP="00EB780A">
            <w:pPr>
              <w:rPr>
                <w:szCs w:val="22"/>
              </w:rPr>
            </w:pPr>
            <w:r w:rsidRPr="00197550">
              <w:rPr>
                <w:rFonts w:cs="Arial"/>
                <w:bCs/>
                <w:szCs w:val="22"/>
              </w:rPr>
              <w:t>Department for Communities and Local Government (DCLG)</w:t>
            </w:r>
          </w:p>
        </w:tc>
        <w:tc>
          <w:tcPr>
            <w:tcW w:w="2094" w:type="pct"/>
            <w:shd w:val="clear" w:color="auto" w:fill="auto"/>
            <w:noWrap/>
            <w:vAlign w:val="bottom"/>
          </w:tcPr>
          <w:p w14:paraId="6C00A49A" w14:textId="31F9B737" w:rsidR="00EB780A" w:rsidRPr="00E420A1" w:rsidRDefault="00EB780A" w:rsidP="00EB780A">
            <w:pPr>
              <w:rPr>
                <w:rFonts w:cs="Arial"/>
                <w:szCs w:val="22"/>
              </w:rPr>
            </w:pPr>
            <w:r>
              <w:rPr>
                <w:rFonts w:cs="Arial"/>
                <w:szCs w:val="22"/>
              </w:rPr>
              <w:t>Present</w:t>
            </w:r>
          </w:p>
        </w:tc>
      </w:tr>
      <w:tr w:rsidR="00EB780A" w:rsidRPr="00197550" w14:paraId="31F94FD2" w14:textId="77777777" w:rsidTr="00BC3416">
        <w:trPr>
          <w:trHeight w:val="285"/>
        </w:trPr>
        <w:tc>
          <w:tcPr>
            <w:tcW w:w="1215" w:type="pct"/>
            <w:shd w:val="clear" w:color="auto" w:fill="auto"/>
            <w:noWrap/>
            <w:vAlign w:val="bottom"/>
          </w:tcPr>
          <w:p w14:paraId="7033F428" w14:textId="09464864" w:rsidR="00EB780A" w:rsidRDefault="00EB780A" w:rsidP="00EB780A">
            <w:pPr>
              <w:rPr>
                <w:rFonts w:cs="Arial"/>
                <w:szCs w:val="22"/>
              </w:rPr>
            </w:pPr>
            <w:r>
              <w:rPr>
                <w:rFonts w:cs="Arial"/>
                <w:szCs w:val="22"/>
              </w:rPr>
              <w:t>Anne Stuart</w:t>
            </w:r>
          </w:p>
        </w:tc>
        <w:tc>
          <w:tcPr>
            <w:tcW w:w="1691" w:type="pct"/>
            <w:shd w:val="clear" w:color="auto" w:fill="auto"/>
            <w:noWrap/>
          </w:tcPr>
          <w:p w14:paraId="142A9EFD" w14:textId="53F686D4" w:rsidR="00EB780A" w:rsidRPr="00197550" w:rsidRDefault="00EB780A" w:rsidP="00EB780A">
            <w:pPr>
              <w:rPr>
                <w:szCs w:val="22"/>
              </w:rPr>
            </w:pPr>
            <w:r w:rsidRPr="00197550">
              <w:rPr>
                <w:szCs w:val="22"/>
              </w:rPr>
              <w:t>Department for Communities and Local Government (DCLG)</w:t>
            </w:r>
          </w:p>
        </w:tc>
        <w:tc>
          <w:tcPr>
            <w:tcW w:w="2094" w:type="pct"/>
            <w:shd w:val="clear" w:color="auto" w:fill="auto"/>
            <w:noWrap/>
            <w:vAlign w:val="bottom"/>
          </w:tcPr>
          <w:p w14:paraId="42221E83" w14:textId="339F68A7" w:rsidR="00EB780A" w:rsidRPr="00E420A1" w:rsidRDefault="00EB780A" w:rsidP="00EB780A">
            <w:pPr>
              <w:rPr>
                <w:rFonts w:cs="Arial"/>
                <w:szCs w:val="22"/>
              </w:rPr>
            </w:pPr>
            <w:r w:rsidRPr="00E420A1">
              <w:rPr>
                <w:rFonts w:cs="Arial"/>
                <w:szCs w:val="22"/>
              </w:rPr>
              <w:t>Present</w:t>
            </w:r>
          </w:p>
        </w:tc>
      </w:tr>
      <w:tr w:rsidR="00EB780A" w:rsidRPr="00197550" w14:paraId="3AED5A2B" w14:textId="77777777" w:rsidTr="00AE3804">
        <w:trPr>
          <w:trHeight w:val="300"/>
        </w:trPr>
        <w:tc>
          <w:tcPr>
            <w:tcW w:w="1215" w:type="pct"/>
            <w:shd w:val="clear" w:color="auto" w:fill="auto"/>
            <w:noWrap/>
            <w:vAlign w:val="bottom"/>
          </w:tcPr>
          <w:p w14:paraId="4C0C1FA5" w14:textId="77777777" w:rsidR="00EB780A" w:rsidRPr="00197550" w:rsidRDefault="00EB780A" w:rsidP="00EB780A">
            <w:pPr>
              <w:rPr>
                <w:rFonts w:cs="Arial"/>
                <w:b/>
                <w:szCs w:val="22"/>
              </w:rPr>
            </w:pPr>
            <w:r w:rsidRPr="00197550">
              <w:rPr>
                <w:rFonts w:cs="Arial"/>
                <w:b/>
                <w:szCs w:val="22"/>
              </w:rPr>
              <w:t>LGA</w:t>
            </w:r>
          </w:p>
        </w:tc>
        <w:tc>
          <w:tcPr>
            <w:tcW w:w="1691" w:type="pct"/>
            <w:shd w:val="clear" w:color="auto" w:fill="auto"/>
            <w:noWrap/>
            <w:vAlign w:val="bottom"/>
          </w:tcPr>
          <w:p w14:paraId="0826EB2A" w14:textId="77777777" w:rsidR="00EB780A" w:rsidRPr="00197550" w:rsidRDefault="00EB780A" w:rsidP="00EB780A">
            <w:pPr>
              <w:rPr>
                <w:rFonts w:cs="Arial"/>
                <w:bCs/>
                <w:szCs w:val="22"/>
              </w:rPr>
            </w:pPr>
          </w:p>
        </w:tc>
        <w:tc>
          <w:tcPr>
            <w:tcW w:w="2094" w:type="pct"/>
            <w:shd w:val="clear" w:color="auto" w:fill="auto"/>
            <w:noWrap/>
            <w:vAlign w:val="bottom"/>
          </w:tcPr>
          <w:p w14:paraId="58186526" w14:textId="77777777" w:rsidR="00EB780A" w:rsidRPr="00197550" w:rsidRDefault="00EB780A" w:rsidP="00EB780A">
            <w:pPr>
              <w:rPr>
                <w:rFonts w:cs="Arial"/>
                <w:szCs w:val="22"/>
              </w:rPr>
            </w:pPr>
          </w:p>
        </w:tc>
      </w:tr>
      <w:tr w:rsidR="00EB780A" w:rsidRPr="00197550" w14:paraId="4214ABF0" w14:textId="77777777" w:rsidTr="00BC3416">
        <w:trPr>
          <w:trHeight w:val="300"/>
        </w:trPr>
        <w:tc>
          <w:tcPr>
            <w:tcW w:w="1215" w:type="pct"/>
            <w:shd w:val="clear" w:color="auto" w:fill="auto"/>
            <w:noWrap/>
            <w:vAlign w:val="bottom"/>
          </w:tcPr>
          <w:p w14:paraId="3EA8E4A9" w14:textId="77777777" w:rsidR="00EB780A" w:rsidRPr="00197550" w:rsidRDefault="00EB780A" w:rsidP="00EB780A">
            <w:pPr>
              <w:rPr>
                <w:rFonts w:cs="Arial"/>
                <w:bCs/>
                <w:szCs w:val="22"/>
              </w:rPr>
            </w:pPr>
            <w:r w:rsidRPr="00197550">
              <w:rPr>
                <w:rFonts w:cs="Arial"/>
                <w:szCs w:val="22"/>
              </w:rPr>
              <w:t xml:space="preserve">Sarah Pickup </w:t>
            </w:r>
          </w:p>
        </w:tc>
        <w:tc>
          <w:tcPr>
            <w:tcW w:w="1691" w:type="pct"/>
            <w:shd w:val="clear" w:color="auto" w:fill="auto"/>
            <w:noWrap/>
            <w:vAlign w:val="bottom"/>
          </w:tcPr>
          <w:p w14:paraId="7058F458" w14:textId="77777777" w:rsidR="00EB780A" w:rsidRPr="00197550" w:rsidRDefault="00EB780A" w:rsidP="00EB780A">
            <w:pPr>
              <w:rPr>
                <w:rFonts w:cs="Arial"/>
                <w:bCs/>
                <w:szCs w:val="22"/>
              </w:rPr>
            </w:pPr>
            <w:r w:rsidRPr="00197550">
              <w:rPr>
                <w:rFonts w:cs="Arial"/>
                <w:bCs/>
                <w:szCs w:val="22"/>
              </w:rPr>
              <w:t>Local Government Association (LGA)</w:t>
            </w:r>
          </w:p>
        </w:tc>
        <w:tc>
          <w:tcPr>
            <w:tcW w:w="2094" w:type="pct"/>
            <w:shd w:val="clear" w:color="auto" w:fill="auto"/>
            <w:noWrap/>
            <w:vAlign w:val="bottom"/>
          </w:tcPr>
          <w:p w14:paraId="1FA2C2B7" w14:textId="77777777" w:rsidR="00EB780A" w:rsidRPr="00197550" w:rsidRDefault="00EB780A" w:rsidP="00EB780A">
            <w:pPr>
              <w:rPr>
                <w:rFonts w:cs="Arial"/>
                <w:szCs w:val="22"/>
              </w:rPr>
            </w:pPr>
            <w:r w:rsidRPr="00197550">
              <w:rPr>
                <w:rFonts w:cs="Arial"/>
                <w:szCs w:val="22"/>
              </w:rPr>
              <w:t>Present</w:t>
            </w:r>
          </w:p>
        </w:tc>
      </w:tr>
      <w:tr w:rsidR="00EB780A" w:rsidRPr="00197550" w14:paraId="45017B47" w14:textId="77777777" w:rsidTr="00BC3416">
        <w:trPr>
          <w:trHeight w:val="300"/>
        </w:trPr>
        <w:tc>
          <w:tcPr>
            <w:tcW w:w="1215" w:type="pct"/>
            <w:shd w:val="clear" w:color="auto" w:fill="auto"/>
            <w:noWrap/>
            <w:vAlign w:val="bottom"/>
          </w:tcPr>
          <w:p w14:paraId="2E14FEA4" w14:textId="77777777" w:rsidR="00EB780A" w:rsidRPr="00197550" w:rsidRDefault="00EB780A" w:rsidP="00EB780A">
            <w:pPr>
              <w:rPr>
                <w:rFonts w:cs="Arial"/>
                <w:b/>
                <w:bCs/>
                <w:szCs w:val="22"/>
              </w:rPr>
            </w:pPr>
            <w:r w:rsidRPr="00197550">
              <w:rPr>
                <w:rFonts w:cs="Arial"/>
                <w:szCs w:val="22"/>
              </w:rPr>
              <w:t>Nicola Morton</w:t>
            </w:r>
          </w:p>
        </w:tc>
        <w:tc>
          <w:tcPr>
            <w:tcW w:w="1691" w:type="pct"/>
            <w:shd w:val="clear" w:color="auto" w:fill="auto"/>
            <w:noWrap/>
            <w:vAlign w:val="bottom"/>
          </w:tcPr>
          <w:p w14:paraId="767994FE" w14:textId="77777777" w:rsidR="00EB780A" w:rsidRPr="00197550" w:rsidRDefault="00EB780A" w:rsidP="00EB780A">
            <w:pPr>
              <w:rPr>
                <w:rFonts w:cs="Arial"/>
                <w:bCs/>
                <w:szCs w:val="22"/>
              </w:rPr>
            </w:pPr>
            <w:r w:rsidRPr="00197550">
              <w:rPr>
                <w:rFonts w:cs="Arial"/>
                <w:bCs/>
                <w:szCs w:val="22"/>
              </w:rPr>
              <w:t>Local Government Association (LGA)</w:t>
            </w:r>
          </w:p>
        </w:tc>
        <w:tc>
          <w:tcPr>
            <w:tcW w:w="2094" w:type="pct"/>
            <w:shd w:val="clear" w:color="auto" w:fill="auto"/>
            <w:noWrap/>
            <w:vAlign w:val="bottom"/>
          </w:tcPr>
          <w:p w14:paraId="3155D60D" w14:textId="77777777" w:rsidR="00EB780A" w:rsidRPr="00197550" w:rsidRDefault="00EB780A" w:rsidP="00EB780A">
            <w:pPr>
              <w:rPr>
                <w:rFonts w:cs="Arial"/>
                <w:szCs w:val="22"/>
              </w:rPr>
            </w:pPr>
            <w:r w:rsidRPr="00197550">
              <w:rPr>
                <w:rFonts w:cs="Arial"/>
                <w:szCs w:val="22"/>
              </w:rPr>
              <w:t>Present</w:t>
            </w:r>
          </w:p>
        </w:tc>
      </w:tr>
      <w:tr w:rsidR="00EB780A" w:rsidRPr="00197550" w14:paraId="52F82A19" w14:textId="77777777" w:rsidTr="00BC3416">
        <w:trPr>
          <w:trHeight w:val="285"/>
        </w:trPr>
        <w:tc>
          <w:tcPr>
            <w:tcW w:w="1215" w:type="pct"/>
            <w:shd w:val="clear" w:color="auto" w:fill="auto"/>
            <w:noWrap/>
            <w:vAlign w:val="bottom"/>
          </w:tcPr>
          <w:p w14:paraId="6DEDAB67" w14:textId="77777777" w:rsidR="00EB780A" w:rsidRPr="00197550" w:rsidRDefault="00EB780A" w:rsidP="00EB780A">
            <w:pPr>
              <w:rPr>
                <w:rFonts w:cs="Arial"/>
                <w:szCs w:val="22"/>
              </w:rPr>
            </w:pPr>
            <w:r>
              <w:rPr>
                <w:rFonts w:cs="Arial"/>
                <w:szCs w:val="22"/>
              </w:rPr>
              <w:t xml:space="preserve">Mike Heiser </w:t>
            </w:r>
          </w:p>
        </w:tc>
        <w:tc>
          <w:tcPr>
            <w:tcW w:w="1691" w:type="pct"/>
            <w:shd w:val="clear" w:color="auto" w:fill="auto"/>
            <w:noWrap/>
            <w:vAlign w:val="bottom"/>
          </w:tcPr>
          <w:p w14:paraId="51D570CC" w14:textId="77777777" w:rsidR="00EB780A" w:rsidRPr="00197550" w:rsidRDefault="00EB780A" w:rsidP="00EB780A">
            <w:pPr>
              <w:rPr>
                <w:rFonts w:cs="Arial"/>
                <w:bCs/>
                <w:szCs w:val="22"/>
              </w:rPr>
            </w:pPr>
            <w:r w:rsidRPr="00197550">
              <w:rPr>
                <w:rFonts w:cs="Arial"/>
                <w:bCs/>
                <w:szCs w:val="22"/>
              </w:rPr>
              <w:t>Local Government Association (LGA)</w:t>
            </w:r>
          </w:p>
        </w:tc>
        <w:tc>
          <w:tcPr>
            <w:tcW w:w="2094" w:type="pct"/>
            <w:shd w:val="clear" w:color="auto" w:fill="auto"/>
            <w:noWrap/>
            <w:vAlign w:val="bottom"/>
          </w:tcPr>
          <w:p w14:paraId="04552EFC" w14:textId="77777777" w:rsidR="00EB780A" w:rsidRPr="00197550" w:rsidRDefault="00EB780A" w:rsidP="00EB780A">
            <w:pPr>
              <w:rPr>
                <w:rFonts w:cs="Arial"/>
                <w:szCs w:val="22"/>
              </w:rPr>
            </w:pPr>
            <w:r w:rsidRPr="00197550">
              <w:rPr>
                <w:rFonts w:cs="Arial"/>
                <w:szCs w:val="22"/>
              </w:rPr>
              <w:t>Present</w:t>
            </w:r>
          </w:p>
        </w:tc>
      </w:tr>
      <w:tr w:rsidR="00EB780A" w:rsidRPr="00197550" w14:paraId="684DAB34" w14:textId="77777777" w:rsidTr="00BC3416">
        <w:trPr>
          <w:trHeight w:val="285"/>
        </w:trPr>
        <w:tc>
          <w:tcPr>
            <w:tcW w:w="1215" w:type="pct"/>
            <w:shd w:val="clear" w:color="auto" w:fill="auto"/>
            <w:noWrap/>
            <w:vAlign w:val="bottom"/>
          </w:tcPr>
          <w:p w14:paraId="1573F5E6" w14:textId="210C9B3B" w:rsidR="00EB780A" w:rsidRDefault="00BE72B2" w:rsidP="00EB780A">
            <w:pPr>
              <w:rPr>
                <w:rFonts w:cs="Arial"/>
                <w:szCs w:val="22"/>
              </w:rPr>
            </w:pPr>
            <w:r>
              <w:rPr>
                <w:rFonts w:cs="Arial"/>
                <w:szCs w:val="22"/>
              </w:rPr>
              <w:t>Bevis Ingram</w:t>
            </w:r>
          </w:p>
        </w:tc>
        <w:tc>
          <w:tcPr>
            <w:tcW w:w="1691" w:type="pct"/>
            <w:shd w:val="clear" w:color="auto" w:fill="auto"/>
            <w:noWrap/>
            <w:vAlign w:val="bottom"/>
          </w:tcPr>
          <w:p w14:paraId="1CAD32DA" w14:textId="77777777" w:rsidR="00EB780A" w:rsidRPr="00197550" w:rsidRDefault="00EB780A" w:rsidP="00EB780A">
            <w:pPr>
              <w:rPr>
                <w:rFonts w:cs="Arial"/>
                <w:bCs/>
                <w:szCs w:val="22"/>
              </w:rPr>
            </w:pPr>
            <w:r w:rsidRPr="00197550">
              <w:rPr>
                <w:rFonts w:cs="Arial"/>
                <w:bCs/>
                <w:szCs w:val="22"/>
              </w:rPr>
              <w:t>Local Government Association (LGA)</w:t>
            </w:r>
          </w:p>
        </w:tc>
        <w:tc>
          <w:tcPr>
            <w:tcW w:w="2094" w:type="pct"/>
            <w:shd w:val="clear" w:color="auto" w:fill="auto"/>
            <w:noWrap/>
            <w:vAlign w:val="bottom"/>
          </w:tcPr>
          <w:p w14:paraId="3B8494CF" w14:textId="77777777" w:rsidR="00EB780A" w:rsidRPr="00197550" w:rsidRDefault="00EB780A" w:rsidP="00EB780A">
            <w:pPr>
              <w:rPr>
                <w:rFonts w:cs="Arial"/>
                <w:szCs w:val="22"/>
              </w:rPr>
            </w:pPr>
            <w:r w:rsidRPr="00197550">
              <w:rPr>
                <w:rFonts w:cs="Arial"/>
                <w:szCs w:val="22"/>
              </w:rPr>
              <w:t>Present</w:t>
            </w:r>
          </w:p>
        </w:tc>
      </w:tr>
      <w:tr w:rsidR="00EB780A" w:rsidRPr="00197550" w14:paraId="2D0B2315" w14:textId="77777777" w:rsidTr="00BC3416">
        <w:trPr>
          <w:trHeight w:val="285"/>
        </w:trPr>
        <w:tc>
          <w:tcPr>
            <w:tcW w:w="1215" w:type="pct"/>
            <w:shd w:val="clear" w:color="auto" w:fill="auto"/>
            <w:noWrap/>
            <w:vAlign w:val="bottom"/>
          </w:tcPr>
          <w:p w14:paraId="06ADDA36" w14:textId="0C51E01F" w:rsidR="00EB780A" w:rsidRPr="00197550" w:rsidRDefault="00BE72B2" w:rsidP="00EB780A">
            <w:pPr>
              <w:rPr>
                <w:rFonts w:cs="Arial"/>
                <w:szCs w:val="22"/>
              </w:rPr>
            </w:pPr>
            <w:r>
              <w:rPr>
                <w:rFonts w:cs="Arial"/>
                <w:szCs w:val="22"/>
              </w:rPr>
              <w:t xml:space="preserve">Aivaras </w:t>
            </w:r>
            <w:proofErr w:type="spellStart"/>
            <w:r>
              <w:rPr>
                <w:rFonts w:cs="Arial"/>
                <w:szCs w:val="22"/>
              </w:rPr>
              <w:t>Statkeviciis</w:t>
            </w:r>
            <w:proofErr w:type="spellEnd"/>
          </w:p>
        </w:tc>
        <w:tc>
          <w:tcPr>
            <w:tcW w:w="1691" w:type="pct"/>
            <w:shd w:val="clear" w:color="auto" w:fill="auto"/>
            <w:noWrap/>
            <w:vAlign w:val="bottom"/>
          </w:tcPr>
          <w:p w14:paraId="569907CE" w14:textId="77777777" w:rsidR="00EB780A" w:rsidRPr="00197550" w:rsidRDefault="00EB780A" w:rsidP="00EB780A">
            <w:pPr>
              <w:rPr>
                <w:rFonts w:cs="Arial"/>
                <w:szCs w:val="22"/>
              </w:rPr>
            </w:pPr>
            <w:r w:rsidRPr="00197550">
              <w:rPr>
                <w:rFonts w:cs="Arial"/>
                <w:bCs/>
                <w:szCs w:val="22"/>
              </w:rPr>
              <w:t>Local Government Association (LGA)</w:t>
            </w:r>
          </w:p>
        </w:tc>
        <w:tc>
          <w:tcPr>
            <w:tcW w:w="2094" w:type="pct"/>
            <w:shd w:val="clear" w:color="auto" w:fill="auto"/>
            <w:noWrap/>
            <w:vAlign w:val="bottom"/>
          </w:tcPr>
          <w:p w14:paraId="47CD60E6" w14:textId="77777777" w:rsidR="00EB780A" w:rsidRPr="00197550" w:rsidRDefault="00EB780A" w:rsidP="00EB780A">
            <w:pPr>
              <w:rPr>
                <w:rFonts w:cs="Arial"/>
                <w:szCs w:val="22"/>
              </w:rPr>
            </w:pPr>
            <w:r w:rsidRPr="00197550">
              <w:rPr>
                <w:rFonts w:cs="Arial"/>
                <w:szCs w:val="22"/>
              </w:rPr>
              <w:t>Present</w:t>
            </w:r>
          </w:p>
        </w:tc>
      </w:tr>
    </w:tbl>
    <w:p w14:paraId="03E7E510" w14:textId="77777777" w:rsidR="00D3474D" w:rsidRPr="00197550" w:rsidRDefault="00D3474D" w:rsidP="00D3474D">
      <w:pPr>
        <w:rPr>
          <w:vanish/>
          <w:szCs w:val="22"/>
        </w:rPr>
      </w:pPr>
      <w:r w:rsidRPr="00197550">
        <w:rPr>
          <w:vanish/>
          <w:szCs w:val="22"/>
        </w:rPr>
        <w:t>&lt;/TRAILER_SECTION&gt;</w:t>
      </w:r>
    </w:p>
    <w:p w14:paraId="724B43D7" w14:textId="77777777" w:rsidR="00D3474D" w:rsidRPr="00197550" w:rsidRDefault="00D3474D" w:rsidP="00D3474D">
      <w:pPr>
        <w:rPr>
          <w:rFonts w:cs="Arial"/>
          <w:vanish/>
          <w:szCs w:val="22"/>
        </w:rPr>
      </w:pPr>
      <w:r w:rsidRPr="00197550">
        <w:rPr>
          <w:rFonts w:cs="Arial"/>
          <w:vanish/>
          <w:szCs w:val="22"/>
        </w:rPr>
        <w:t>&lt;LAYOUT_SECTION&gt;</w:t>
      </w:r>
    </w:p>
    <w:tbl>
      <w:tblPr>
        <w:tblW w:w="0" w:type="auto"/>
        <w:tblInd w:w="-720" w:type="dxa"/>
        <w:tblLayout w:type="fixed"/>
        <w:tblCellMar>
          <w:top w:w="115" w:type="dxa"/>
          <w:left w:w="115" w:type="dxa"/>
          <w:right w:w="115" w:type="dxa"/>
        </w:tblCellMar>
        <w:tblLook w:val="04A0" w:firstRow="1" w:lastRow="0" w:firstColumn="1" w:lastColumn="0" w:noHBand="0" w:noVBand="1"/>
      </w:tblPr>
      <w:tblGrid>
        <w:gridCol w:w="720"/>
        <w:gridCol w:w="7488"/>
        <w:gridCol w:w="1584"/>
      </w:tblGrid>
      <w:tr w:rsidR="00D3474D" w:rsidRPr="00197550" w14:paraId="6D95595F" w14:textId="77777777" w:rsidTr="00C43F20">
        <w:trPr>
          <w:hidden/>
        </w:trPr>
        <w:tc>
          <w:tcPr>
            <w:tcW w:w="720" w:type="dxa"/>
            <w:hideMark/>
          </w:tcPr>
          <w:p w14:paraId="4C7695AD" w14:textId="77777777" w:rsidR="00D3474D" w:rsidRPr="00197550" w:rsidRDefault="00D3474D" w:rsidP="00C43F20">
            <w:pPr>
              <w:numPr>
                <w:ilvl w:val="0"/>
                <w:numId w:val="2"/>
              </w:numPr>
              <w:rPr>
                <w:vanish/>
                <w:szCs w:val="22"/>
              </w:rPr>
            </w:pPr>
            <w:r w:rsidRPr="00197550">
              <w:rPr>
                <w:vanish/>
                <w:szCs w:val="22"/>
              </w:rPr>
              <w:fldChar w:fldCharType="begin"/>
            </w:r>
            <w:r w:rsidRPr="00197550">
              <w:rPr>
                <w:vanish/>
                <w:szCs w:val="22"/>
              </w:rPr>
              <w:instrText xml:space="preserve"> QUOTE "FIELD_ITEM_NUMBER" \* MERGEFORMAT </w:instrText>
            </w:r>
            <w:r w:rsidRPr="00197550">
              <w:rPr>
                <w:vanish/>
                <w:szCs w:val="22"/>
              </w:rPr>
              <w:fldChar w:fldCharType="separate"/>
            </w:r>
            <w:r w:rsidRPr="00197550">
              <w:rPr>
                <w:vanish/>
                <w:szCs w:val="22"/>
              </w:rPr>
              <w:t>FIELD_ITEM_NUMBER</w:t>
            </w:r>
            <w:r w:rsidRPr="00197550">
              <w:rPr>
                <w:vanish/>
                <w:szCs w:val="22"/>
              </w:rPr>
              <w:fldChar w:fldCharType="end"/>
            </w:r>
          </w:p>
        </w:tc>
        <w:tc>
          <w:tcPr>
            <w:tcW w:w="7488" w:type="dxa"/>
            <w:hideMark/>
          </w:tcPr>
          <w:p w14:paraId="7C58F060" w14:textId="77777777" w:rsidR="00D3474D" w:rsidRPr="00197550" w:rsidRDefault="00D3474D" w:rsidP="00C43F20">
            <w:pPr>
              <w:widowControl w:val="0"/>
              <w:rPr>
                <w:b/>
                <w:vanish/>
                <w:szCs w:val="22"/>
              </w:rPr>
            </w:pPr>
            <w:r w:rsidRPr="00197550">
              <w:rPr>
                <w:b/>
                <w:vanish/>
                <w:szCs w:val="22"/>
              </w:rPr>
              <w:fldChar w:fldCharType="begin"/>
            </w:r>
            <w:r w:rsidRPr="00197550">
              <w:rPr>
                <w:b/>
                <w:vanish/>
                <w:szCs w:val="22"/>
              </w:rPr>
              <w:instrText xml:space="preserve"> QUOTE "FIELD_TITLE" \* MERGEFORMAT </w:instrText>
            </w:r>
            <w:r w:rsidRPr="00197550">
              <w:rPr>
                <w:b/>
                <w:vanish/>
                <w:szCs w:val="22"/>
              </w:rPr>
              <w:fldChar w:fldCharType="separate"/>
            </w:r>
            <w:r w:rsidRPr="00197550">
              <w:rPr>
                <w:b/>
                <w:vanish/>
                <w:szCs w:val="22"/>
              </w:rPr>
              <w:t>FIELD_TITLE</w:t>
            </w:r>
            <w:r w:rsidRPr="00197550">
              <w:rPr>
                <w:b/>
                <w:vanish/>
                <w:szCs w:val="22"/>
              </w:rPr>
              <w:fldChar w:fldCharType="end"/>
            </w:r>
          </w:p>
          <w:p w14:paraId="7B0A8D9B" w14:textId="77777777" w:rsidR="00D3474D" w:rsidRPr="00197550" w:rsidRDefault="00D3474D" w:rsidP="00C43F20">
            <w:pPr>
              <w:widowControl w:val="0"/>
              <w:rPr>
                <w:b/>
                <w:vanish/>
                <w:szCs w:val="22"/>
              </w:rPr>
            </w:pPr>
            <w:r w:rsidRPr="00197550">
              <w:rPr>
                <w:b/>
                <w:vanish/>
                <w:szCs w:val="22"/>
              </w:rPr>
              <w:t xml:space="preserve"> </w:t>
            </w:r>
          </w:p>
        </w:tc>
        <w:tc>
          <w:tcPr>
            <w:tcW w:w="1584" w:type="dxa"/>
          </w:tcPr>
          <w:p w14:paraId="5EE76187" w14:textId="77777777" w:rsidR="00D3474D" w:rsidRPr="00197550" w:rsidRDefault="00D3474D" w:rsidP="00C43F20">
            <w:pPr>
              <w:widowControl w:val="0"/>
              <w:rPr>
                <w:bCs/>
                <w:vanish/>
                <w:szCs w:val="22"/>
              </w:rPr>
            </w:pPr>
          </w:p>
        </w:tc>
      </w:tr>
      <w:tr w:rsidR="00D3474D" w:rsidRPr="00197550" w14:paraId="50E17E48" w14:textId="77777777" w:rsidTr="00C43F20">
        <w:trPr>
          <w:hidden/>
        </w:trPr>
        <w:tc>
          <w:tcPr>
            <w:tcW w:w="720" w:type="dxa"/>
          </w:tcPr>
          <w:p w14:paraId="15928FD8" w14:textId="77777777" w:rsidR="00D3474D" w:rsidRPr="00197550" w:rsidRDefault="00D3474D" w:rsidP="00C43F20">
            <w:pPr>
              <w:rPr>
                <w:vanish/>
                <w:szCs w:val="22"/>
              </w:rPr>
            </w:pPr>
          </w:p>
        </w:tc>
        <w:tc>
          <w:tcPr>
            <w:tcW w:w="7488" w:type="dxa"/>
          </w:tcPr>
          <w:p w14:paraId="32A50E89" w14:textId="77777777" w:rsidR="00D3474D" w:rsidRPr="00197550" w:rsidRDefault="00D3474D" w:rsidP="00C43F20">
            <w:pPr>
              <w:widowControl w:val="0"/>
              <w:rPr>
                <w:vanish/>
                <w:szCs w:val="22"/>
              </w:rPr>
            </w:pPr>
            <w:r w:rsidRPr="00197550">
              <w:rPr>
                <w:vanish/>
                <w:szCs w:val="22"/>
              </w:rPr>
              <w:fldChar w:fldCharType="begin"/>
            </w:r>
            <w:r w:rsidRPr="00197550">
              <w:rPr>
                <w:vanish/>
                <w:szCs w:val="22"/>
              </w:rPr>
              <w:instrText xml:space="preserve"> QUOTE "FIELD_SUMMARY" \* MERGEFORMAT </w:instrText>
            </w:r>
            <w:r w:rsidRPr="00197550">
              <w:rPr>
                <w:vanish/>
                <w:szCs w:val="22"/>
              </w:rPr>
              <w:fldChar w:fldCharType="separate"/>
            </w:r>
            <w:r w:rsidRPr="00197550">
              <w:rPr>
                <w:vanish/>
                <w:szCs w:val="22"/>
              </w:rPr>
              <w:t>FIELD_SUMMARY</w:t>
            </w:r>
            <w:r w:rsidRPr="00197550">
              <w:rPr>
                <w:vanish/>
                <w:szCs w:val="22"/>
              </w:rPr>
              <w:fldChar w:fldCharType="end"/>
            </w:r>
            <w:r w:rsidRPr="00197550">
              <w:rPr>
                <w:vanish/>
                <w:szCs w:val="22"/>
              </w:rPr>
              <w:t xml:space="preserve"> </w:t>
            </w:r>
          </w:p>
          <w:p w14:paraId="012B7909" w14:textId="77777777" w:rsidR="00D3474D" w:rsidRPr="00197550" w:rsidRDefault="00D3474D" w:rsidP="00C43F20">
            <w:pPr>
              <w:widowControl w:val="0"/>
              <w:rPr>
                <w:vanish/>
                <w:szCs w:val="22"/>
              </w:rPr>
            </w:pPr>
          </w:p>
        </w:tc>
        <w:tc>
          <w:tcPr>
            <w:tcW w:w="1584" w:type="dxa"/>
          </w:tcPr>
          <w:p w14:paraId="7BCF0AE2" w14:textId="77777777" w:rsidR="00D3474D" w:rsidRPr="00197550" w:rsidRDefault="00D3474D" w:rsidP="00C43F20">
            <w:pPr>
              <w:widowControl w:val="0"/>
              <w:jc w:val="right"/>
              <w:rPr>
                <w:bCs/>
                <w:vanish/>
                <w:szCs w:val="22"/>
              </w:rPr>
            </w:pPr>
          </w:p>
        </w:tc>
      </w:tr>
    </w:tbl>
    <w:p w14:paraId="75B67109" w14:textId="77777777" w:rsidR="00D3474D" w:rsidRPr="00197550" w:rsidRDefault="00D3474D" w:rsidP="00D3474D">
      <w:pPr>
        <w:rPr>
          <w:vanish/>
          <w:szCs w:val="22"/>
        </w:rPr>
      </w:pPr>
      <w:r w:rsidRPr="00197550">
        <w:rPr>
          <w:vanish/>
          <w:szCs w:val="22"/>
        </w:rPr>
        <w:t>&lt;/LAYOUT_SECTION&gt;</w:t>
      </w:r>
    </w:p>
    <w:p w14:paraId="731B6126" w14:textId="77777777" w:rsidR="00D3474D" w:rsidRPr="00197550" w:rsidRDefault="00D3474D" w:rsidP="00D3474D">
      <w:pPr>
        <w:ind w:left="720" w:hanging="720"/>
        <w:rPr>
          <w:vanish/>
          <w:szCs w:val="22"/>
        </w:rPr>
      </w:pPr>
      <w:r w:rsidRPr="00197550">
        <w:rPr>
          <w:vanish/>
          <w:szCs w:val="22"/>
        </w:rPr>
        <w:t>&lt;TITLE_ONLY_LAYOUT_SECTION&gt;</w:t>
      </w:r>
    </w:p>
    <w:tbl>
      <w:tblPr>
        <w:tblW w:w="9795" w:type="dxa"/>
        <w:tblInd w:w="-720" w:type="dxa"/>
        <w:tblLayout w:type="fixed"/>
        <w:tblCellMar>
          <w:top w:w="115" w:type="dxa"/>
          <w:left w:w="115" w:type="dxa"/>
          <w:right w:w="115" w:type="dxa"/>
        </w:tblCellMar>
        <w:tblLook w:val="04A0" w:firstRow="1" w:lastRow="0" w:firstColumn="1" w:lastColumn="0" w:noHBand="0" w:noVBand="1"/>
      </w:tblPr>
      <w:tblGrid>
        <w:gridCol w:w="721"/>
        <w:gridCol w:w="7490"/>
        <w:gridCol w:w="1584"/>
      </w:tblGrid>
      <w:tr w:rsidR="00D3474D" w:rsidRPr="00197550" w14:paraId="496EDAC3" w14:textId="77777777" w:rsidTr="00C43F20">
        <w:trPr>
          <w:hidden/>
        </w:trPr>
        <w:tc>
          <w:tcPr>
            <w:tcW w:w="720" w:type="dxa"/>
          </w:tcPr>
          <w:p w14:paraId="7C6AEACF" w14:textId="77777777" w:rsidR="00D3474D" w:rsidRPr="00197550" w:rsidRDefault="00D3474D" w:rsidP="00C43F20">
            <w:pPr>
              <w:rPr>
                <w:vanish/>
                <w:szCs w:val="22"/>
              </w:rPr>
            </w:pPr>
          </w:p>
        </w:tc>
        <w:tc>
          <w:tcPr>
            <w:tcW w:w="7488" w:type="dxa"/>
          </w:tcPr>
          <w:p w14:paraId="2CBEF8B8" w14:textId="77777777" w:rsidR="00D3474D" w:rsidRPr="00197550" w:rsidRDefault="00D3474D" w:rsidP="00C43F20">
            <w:pPr>
              <w:widowControl w:val="0"/>
              <w:rPr>
                <w:rFonts w:cs="Arial"/>
                <w:b/>
                <w:vanish/>
                <w:szCs w:val="22"/>
              </w:rPr>
            </w:pPr>
            <w:r w:rsidRPr="00197550">
              <w:rPr>
                <w:rFonts w:cs="Arial"/>
                <w:b/>
                <w:vanish/>
                <w:szCs w:val="22"/>
              </w:rPr>
              <w:fldChar w:fldCharType="begin"/>
            </w:r>
            <w:r w:rsidRPr="00197550">
              <w:rPr>
                <w:rFonts w:cs="Arial"/>
                <w:b/>
                <w:vanish/>
                <w:szCs w:val="22"/>
              </w:rPr>
              <w:instrText xml:space="preserve"> QUOTE "FIELD_TITLE" \* MERGEFORMAT </w:instrText>
            </w:r>
            <w:r w:rsidRPr="00197550">
              <w:rPr>
                <w:rFonts w:cs="Arial"/>
                <w:b/>
                <w:vanish/>
                <w:szCs w:val="22"/>
              </w:rPr>
              <w:fldChar w:fldCharType="separate"/>
            </w:r>
            <w:r w:rsidRPr="00197550">
              <w:rPr>
                <w:rFonts w:cs="Arial"/>
                <w:b/>
                <w:vanish/>
                <w:szCs w:val="22"/>
              </w:rPr>
              <w:t>FIELD_TITLE</w:t>
            </w:r>
            <w:r w:rsidRPr="00197550">
              <w:rPr>
                <w:rFonts w:cs="Arial"/>
                <w:b/>
                <w:vanish/>
                <w:szCs w:val="22"/>
              </w:rPr>
              <w:fldChar w:fldCharType="end"/>
            </w:r>
            <w:r w:rsidRPr="00197550">
              <w:rPr>
                <w:rFonts w:cs="Arial"/>
                <w:b/>
                <w:vanish/>
                <w:szCs w:val="22"/>
              </w:rPr>
              <w:t xml:space="preserve"> </w:t>
            </w:r>
          </w:p>
          <w:p w14:paraId="35586583" w14:textId="77777777" w:rsidR="00D3474D" w:rsidRPr="00197550" w:rsidRDefault="00D3474D" w:rsidP="00C43F20">
            <w:pPr>
              <w:widowControl w:val="0"/>
              <w:rPr>
                <w:b/>
                <w:vanish/>
                <w:szCs w:val="22"/>
              </w:rPr>
            </w:pPr>
          </w:p>
        </w:tc>
        <w:tc>
          <w:tcPr>
            <w:tcW w:w="1584" w:type="dxa"/>
          </w:tcPr>
          <w:p w14:paraId="1B3B350C" w14:textId="77777777" w:rsidR="00D3474D" w:rsidRPr="00197550" w:rsidRDefault="00D3474D" w:rsidP="00C43F20">
            <w:pPr>
              <w:widowControl w:val="0"/>
              <w:rPr>
                <w:bCs/>
                <w:vanish/>
                <w:szCs w:val="22"/>
              </w:rPr>
            </w:pPr>
          </w:p>
        </w:tc>
      </w:tr>
      <w:tr w:rsidR="00D3474D" w:rsidRPr="00197550" w14:paraId="702C10BF" w14:textId="77777777" w:rsidTr="00C43F20">
        <w:trPr>
          <w:hidden/>
        </w:trPr>
        <w:tc>
          <w:tcPr>
            <w:tcW w:w="720" w:type="dxa"/>
          </w:tcPr>
          <w:p w14:paraId="3CCB36AB" w14:textId="77777777" w:rsidR="00D3474D" w:rsidRPr="00197550" w:rsidRDefault="00D3474D" w:rsidP="00C43F20">
            <w:pPr>
              <w:rPr>
                <w:vanish/>
                <w:szCs w:val="22"/>
              </w:rPr>
            </w:pPr>
          </w:p>
        </w:tc>
        <w:tc>
          <w:tcPr>
            <w:tcW w:w="7488" w:type="dxa"/>
          </w:tcPr>
          <w:p w14:paraId="5AFD1111" w14:textId="77777777" w:rsidR="00D3474D" w:rsidRPr="00197550" w:rsidRDefault="00D3474D" w:rsidP="00C43F20">
            <w:pPr>
              <w:widowControl w:val="0"/>
              <w:rPr>
                <w:vanish/>
                <w:szCs w:val="22"/>
              </w:rPr>
            </w:pPr>
            <w:r w:rsidRPr="00197550">
              <w:rPr>
                <w:vanish/>
                <w:szCs w:val="22"/>
              </w:rPr>
              <w:fldChar w:fldCharType="begin"/>
            </w:r>
            <w:r w:rsidRPr="00197550">
              <w:rPr>
                <w:vanish/>
                <w:szCs w:val="22"/>
              </w:rPr>
              <w:instrText xml:space="preserve"> QUOTE "FIELD_SUMMARY" \* MERGEFORMAT </w:instrText>
            </w:r>
            <w:r w:rsidRPr="00197550">
              <w:rPr>
                <w:vanish/>
                <w:szCs w:val="22"/>
              </w:rPr>
              <w:fldChar w:fldCharType="separate"/>
            </w:r>
            <w:r w:rsidRPr="00197550">
              <w:rPr>
                <w:vanish/>
                <w:szCs w:val="22"/>
              </w:rPr>
              <w:t>FIELD_SUMMARY</w:t>
            </w:r>
            <w:r w:rsidRPr="00197550">
              <w:rPr>
                <w:vanish/>
                <w:szCs w:val="22"/>
              </w:rPr>
              <w:fldChar w:fldCharType="end"/>
            </w:r>
            <w:r w:rsidRPr="00197550">
              <w:rPr>
                <w:vanish/>
                <w:szCs w:val="22"/>
              </w:rPr>
              <w:t xml:space="preserve"> </w:t>
            </w:r>
          </w:p>
          <w:p w14:paraId="398495F0" w14:textId="77777777" w:rsidR="00D3474D" w:rsidRPr="00197550" w:rsidRDefault="00D3474D" w:rsidP="00C43F20">
            <w:pPr>
              <w:widowControl w:val="0"/>
              <w:rPr>
                <w:vanish/>
                <w:szCs w:val="22"/>
              </w:rPr>
            </w:pPr>
          </w:p>
        </w:tc>
        <w:tc>
          <w:tcPr>
            <w:tcW w:w="1584" w:type="dxa"/>
          </w:tcPr>
          <w:p w14:paraId="2E78ED15" w14:textId="77777777" w:rsidR="00D3474D" w:rsidRPr="00197550" w:rsidRDefault="00D3474D" w:rsidP="00C43F20">
            <w:pPr>
              <w:widowControl w:val="0"/>
              <w:jc w:val="right"/>
              <w:rPr>
                <w:bCs/>
                <w:vanish/>
                <w:szCs w:val="22"/>
              </w:rPr>
            </w:pPr>
          </w:p>
        </w:tc>
      </w:tr>
    </w:tbl>
    <w:p w14:paraId="658B7296" w14:textId="77777777" w:rsidR="00D3474D" w:rsidRPr="00197550" w:rsidRDefault="00D3474D" w:rsidP="00D3474D">
      <w:pPr>
        <w:ind w:left="720" w:hanging="720"/>
        <w:rPr>
          <w:vanish/>
          <w:szCs w:val="22"/>
        </w:rPr>
      </w:pPr>
      <w:r w:rsidRPr="00197550">
        <w:rPr>
          <w:vanish/>
          <w:szCs w:val="22"/>
        </w:rPr>
        <w:t>&lt;/TITLED_COMMENT_LAYOUT_SECTION&gt;</w:t>
      </w:r>
    </w:p>
    <w:p w14:paraId="31B7C06E" w14:textId="77777777" w:rsidR="00D3474D" w:rsidRPr="00197550" w:rsidRDefault="00D3474D" w:rsidP="00D3474D">
      <w:pPr>
        <w:ind w:left="720" w:hanging="720"/>
        <w:rPr>
          <w:vanish/>
          <w:szCs w:val="22"/>
        </w:rPr>
      </w:pPr>
      <w:r w:rsidRPr="00197550">
        <w:rPr>
          <w:vanish/>
          <w:szCs w:val="22"/>
        </w:rPr>
        <w:t>&lt;COMMENT_LAYOUT_SECTION&gt;</w:t>
      </w:r>
    </w:p>
    <w:tbl>
      <w:tblPr>
        <w:tblW w:w="0" w:type="auto"/>
        <w:tblInd w:w="-720" w:type="dxa"/>
        <w:tblLayout w:type="fixed"/>
        <w:tblCellMar>
          <w:top w:w="115" w:type="dxa"/>
          <w:left w:w="115" w:type="dxa"/>
          <w:right w:w="115" w:type="dxa"/>
        </w:tblCellMar>
        <w:tblLook w:val="04A0" w:firstRow="1" w:lastRow="0" w:firstColumn="1" w:lastColumn="0" w:noHBand="0" w:noVBand="1"/>
      </w:tblPr>
      <w:tblGrid>
        <w:gridCol w:w="720"/>
        <w:gridCol w:w="7488"/>
        <w:gridCol w:w="1584"/>
      </w:tblGrid>
      <w:tr w:rsidR="00D3474D" w:rsidRPr="00197550" w14:paraId="207950F8" w14:textId="77777777" w:rsidTr="00C43F20">
        <w:trPr>
          <w:hidden/>
        </w:trPr>
        <w:tc>
          <w:tcPr>
            <w:tcW w:w="720" w:type="dxa"/>
          </w:tcPr>
          <w:p w14:paraId="715E10ED" w14:textId="77777777" w:rsidR="00D3474D" w:rsidRPr="00197550" w:rsidRDefault="00D3474D" w:rsidP="00C43F20">
            <w:pPr>
              <w:rPr>
                <w:vanish/>
                <w:szCs w:val="22"/>
              </w:rPr>
            </w:pPr>
          </w:p>
        </w:tc>
        <w:tc>
          <w:tcPr>
            <w:tcW w:w="7488" w:type="dxa"/>
          </w:tcPr>
          <w:p w14:paraId="40BC538D" w14:textId="77777777" w:rsidR="00D3474D" w:rsidRPr="00197550" w:rsidRDefault="00D3474D" w:rsidP="00C43F20">
            <w:pPr>
              <w:ind w:left="720" w:hanging="720"/>
              <w:rPr>
                <w:vanish/>
                <w:szCs w:val="22"/>
              </w:rPr>
            </w:pPr>
            <w:r w:rsidRPr="00197550">
              <w:rPr>
                <w:vanish/>
                <w:szCs w:val="22"/>
              </w:rPr>
              <w:fldChar w:fldCharType="begin"/>
            </w:r>
            <w:r w:rsidRPr="00197550">
              <w:rPr>
                <w:vanish/>
                <w:szCs w:val="22"/>
              </w:rPr>
              <w:instrText xml:space="preserve"> QUOTE  "FIELD_SUMMARY"  \* MERGEFORMAT </w:instrText>
            </w:r>
            <w:r w:rsidRPr="00197550">
              <w:rPr>
                <w:vanish/>
                <w:szCs w:val="22"/>
              </w:rPr>
              <w:fldChar w:fldCharType="separate"/>
            </w:r>
            <w:r w:rsidRPr="00197550">
              <w:rPr>
                <w:vanish/>
                <w:szCs w:val="22"/>
              </w:rPr>
              <w:t>FIELD_SUMMARY</w:t>
            </w:r>
            <w:r w:rsidRPr="00197550">
              <w:rPr>
                <w:vanish/>
                <w:szCs w:val="22"/>
              </w:rPr>
              <w:fldChar w:fldCharType="end"/>
            </w:r>
          </w:p>
          <w:p w14:paraId="13DE2104" w14:textId="77777777" w:rsidR="00D3474D" w:rsidRPr="00197550" w:rsidRDefault="00D3474D" w:rsidP="00C43F20">
            <w:pPr>
              <w:widowControl w:val="0"/>
              <w:rPr>
                <w:b/>
                <w:vanish/>
                <w:szCs w:val="22"/>
              </w:rPr>
            </w:pPr>
          </w:p>
        </w:tc>
        <w:tc>
          <w:tcPr>
            <w:tcW w:w="1584" w:type="dxa"/>
          </w:tcPr>
          <w:p w14:paraId="4BA5534B" w14:textId="77777777" w:rsidR="00D3474D" w:rsidRPr="00197550" w:rsidRDefault="00D3474D" w:rsidP="00C43F20">
            <w:pPr>
              <w:widowControl w:val="0"/>
              <w:rPr>
                <w:bCs/>
                <w:vanish/>
                <w:szCs w:val="22"/>
              </w:rPr>
            </w:pPr>
          </w:p>
        </w:tc>
      </w:tr>
    </w:tbl>
    <w:p w14:paraId="69240312" w14:textId="77777777" w:rsidR="00D3474D" w:rsidRPr="00197550" w:rsidRDefault="00D3474D" w:rsidP="00D3474D">
      <w:pPr>
        <w:ind w:left="720" w:hanging="720"/>
        <w:rPr>
          <w:vanish/>
          <w:szCs w:val="22"/>
        </w:rPr>
      </w:pPr>
      <w:r w:rsidRPr="00197550">
        <w:rPr>
          <w:vanish/>
          <w:szCs w:val="22"/>
        </w:rPr>
        <w:t>&lt;/COMMENT_LAYOUT_SECTION&gt;</w:t>
      </w:r>
    </w:p>
    <w:p w14:paraId="2596C699" w14:textId="77777777" w:rsidR="00D3474D" w:rsidRPr="00197550" w:rsidRDefault="00D3474D" w:rsidP="00D3474D">
      <w:pPr>
        <w:rPr>
          <w:vanish/>
          <w:szCs w:val="22"/>
        </w:rPr>
      </w:pPr>
      <w:r w:rsidRPr="00197550">
        <w:rPr>
          <w:vanish/>
          <w:szCs w:val="22"/>
        </w:rPr>
        <w:t>&lt;SUBNUMBER_LAYOUT_SECTION&gt;</w:t>
      </w:r>
    </w:p>
    <w:tbl>
      <w:tblPr>
        <w:tblW w:w="9090" w:type="dxa"/>
        <w:tblInd w:w="25" w:type="dxa"/>
        <w:tblLayout w:type="fixed"/>
        <w:tblCellMar>
          <w:top w:w="115" w:type="dxa"/>
          <w:left w:w="115" w:type="dxa"/>
          <w:right w:w="115" w:type="dxa"/>
        </w:tblCellMar>
        <w:tblLook w:val="04A0" w:firstRow="1" w:lastRow="0" w:firstColumn="1" w:lastColumn="0" w:noHBand="0" w:noVBand="1"/>
      </w:tblPr>
      <w:tblGrid>
        <w:gridCol w:w="810"/>
        <w:gridCol w:w="6660"/>
        <w:gridCol w:w="1620"/>
      </w:tblGrid>
      <w:tr w:rsidR="00D3474D" w:rsidRPr="00197550" w14:paraId="4BF71F51" w14:textId="77777777" w:rsidTr="00C43F20">
        <w:trPr>
          <w:hidden/>
        </w:trPr>
        <w:tc>
          <w:tcPr>
            <w:tcW w:w="7470" w:type="dxa"/>
            <w:gridSpan w:val="2"/>
          </w:tcPr>
          <w:p w14:paraId="244D9521" w14:textId="77777777" w:rsidR="00D3474D" w:rsidRPr="00197550" w:rsidRDefault="00D3474D" w:rsidP="00C43F20">
            <w:pPr>
              <w:numPr>
                <w:ilvl w:val="1"/>
                <w:numId w:val="3"/>
              </w:numPr>
              <w:rPr>
                <w:vanish/>
                <w:szCs w:val="22"/>
              </w:rPr>
            </w:pPr>
            <w:r w:rsidRPr="00197550">
              <w:rPr>
                <w:vanish/>
                <w:szCs w:val="22"/>
              </w:rPr>
              <w:fldChar w:fldCharType="begin"/>
            </w:r>
            <w:r w:rsidRPr="00197550">
              <w:rPr>
                <w:vanish/>
                <w:szCs w:val="22"/>
              </w:rPr>
              <w:instrText xml:space="preserve"> QUOTE  “FIELD_TITLE”  \* MERGEFORMAT </w:instrText>
            </w:r>
            <w:r w:rsidRPr="00197550">
              <w:rPr>
                <w:vanish/>
                <w:szCs w:val="22"/>
              </w:rPr>
              <w:fldChar w:fldCharType="separate"/>
            </w:r>
            <w:r w:rsidRPr="00197550">
              <w:rPr>
                <w:vanish/>
                <w:szCs w:val="22"/>
              </w:rPr>
              <w:t>FIELD_TITLE</w:t>
            </w:r>
            <w:r w:rsidRPr="00197550">
              <w:rPr>
                <w:vanish/>
                <w:szCs w:val="22"/>
              </w:rPr>
              <w:fldChar w:fldCharType="end"/>
            </w:r>
          </w:p>
          <w:p w14:paraId="4F5ED9A5" w14:textId="77777777" w:rsidR="00D3474D" w:rsidRPr="00197550" w:rsidRDefault="00D3474D" w:rsidP="00C43F20">
            <w:pPr>
              <w:rPr>
                <w:vanish/>
                <w:szCs w:val="22"/>
              </w:rPr>
            </w:pPr>
          </w:p>
        </w:tc>
        <w:tc>
          <w:tcPr>
            <w:tcW w:w="1620" w:type="dxa"/>
          </w:tcPr>
          <w:p w14:paraId="04D073CC" w14:textId="77777777" w:rsidR="00D3474D" w:rsidRPr="00197550" w:rsidRDefault="00D3474D" w:rsidP="00C43F20">
            <w:pPr>
              <w:widowControl w:val="0"/>
              <w:rPr>
                <w:bCs/>
                <w:i/>
                <w:vanish/>
                <w:szCs w:val="22"/>
              </w:rPr>
            </w:pPr>
          </w:p>
        </w:tc>
      </w:tr>
      <w:tr w:rsidR="00D3474D" w:rsidRPr="00197550" w14:paraId="76221A8E" w14:textId="77777777" w:rsidTr="00C43F20">
        <w:trPr>
          <w:hidden/>
        </w:trPr>
        <w:tc>
          <w:tcPr>
            <w:tcW w:w="810" w:type="dxa"/>
          </w:tcPr>
          <w:p w14:paraId="627947D5" w14:textId="77777777" w:rsidR="00D3474D" w:rsidRPr="00197550" w:rsidRDefault="00D3474D" w:rsidP="00C43F20">
            <w:pPr>
              <w:rPr>
                <w:vanish/>
                <w:szCs w:val="22"/>
              </w:rPr>
            </w:pPr>
          </w:p>
        </w:tc>
        <w:tc>
          <w:tcPr>
            <w:tcW w:w="6660" w:type="dxa"/>
          </w:tcPr>
          <w:p w14:paraId="61C59550" w14:textId="77777777" w:rsidR="00D3474D" w:rsidRPr="00197550" w:rsidRDefault="00D3474D" w:rsidP="00C43F20">
            <w:pPr>
              <w:widowControl w:val="0"/>
              <w:rPr>
                <w:vanish/>
                <w:szCs w:val="22"/>
              </w:rPr>
            </w:pPr>
            <w:r w:rsidRPr="00197550">
              <w:rPr>
                <w:vanish/>
                <w:szCs w:val="22"/>
              </w:rPr>
              <w:fldChar w:fldCharType="begin"/>
            </w:r>
            <w:r w:rsidRPr="00197550">
              <w:rPr>
                <w:vanish/>
                <w:szCs w:val="22"/>
              </w:rPr>
              <w:instrText xml:space="preserve"> QUOTE "FIELD_SUMMARY" \* MERGEFORMAT </w:instrText>
            </w:r>
            <w:r w:rsidRPr="00197550">
              <w:rPr>
                <w:vanish/>
                <w:szCs w:val="22"/>
              </w:rPr>
              <w:fldChar w:fldCharType="separate"/>
            </w:r>
            <w:r w:rsidRPr="00197550">
              <w:rPr>
                <w:vanish/>
                <w:szCs w:val="22"/>
              </w:rPr>
              <w:t>FIELD_SUMMARY</w:t>
            </w:r>
            <w:r w:rsidRPr="00197550">
              <w:rPr>
                <w:vanish/>
                <w:szCs w:val="22"/>
              </w:rPr>
              <w:fldChar w:fldCharType="end"/>
            </w:r>
            <w:r w:rsidRPr="00197550">
              <w:rPr>
                <w:vanish/>
                <w:szCs w:val="22"/>
              </w:rPr>
              <w:t xml:space="preserve"> </w:t>
            </w:r>
          </w:p>
          <w:p w14:paraId="73FDFD38" w14:textId="77777777" w:rsidR="00D3474D" w:rsidRPr="00197550" w:rsidRDefault="00D3474D" w:rsidP="00C43F20">
            <w:pPr>
              <w:widowControl w:val="0"/>
              <w:rPr>
                <w:b/>
                <w:bCs/>
                <w:vanish/>
                <w:szCs w:val="22"/>
              </w:rPr>
            </w:pPr>
          </w:p>
        </w:tc>
        <w:tc>
          <w:tcPr>
            <w:tcW w:w="1620" w:type="dxa"/>
          </w:tcPr>
          <w:p w14:paraId="71E84168" w14:textId="77777777" w:rsidR="00D3474D" w:rsidRPr="00197550" w:rsidRDefault="00D3474D" w:rsidP="00C43F20">
            <w:pPr>
              <w:widowControl w:val="0"/>
              <w:jc w:val="right"/>
              <w:rPr>
                <w:bCs/>
                <w:vanish/>
                <w:szCs w:val="22"/>
              </w:rPr>
            </w:pPr>
          </w:p>
        </w:tc>
      </w:tr>
    </w:tbl>
    <w:p w14:paraId="1561A975" w14:textId="77777777" w:rsidR="00D3474D" w:rsidRPr="00197550" w:rsidRDefault="00D3474D" w:rsidP="00D3474D">
      <w:pPr>
        <w:rPr>
          <w:vanish/>
          <w:szCs w:val="22"/>
        </w:rPr>
      </w:pPr>
      <w:r w:rsidRPr="00197550">
        <w:rPr>
          <w:vanish/>
          <w:szCs w:val="22"/>
        </w:rPr>
        <w:t>&lt;/SUBNUMBER_LAYOUT_SECTION&gt;</w:t>
      </w:r>
    </w:p>
    <w:p w14:paraId="5EAEA852" w14:textId="77777777" w:rsidR="00D3474D" w:rsidRPr="00197550" w:rsidRDefault="00D3474D" w:rsidP="00D3474D">
      <w:pPr>
        <w:rPr>
          <w:vanish/>
          <w:szCs w:val="22"/>
        </w:rPr>
      </w:pPr>
      <w:r w:rsidRPr="00197550">
        <w:rPr>
          <w:vanish/>
          <w:szCs w:val="22"/>
        </w:rPr>
        <w:t>&lt;TITLE_ONLY_SUBNUMBER_LAYOUT_SECTION&gt;</w:t>
      </w:r>
    </w:p>
    <w:p w14:paraId="6D7C422E" w14:textId="77777777" w:rsidR="00D3474D" w:rsidRPr="00197550" w:rsidRDefault="00D3474D" w:rsidP="00D3474D">
      <w:pPr>
        <w:rPr>
          <w:vanish/>
          <w:szCs w:val="22"/>
        </w:rPr>
      </w:pPr>
      <w:r w:rsidRPr="00197550">
        <w:rPr>
          <w:vanish/>
          <w:szCs w:val="22"/>
        </w:rPr>
        <w:t>&lt;/TITLE_ONLY_SUBNUMBER_LAYOUT_SECTION&gt;</w:t>
      </w:r>
    </w:p>
    <w:sectPr w:rsidR="00D3474D" w:rsidRPr="0019755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C947B" w14:textId="77777777" w:rsidR="00914EEB" w:rsidRDefault="00914EEB" w:rsidP="00D3474D">
      <w:r>
        <w:separator/>
      </w:r>
    </w:p>
  </w:endnote>
  <w:endnote w:type="continuationSeparator" w:id="0">
    <w:p w14:paraId="4DD0E3EC" w14:textId="77777777" w:rsidR="00914EEB" w:rsidRDefault="00914EEB" w:rsidP="00D3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9862C" w14:textId="77777777" w:rsidR="00914EEB" w:rsidRDefault="00914E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321121"/>
      <w:docPartObj>
        <w:docPartGallery w:val="Page Numbers (Bottom of Page)"/>
        <w:docPartUnique/>
      </w:docPartObj>
    </w:sdtPr>
    <w:sdtEndPr>
      <w:rPr>
        <w:noProof/>
      </w:rPr>
    </w:sdtEndPr>
    <w:sdtContent>
      <w:p w14:paraId="043533E7" w14:textId="77777777" w:rsidR="00914EEB" w:rsidRDefault="00914EEB">
        <w:pPr>
          <w:pStyle w:val="Footer"/>
          <w:jc w:val="center"/>
        </w:pPr>
        <w:r>
          <w:fldChar w:fldCharType="begin"/>
        </w:r>
        <w:r>
          <w:instrText xml:space="preserve"> PAGE   \* MERGEFORMAT </w:instrText>
        </w:r>
        <w:r>
          <w:fldChar w:fldCharType="separate"/>
        </w:r>
        <w:r w:rsidR="00277EEC">
          <w:rPr>
            <w:noProof/>
          </w:rPr>
          <w:t>1</w:t>
        </w:r>
        <w:r>
          <w:rPr>
            <w:noProof/>
          </w:rPr>
          <w:fldChar w:fldCharType="end"/>
        </w:r>
      </w:p>
    </w:sdtContent>
  </w:sdt>
  <w:p w14:paraId="0814D3FA" w14:textId="77777777" w:rsidR="00914EEB" w:rsidRDefault="00914E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7F962" w14:textId="77777777" w:rsidR="00914EEB" w:rsidRDefault="00914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C8F02" w14:textId="77777777" w:rsidR="00914EEB" w:rsidRDefault="00914EEB" w:rsidP="00D3474D">
      <w:r>
        <w:separator/>
      </w:r>
    </w:p>
  </w:footnote>
  <w:footnote w:type="continuationSeparator" w:id="0">
    <w:p w14:paraId="0577853F" w14:textId="77777777" w:rsidR="00914EEB" w:rsidRDefault="00914EEB" w:rsidP="00D34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28C26" w14:textId="77777777" w:rsidR="00914EEB" w:rsidRDefault="00914E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FE1CE" w14:textId="77777777" w:rsidR="00914EEB" w:rsidRDefault="00914E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59DA1" w14:textId="77777777" w:rsidR="00914EEB" w:rsidRDefault="00914E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054BE"/>
    <w:multiLevelType w:val="hybridMultilevel"/>
    <w:tmpl w:val="A63A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7777"/>
    <w:multiLevelType w:val="hybridMultilevel"/>
    <w:tmpl w:val="E4E4A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60123"/>
    <w:multiLevelType w:val="hybridMultilevel"/>
    <w:tmpl w:val="E42AD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7204D"/>
    <w:multiLevelType w:val="hybridMultilevel"/>
    <w:tmpl w:val="B46C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C6520"/>
    <w:multiLevelType w:val="hybridMultilevel"/>
    <w:tmpl w:val="6FDC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673B8"/>
    <w:multiLevelType w:val="multilevel"/>
    <w:tmpl w:val="10C22308"/>
    <w:lvl w:ilvl="0">
      <w:start w:val="1"/>
      <w:numFmt w:val="decimal"/>
      <w:lvlText w:val="%1"/>
      <w:lvlJc w:val="left"/>
      <w:pPr>
        <w:tabs>
          <w:tab w:val="num" w:pos="0"/>
        </w:tabs>
        <w:ind w:left="0" w:firstLine="0"/>
      </w:pPr>
      <w:rPr>
        <w:rFonts w:ascii="Arial" w:hAnsi="Arial" w:cs="Times New Roman" w:hint="default"/>
        <w:b w:val="0"/>
        <w:i w:val="0"/>
        <w:sz w:val="20"/>
        <w:szCs w:val="20"/>
      </w:rPr>
    </w:lvl>
    <w:lvl w:ilvl="1">
      <w:start w:val="1"/>
      <w:numFmt w:val="lowerLetter"/>
      <w:lvlText w:val="%2)"/>
      <w:lvlJc w:val="left"/>
      <w:pPr>
        <w:ind w:left="720" w:hanging="720"/>
      </w:pPr>
      <w:rPr>
        <w:rFonts w:ascii="Arial" w:hAnsi="Arial" w:cs="Times New Roman" w:hint="default"/>
        <w:b w:val="0"/>
        <w:i w:val="0"/>
        <w:sz w:val="24"/>
        <w:szCs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C312DDD"/>
    <w:multiLevelType w:val="hybridMultilevel"/>
    <w:tmpl w:val="7E48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419B5"/>
    <w:multiLevelType w:val="hybridMultilevel"/>
    <w:tmpl w:val="CF3C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A14ED"/>
    <w:multiLevelType w:val="hybridMultilevel"/>
    <w:tmpl w:val="00DE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715E0"/>
    <w:multiLevelType w:val="hybridMultilevel"/>
    <w:tmpl w:val="63EE1C96"/>
    <w:lvl w:ilvl="0" w:tplc="0C522844">
      <w:start w:val="1"/>
      <w:numFmt w:val="decimal"/>
      <w:lvlText w:val="%1."/>
      <w:lvlJc w:val="left"/>
      <w:pPr>
        <w:ind w:left="720" w:hanging="360"/>
      </w:pPr>
      <w:rPr>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97FC1"/>
    <w:multiLevelType w:val="hybridMultilevel"/>
    <w:tmpl w:val="EA24E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0B53F4"/>
    <w:multiLevelType w:val="hybridMultilevel"/>
    <w:tmpl w:val="FE7C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166DC"/>
    <w:multiLevelType w:val="hybridMultilevel"/>
    <w:tmpl w:val="A688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B057D"/>
    <w:multiLevelType w:val="hybridMultilevel"/>
    <w:tmpl w:val="714C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478DE"/>
    <w:multiLevelType w:val="hybridMultilevel"/>
    <w:tmpl w:val="6BE0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413EA"/>
    <w:multiLevelType w:val="hybridMultilevel"/>
    <w:tmpl w:val="51B4D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A5A72"/>
    <w:multiLevelType w:val="hybridMultilevel"/>
    <w:tmpl w:val="0EAC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00A8A"/>
    <w:multiLevelType w:val="hybridMultilevel"/>
    <w:tmpl w:val="32AA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17081"/>
    <w:multiLevelType w:val="hybridMultilevel"/>
    <w:tmpl w:val="C12890E4"/>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08090017">
      <w:start w:val="1"/>
      <w:numFmt w:val="lowerLetter"/>
      <w:lvlText w:val="%3)"/>
      <w:lvlJc w:val="left"/>
      <w:pPr>
        <w:ind w:left="1800" w:hanging="360"/>
      </w:pPr>
      <w:rPr>
        <w:rFont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1EB0719"/>
    <w:multiLevelType w:val="hybridMultilevel"/>
    <w:tmpl w:val="0CC8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D1EC1"/>
    <w:multiLevelType w:val="hybridMultilevel"/>
    <w:tmpl w:val="0366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E47AE"/>
    <w:multiLevelType w:val="hybridMultilevel"/>
    <w:tmpl w:val="32E2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42CF3"/>
    <w:multiLevelType w:val="hybridMultilevel"/>
    <w:tmpl w:val="2184146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741F0"/>
    <w:multiLevelType w:val="hybridMultilevel"/>
    <w:tmpl w:val="9BEE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54DE4"/>
    <w:multiLevelType w:val="hybridMultilevel"/>
    <w:tmpl w:val="BDC248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0D22BC7"/>
    <w:multiLevelType w:val="hybridMultilevel"/>
    <w:tmpl w:val="4A947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ED2862"/>
    <w:multiLevelType w:val="hybridMultilevel"/>
    <w:tmpl w:val="3F121D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7925DB"/>
    <w:multiLevelType w:val="hybridMultilevel"/>
    <w:tmpl w:val="F4F2A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767ECA"/>
    <w:multiLevelType w:val="hybridMultilevel"/>
    <w:tmpl w:val="DCA4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72332C"/>
    <w:multiLevelType w:val="hybridMultilevel"/>
    <w:tmpl w:val="93C2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B3F39"/>
    <w:multiLevelType w:val="hybridMultilevel"/>
    <w:tmpl w:val="7844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93A13"/>
    <w:multiLevelType w:val="hybridMultilevel"/>
    <w:tmpl w:val="4580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E49FF"/>
    <w:multiLevelType w:val="multilevel"/>
    <w:tmpl w:val="9B00E262"/>
    <w:lvl w:ilvl="0">
      <w:start w:val="1"/>
      <w:numFmt w:val="decimal"/>
      <w:lvlText w:val="%1"/>
      <w:lvlJc w:val="left"/>
      <w:pPr>
        <w:ind w:left="562" w:hanging="562"/>
      </w:pPr>
      <w:rPr>
        <w:rFonts w:ascii="Arial Bold" w:hAnsi="Arial Bold" w:hint="default"/>
        <w:b/>
        <w:i w:val="0"/>
        <w:sz w:val="22"/>
        <w:szCs w:val="24"/>
      </w:rPr>
    </w:lvl>
    <w:lvl w:ilvl="1">
      <w:start w:val="1"/>
      <w:numFmt w:val="decimal"/>
      <w:lvlText w:val="%1 .%2"/>
      <w:lvlJc w:val="left"/>
      <w:pPr>
        <w:tabs>
          <w:tab w:val="num" w:pos="720"/>
        </w:tabs>
        <w:ind w:left="720" w:hanging="720"/>
      </w:pPr>
      <w:rPr>
        <w:rFonts w:ascii="Arial" w:hAnsi="Arial" w:cs="Times New Roman" w:hint="default"/>
        <w:b/>
        <w:i w:val="0"/>
        <w:sz w:val="24"/>
        <w:szCs w:val="24"/>
      </w:r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539"/>
        </w:tabs>
        <w:ind w:left="539" w:hanging="539"/>
      </w:pPr>
    </w:lvl>
    <w:lvl w:ilvl="5">
      <w:start w:val="1"/>
      <w:numFmt w:val="lowerRoman"/>
      <w:lvlText w:val="(%6)"/>
      <w:lvlJc w:val="left"/>
      <w:pPr>
        <w:tabs>
          <w:tab w:val="num" w:pos="2160"/>
        </w:tabs>
        <w:ind w:left="2160" w:hanging="360"/>
      </w:pPr>
    </w:lvl>
    <w:lvl w:ilvl="6">
      <w:start w:val="1"/>
      <w:numFmt w:val="decimal"/>
      <w:lvlText w:val="%7."/>
      <w:lvlJc w:val="left"/>
      <w:pPr>
        <w:tabs>
          <w:tab w:val="num" w:pos="624"/>
        </w:tabs>
        <w:ind w:left="624" w:hanging="624"/>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E2016F6"/>
    <w:multiLevelType w:val="hybridMultilevel"/>
    <w:tmpl w:val="22E29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06D64C0"/>
    <w:multiLevelType w:val="hybridMultilevel"/>
    <w:tmpl w:val="D7E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C763A"/>
    <w:multiLevelType w:val="hybridMultilevel"/>
    <w:tmpl w:val="B556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F4624"/>
    <w:multiLevelType w:val="hybridMultilevel"/>
    <w:tmpl w:val="3718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711C78"/>
    <w:multiLevelType w:val="hybridMultilevel"/>
    <w:tmpl w:val="C4D2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873619"/>
    <w:multiLevelType w:val="hybridMultilevel"/>
    <w:tmpl w:val="5560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6C0BFE"/>
    <w:multiLevelType w:val="hybridMultilevel"/>
    <w:tmpl w:val="9270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4D0B0C"/>
    <w:multiLevelType w:val="hybridMultilevel"/>
    <w:tmpl w:val="1C12419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1" w15:restartNumberingAfterBreak="0">
    <w:nsid w:val="7B717F5E"/>
    <w:multiLevelType w:val="hybridMultilevel"/>
    <w:tmpl w:val="1866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6094B"/>
    <w:multiLevelType w:val="multilevel"/>
    <w:tmpl w:val="9B00E262"/>
    <w:lvl w:ilvl="0">
      <w:start w:val="1"/>
      <w:numFmt w:val="decimal"/>
      <w:lvlText w:val="%1"/>
      <w:lvlJc w:val="left"/>
      <w:pPr>
        <w:ind w:left="562" w:hanging="562"/>
      </w:pPr>
      <w:rPr>
        <w:rFonts w:ascii="Arial Bold" w:hAnsi="Arial Bold" w:hint="default"/>
        <w:b/>
        <w:i w:val="0"/>
        <w:sz w:val="22"/>
        <w:szCs w:val="24"/>
      </w:rPr>
    </w:lvl>
    <w:lvl w:ilvl="1">
      <w:start w:val="1"/>
      <w:numFmt w:val="decimal"/>
      <w:lvlText w:val="%1 .%2"/>
      <w:lvlJc w:val="left"/>
      <w:pPr>
        <w:tabs>
          <w:tab w:val="num" w:pos="720"/>
        </w:tabs>
        <w:ind w:left="720" w:hanging="720"/>
      </w:pPr>
      <w:rPr>
        <w:rFonts w:ascii="Arial" w:hAnsi="Arial" w:cs="Times New Roman" w:hint="default"/>
        <w:b/>
        <w:i w:val="0"/>
        <w:sz w:val="24"/>
        <w:szCs w:val="24"/>
      </w:r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539"/>
        </w:tabs>
        <w:ind w:left="539" w:hanging="539"/>
      </w:pPr>
    </w:lvl>
    <w:lvl w:ilvl="5">
      <w:start w:val="1"/>
      <w:numFmt w:val="lowerRoman"/>
      <w:lvlText w:val="(%6)"/>
      <w:lvlJc w:val="left"/>
      <w:pPr>
        <w:tabs>
          <w:tab w:val="num" w:pos="2160"/>
        </w:tabs>
        <w:ind w:left="2160" w:hanging="360"/>
      </w:pPr>
    </w:lvl>
    <w:lvl w:ilvl="6">
      <w:start w:val="1"/>
      <w:numFmt w:val="decimal"/>
      <w:lvlText w:val="%7."/>
      <w:lvlJc w:val="left"/>
      <w:pPr>
        <w:tabs>
          <w:tab w:val="num" w:pos="624"/>
        </w:tabs>
        <w:ind w:left="624" w:hanging="624"/>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DF86F4F"/>
    <w:multiLevelType w:val="hybridMultilevel"/>
    <w:tmpl w:val="FB50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945AF5"/>
    <w:multiLevelType w:val="hybridMultilevel"/>
    <w:tmpl w:val="030EA7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0"/>
  </w:num>
  <w:num w:numId="6">
    <w:abstractNumId w:val="36"/>
  </w:num>
  <w:num w:numId="7">
    <w:abstractNumId w:val="2"/>
  </w:num>
  <w:num w:numId="8">
    <w:abstractNumId w:val="37"/>
  </w:num>
  <w:num w:numId="9">
    <w:abstractNumId w:val="39"/>
  </w:num>
  <w:num w:numId="10">
    <w:abstractNumId w:val="34"/>
  </w:num>
  <w:num w:numId="11">
    <w:abstractNumId w:val="4"/>
  </w:num>
  <w:num w:numId="12">
    <w:abstractNumId w:val="31"/>
  </w:num>
  <w:num w:numId="13">
    <w:abstractNumId w:val="12"/>
  </w:num>
  <w:num w:numId="14">
    <w:abstractNumId w:val="23"/>
  </w:num>
  <w:num w:numId="15">
    <w:abstractNumId w:val="7"/>
  </w:num>
  <w:num w:numId="16">
    <w:abstractNumId w:val="6"/>
  </w:num>
  <w:num w:numId="17">
    <w:abstractNumId w:val="29"/>
  </w:num>
  <w:num w:numId="18">
    <w:abstractNumId w:val="8"/>
  </w:num>
  <w:num w:numId="19">
    <w:abstractNumId w:val="26"/>
  </w:num>
  <w:num w:numId="20">
    <w:abstractNumId w:val="20"/>
  </w:num>
  <w:num w:numId="21">
    <w:abstractNumId w:val="28"/>
  </w:num>
  <w:num w:numId="22">
    <w:abstractNumId w:val="2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8"/>
  </w:num>
  <w:num w:numId="26">
    <w:abstractNumId w:val="11"/>
  </w:num>
  <w:num w:numId="27">
    <w:abstractNumId w:val="43"/>
  </w:num>
  <w:num w:numId="28">
    <w:abstractNumId w:val="40"/>
  </w:num>
  <w:num w:numId="29">
    <w:abstractNumId w:val="15"/>
  </w:num>
  <w:num w:numId="30">
    <w:abstractNumId w:val="25"/>
  </w:num>
  <w:num w:numId="31">
    <w:abstractNumId w:val="10"/>
  </w:num>
  <w:num w:numId="32">
    <w:abstractNumId w:val="27"/>
  </w:num>
  <w:num w:numId="33">
    <w:abstractNumId w:val="17"/>
  </w:num>
  <w:num w:numId="34">
    <w:abstractNumId w:val="3"/>
  </w:num>
  <w:num w:numId="35">
    <w:abstractNumId w:val="14"/>
  </w:num>
  <w:num w:numId="36">
    <w:abstractNumId w:val="41"/>
  </w:num>
  <w:num w:numId="37">
    <w:abstractNumId w:val="35"/>
  </w:num>
  <w:num w:numId="38">
    <w:abstractNumId w:val="19"/>
  </w:num>
  <w:num w:numId="39">
    <w:abstractNumId w:val="16"/>
  </w:num>
  <w:num w:numId="40">
    <w:abstractNumId w:val="21"/>
  </w:num>
  <w:num w:numId="41">
    <w:abstractNumId w:val="18"/>
  </w:num>
  <w:num w:numId="42">
    <w:abstractNumId w:val="44"/>
  </w:num>
  <w:num w:numId="43">
    <w:abstractNumId w:val="33"/>
  </w:num>
  <w:num w:numId="44">
    <w:abstractNumId w:val="9"/>
  </w:num>
  <w:num w:numId="45">
    <w:abstractNumId w:val="13"/>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4D"/>
    <w:rsid w:val="00001A4F"/>
    <w:rsid w:val="000266DD"/>
    <w:rsid w:val="0004324A"/>
    <w:rsid w:val="00047060"/>
    <w:rsid w:val="00062195"/>
    <w:rsid w:val="00074D8A"/>
    <w:rsid w:val="00084C34"/>
    <w:rsid w:val="00094827"/>
    <w:rsid w:val="000D73DE"/>
    <w:rsid w:val="000E304E"/>
    <w:rsid w:val="000F5FB4"/>
    <w:rsid w:val="00105D3B"/>
    <w:rsid w:val="0012181D"/>
    <w:rsid w:val="0013330A"/>
    <w:rsid w:val="001552AF"/>
    <w:rsid w:val="00160828"/>
    <w:rsid w:val="00160C3F"/>
    <w:rsid w:val="00196A6E"/>
    <w:rsid w:val="00197550"/>
    <w:rsid w:val="001A2119"/>
    <w:rsid w:val="001A3C87"/>
    <w:rsid w:val="001B36CE"/>
    <w:rsid w:val="001B5AA1"/>
    <w:rsid w:val="001D289B"/>
    <w:rsid w:val="001D785A"/>
    <w:rsid w:val="001D7A58"/>
    <w:rsid w:val="001E0214"/>
    <w:rsid w:val="001F2C55"/>
    <w:rsid w:val="001F324A"/>
    <w:rsid w:val="001F3471"/>
    <w:rsid w:val="00207BE6"/>
    <w:rsid w:val="00224E50"/>
    <w:rsid w:val="00233706"/>
    <w:rsid w:val="00245B53"/>
    <w:rsid w:val="0025426F"/>
    <w:rsid w:val="002672EC"/>
    <w:rsid w:val="00275841"/>
    <w:rsid w:val="00275E46"/>
    <w:rsid w:val="00277EEC"/>
    <w:rsid w:val="00281227"/>
    <w:rsid w:val="00292B74"/>
    <w:rsid w:val="00294D56"/>
    <w:rsid w:val="00295E18"/>
    <w:rsid w:val="002A22C2"/>
    <w:rsid w:val="002A51E7"/>
    <w:rsid w:val="002B00FE"/>
    <w:rsid w:val="002D4460"/>
    <w:rsid w:val="002F5919"/>
    <w:rsid w:val="00306489"/>
    <w:rsid w:val="003103BC"/>
    <w:rsid w:val="00317613"/>
    <w:rsid w:val="00335BAA"/>
    <w:rsid w:val="00347D63"/>
    <w:rsid w:val="00362377"/>
    <w:rsid w:val="00371250"/>
    <w:rsid w:val="003A7CDE"/>
    <w:rsid w:val="003B26D5"/>
    <w:rsid w:val="003D019E"/>
    <w:rsid w:val="003E69A4"/>
    <w:rsid w:val="003F0BA7"/>
    <w:rsid w:val="00400F9D"/>
    <w:rsid w:val="0040467A"/>
    <w:rsid w:val="004164EA"/>
    <w:rsid w:val="004179ED"/>
    <w:rsid w:val="00423700"/>
    <w:rsid w:val="00442CE6"/>
    <w:rsid w:val="004533B3"/>
    <w:rsid w:val="00462659"/>
    <w:rsid w:val="00467722"/>
    <w:rsid w:val="00475D8E"/>
    <w:rsid w:val="004808DC"/>
    <w:rsid w:val="00496650"/>
    <w:rsid w:val="004A26AF"/>
    <w:rsid w:val="004A41E5"/>
    <w:rsid w:val="004A77DC"/>
    <w:rsid w:val="004B5ABA"/>
    <w:rsid w:val="004B6401"/>
    <w:rsid w:val="004D2193"/>
    <w:rsid w:val="004E12C2"/>
    <w:rsid w:val="004E5152"/>
    <w:rsid w:val="004F637F"/>
    <w:rsid w:val="004F7016"/>
    <w:rsid w:val="005062D8"/>
    <w:rsid w:val="00556EFC"/>
    <w:rsid w:val="00567B67"/>
    <w:rsid w:val="00592E78"/>
    <w:rsid w:val="005A31BF"/>
    <w:rsid w:val="005A48C8"/>
    <w:rsid w:val="005B3376"/>
    <w:rsid w:val="005C3A7B"/>
    <w:rsid w:val="005C4189"/>
    <w:rsid w:val="005D68B3"/>
    <w:rsid w:val="005E1B04"/>
    <w:rsid w:val="005E34A9"/>
    <w:rsid w:val="005E3CFD"/>
    <w:rsid w:val="006144A1"/>
    <w:rsid w:val="00647B16"/>
    <w:rsid w:val="006503A9"/>
    <w:rsid w:val="00651D57"/>
    <w:rsid w:val="00653FD2"/>
    <w:rsid w:val="0066607F"/>
    <w:rsid w:val="00687DAA"/>
    <w:rsid w:val="00690340"/>
    <w:rsid w:val="00696029"/>
    <w:rsid w:val="006B564E"/>
    <w:rsid w:val="006C385B"/>
    <w:rsid w:val="006C4538"/>
    <w:rsid w:val="006F6FA5"/>
    <w:rsid w:val="006F7787"/>
    <w:rsid w:val="007056B8"/>
    <w:rsid w:val="007135F2"/>
    <w:rsid w:val="007156B8"/>
    <w:rsid w:val="007276AB"/>
    <w:rsid w:val="00752595"/>
    <w:rsid w:val="007618BC"/>
    <w:rsid w:val="00774879"/>
    <w:rsid w:val="00777841"/>
    <w:rsid w:val="0078096F"/>
    <w:rsid w:val="00784FB1"/>
    <w:rsid w:val="00797B5A"/>
    <w:rsid w:val="007A6909"/>
    <w:rsid w:val="007C0F92"/>
    <w:rsid w:val="007D06AD"/>
    <w:rsid w:val="007D1CD8"/>
    <w:rsid w:val="00807934"/>
    <w:rsid w:val="0081793B"/>
    <w:rsid w:val="00817F5F"/>
    <w:rsid w:val="0082690F"/>
    <w:rsid w:val="00833FC4"/>
    <w:rsid w:val="00863AD2"/>
    <w:rsid w:val="008666A3"/>
    <w:rsid w:val="0088486F"/>
    <w:rsid w:val="00891532"/>
    <w:rsid w:val="00891AE9"/>
    <w:rsid w:val="008A0101"/>
    <w:rsid w:val="008A4F31"/>
    <w:rsid w:val="008A606B"/>
    <w:rsid w:val="008A76B3"/>
    <w:rsid w:val="008B105B"/>
    <w:rsid w:val="008B20E8"/>
    <w:rsid w:val="008B238A"/>
    <w:rsid w:val="008C2D41"/>
    <w:rsid w:val="008C64BB"/>
    <w:rsid w:val="008D1EC3"/>
    <w:rsid w:val="008D3909"/>
    <w:rsid w:val="008E6A62"/>
    <w:rsid w:val="008F2161"/>
    <w:rsid w:val="008F6079"/>
    <w:rsid w:val="008F6C22"/>
    <w:rsid w:val="00914EEB"/>
    <w:rsid w:val="0091752B"/>
    <w:rsid w:val="009211C2"/>
    <w:rsid w:val="009307AB"/>
    <w:rsid w:val="00935FF1"/>
    <w:rsid w:val="00946516"/>
    <w:rsid w:val="00975D51"/>
    <w:rsid w:val="009A47D2"/>
    <w:rsid w:val="009C1A0F"/>
    <w:rsid w:val="009C3DF2"/>
    <w:rsid w:val="009F40C3"/>
    <w:rsid w:val="00A15722"/>
    <w:rsid w:val="00A24711"/>
    <w:rsid w:val="00A55AF6"/>
    <w:rsid w:val="00A741BC"/>
    <w:rsid w:val="00A77ED9"/>
    <w:rsid w:val="00A90130"/>
    <w:rsid w:val="00A90625"/>
    <w:rsid w:val="00AB370F"/>
    <w:rsid w:val="00AD60E3"/>
    <w:rsid w:val="00AE3804"/>
    <w:rsid w:val="00B059D6"/>
    <w:rsid w:val="00B14D02"/>
    <w:rsid w:val="00B246E0"/>
    <w:rsid w:val="00B37DB2"/>
    <w:rsid w:val="00B405DA"/>
    <w:rsid w:val="00B46A36"/>
    <w:rsid w:val="00B54998"/>
    <w:rsid w:val="00B56329"/>
    <w:rsid w:val="00B57647"/>
    <w:rsid w:val="00B62013"/>
    <w:rsid w:val="00B67B5A"/>
    <w:rsid w:val="00B730A4"/>
    <w:rsid w:val="00B94E12"/>
    <w:rsid w:val="00BA5855"/>
    <w:rsid w:val="00BB5EFF"/>
    <w:rsid w:val="00BB6CBD"/>
    <w:rsid w:val="00BC184E"/>
    <w:rsid w:val="00BC3416"/>
    <w:rsid w:val="00BC7953"/>
    <w:rsid w:val="00BD19F7"/>
    <w:rsid w:val="00BE1767"/>
    <w:rsid w:val="00BE3426"/>
    <w:rsid w:val="00BE72B2"/>
    <w:rsid w:val="00BF26ED"/>
    <w:rsid w:val="00C009A4"/>
    <w:rsid w:val="00C05BE2"/>
    <w:rsid w:val="00C06B30"/>
    <w:rsid w:val="00C075F9"/>
    <w:rsid w:val="00C24D3A"/>
    <w:rsid w:val="00C36A01"/>
    <w:rsid w:val="00C37545"/>
    <w:rsid w:val="00C43F20"/>
    <w:rsid w:val="00C442A0"/>
    <w:rsid w:val="00C60A22"/>
    <w:rsid w:val="00C7642B"/>
    <w:rsid w:val="00C92027"/>
    <w:rsid w:val="00CA0ACB"/>
    <w:rsid w:val="00CC074D"/>
    <w:rsid w:val="00CC55D6"/>
    <w:rsid w:val="00CF6371"/>
    <w:rsid w:val="00D330F6"/>
    <w:rsid w:val="00D33D42"/>
    <w:rsid w:val="00D3474D"/>
    <w:rsid w:val="00D35826"/>
    <w:rsid w:val="00D3760A"/>
    <w:rsid w:val="00D40392"/>
    <w:rsid w:val="00D4178F"/>
    <w:rsid w:val="00D45B4D"/>
    <w:rsid w:val="00D60BFE"/>
    <w:rsid w:val="00D65D59"/>
    <w:rsid w:val="00D66FB8"/>
    <w:rsid w:val="00D72CBF"/>
    <w:rsid w:val="00D876DE"/>
    <w:rsid w:val="00DA39F1"/>
    <w:rsid w:val="00DB28A3"/>
    <w:rsid w:val="00DB5BC6"/>
    <w:rsid w:val="00DE55CB"/>
    <w:rsid w:val="00E06350"/>
    <w:rsid w:val="00E13835"/>
    <w:rsid w:val="00E20E11"/>
    <w:rsid w:val="00E2717D"/>
    <w:rsid w:val="00E35E8E"/>
    <w:rsid w:val="00E87DD0"/>
    <w:rsid w:val="00EA3D30"/>
    <w:rsid w:val="00EB780A"/>
    <w:rsid w:val="00EC4C0E"/>
    <w:rsid w:val="00EE02E7"/>
    <w:rsid w:val="00EE7D10"/>
    <w:rsid w:val="00EF7015"/>
    <w:rsid w:val="00F15744"/>
    <w:rsid w:val="00F1712A"/>
    <w:rsid w:val="00F2203F"/>
    <w:rsid w:val="00F227E2"/>
    <w:rsid w:val="00F23AA0"/>
    <w:rsid w:val="00F45DC6"/>
    <w:rsid w:val="00F87203"/>
    <w:rsid w:val="00F87FE6"/>
    <w:rsid w:val="00F9231D"/>
    <w:rsid w:val="00FA6F7C"/>
    <w:rsid w:val="00FB1DFC"/>
    <w:rsid w:val="00FB35A1"/>
    <w:rsid w:val="00FC3347"/>
    <w:rsid w:val="00FC4FFB"/>
    <w:rsid w:val="00FD2BEE"/>
    <w:rsid w:val="00FD7292"/>
    <w:rsid w:val="00FF3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2701DF2"/>
  <w15:docId w15:val="{D70636BD-8216-42E1-A6E8-25B16937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4D"/>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74D"/>
    <w:pPr>
      <w:ind w:left="720"/>
      <w:contextualSpacing/>
    </w:pPr>
  </w:style>
  <w:style w:type="paragraph" w:styleId="Header">
    <w:name w:val="header"/>
    <w:basedOn w:val="Normal"/>
    <w:link w:val="HeaderChar"/>
    <w:unhideWhenUsed/>
    <w:rsid w:val="00D3474D"/>
    <w:pPr>
      <w:tabs>
        <w:tab w:val="center" w:pos="4513"/>
        <w:tab w:val="right" w:pos="9026"/>
      </w:tabs>
    </w:pPr>
  </w:style>
  <w:style w:type="character" w:customStyle="1" w:styleId="HeaderChar">
    <w:name w:val="Header Char"/>
    <w:basedOn w:val="DefaultParagraphFont"/>
    <w:link w:val="Header"/>
    <w:rsid w:val="00D3474D"/>
    <w:rPr>
      <w:rFonts w:ascii="Arial" w:eastAsia="Times New Roman" w:hAnsi="Arial" w:cs="Times New Roman"/>
      <w:szCs w:val="20"/>
      <w:lang w:eastAsia="en-GB"/>
    </w:rPr>
  </w:style>
  <w:style w:type="paragraph" w:styleId="Footer">
    <w:name w:val="footer"/>
    <w:basedOn w:val="Normal"/>
    <w:link w:val="FooterChar"/>
    <w:uiPriority w:val="99"/>
    <w:unhideWhenUsed/>
    <w:rsid w:val="00D3474D"/>
    <w:pPr>
      <w:tabs>
        <w:tab w:val="center" w:pos="4513"/>
        <w:tab w:val="right" w:pos="9026"/>
      </w:tabs>
    </w:pPr>
  </w:style>
  <w:style w:type="character" w:customStyle="1" w:styleId="FooterChar">
    <w:name w:val="Footer Char"/>
    <w:basedOn w:val="DefaultParagraphFont"/>
    <w:link w:val="Footer"/>
    <w:uiPriority w:val="99"/>
    <w:rsid w:val="00D3474D"/>
    <w:rPr>
      <w:rFonts w:ascii="Arial" w:eastAsia="Times New Roman" w:hAnsi="Arial" w:cs="Times New Roman"/>
      <w:szCs w:val="20"/>
      <w:lang w:eastAsia="en-GB"/>
    </w:rPr>
  </w:style>
  <w:style w:type="character" w:styleId="Hyperlink">
    <w:name w:val="Hyperlink"/>
    <w:basedOn w:val="DefaultParagraphFont"/>
    <w:uiPriority w:val="99"/>
    <w:unhideWhenUsed/>
    <w:rsid w:val="00CF6371"/>
    <w:rPr>
      <w:color w:val="0563C1" w:themeColor="hyperlink"/>
      <w:u w:val="single"/>
    </w:rPr>
  </w:style>
  <w:style w:type="character" w:styleId="CommentReference">
    <w:name w:val="annotation reference"/>
    <w:basedOn w:val="DefaultParagraphFont"/>
    <w:uiPriority w:val="99"/>
    <w:semiHidden/>
    <w:unhideWhenUsed/>
    <w:rsid w:val="00AD60E3"/>
    <w:rPr>
      <w:sz w:val="16"/>
      <w:szCs w:val="16"/>
    </w:rPr>
  </w:style>
  <w:style w:type="paragraph" w:styleId="CommentText">
    <w:name w:val="annotation text"/>
    <w:basedOn w:val="Normal"/>
    <w:link w:val="CommentTextChar"/>
    <w:uiPriority w:val="99"/>
    <w:semiHidden/>
    <w:unhideWhenUsed/>
    <w:rsid w:val="00AD60E3"/>
    <w:rPr>
      <w:sz w:val="20"/>
    </w:rPr>
  </w:style>
  <w:style w:type="character" w:customStyle="1" w:styleId="CommentTextChar">
    <w:name w:val="Comment Text Char"/>
    <w:basedOn w:val="DefaultParagraphFont"/>
    <w:link w:val="CommentText"/>
    <w:uiPriority w:val="99"/>
    <w:semiHidden/>
    <w:rsid w:val="00AD60E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D60E3"/>
    <w:rPr>
      <w:b/>
      <w:bCs/>
    </w:rPr>
  </w:style>
  <w:style w:type="character" w:customStyle="1" w:styleId="CommentSubjectChar">
    <w:name w:val="Comment Subject Char"/>
    <w:basedOn w:val="CommentTextChar"/>
    <w:link w:val="CommentSubject"/>
    <w:uiPriority w:val="99"/>
    <w:semiHidden/>
    <w:rsid w:val="00AD60E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AD6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E3"/>
    <w:rPr>
      <w:rFonts w:ascii="Segoe UI" w:eastAsia="Times New Roman" w:hAnsi="Segoe UI" w:cs="Segoe UI"/>
      <w:sz w:val="18"/>
      <w:szCs w:val="18"/>
      <w:lang w:eastAsia="en-GB"/>
    </w:rPr>
  </w:style>
  <w:style w:type="paragraph" w:styleId="Revision">
    <w:name w:val="Revision"/>
    <w:hidden/>
    <w:uiPriority w:val="99"/>
    <w:semiHidden/>
    <w:rsid w:val="008A76B3"/>
    <w:pPr>
      <w:spacing w:after="0" w:line="240" w:lineRule="auto"/>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0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ct:contentTypeSchema xmlns:ct="http://schemas.microsoft.com/office/2006/metadata/contentType" xmlns:ma="http://schemas.microsoft.com/office/2006/metadata/properties/metaAttributes" ct:_="" ma:_="" ma:contentTypeName="Document" ma:contentTypeID="0x0101000F5C372B467C794D98A244C807443814" ma:contentTypeVersion="0" ma:contentTypeDescription="Create a new document." ma:contentTypeScope="" ma:versionID="21a0f498c2b2e0ad76be74f54472073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02D6-6B7D-4C47-91DD-50501002965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2BBA3EF-B22A-4FE3-AAB7-1DBECAC90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D7697A-BF5C-4596-BEE7-40192A7B40D3}">
  <ds:schemaRefs>
    <ds:schemaRef ds:uri="http://schemas.microsoft.com/sharepoint/v3/contenttype/forms"/>
  </ds:schemaRefs>
</ds:datastoreItem>
</file>

<file path=customXml/itemProps4.xml><?xml version="1.0" encoding="utf-8"?>
<ds:datastoreItem xmlns:ds="http://schemas.openxmlformats.org/officeDocument/2006/customXml" ds:itemID="{0E4C189D-F90E-4D27-B263-C63984D28E77}">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BF7B8D97-BA25-4513-A893-DC74C64F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7387E8C3</Template>
  <TotalTime>155</TotalTime>
  <Pages>5</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Wilesmith</dc:creator>
  <cp:lastModifiedBy>Patrick McDermott</cp:lastModifiedBy>
  <cp:revision>4</cp:revision>
  <dcterms:created xsi:type="dcterms:W3CDTF">2017-11-21T18:26:00Z</dcterms:created>
  <dcterms:modified xsi:type="dcterms:W3CDTF">2017-11-22T18:02:00Z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0x0101000F5C372B467C794D98A244C807443814</vt:lpwstr>
  </property>
  <property fmtid="{D5CDD505-2E9C-101B-9397-08002B2CF9AE}" pid="3" name="TaxKeyword">
    <vt:lpwstr/>
  </property>
  <property fmtid="{D5CDD505-2E9C-101B-9397-08002B2CF9AE}" pid="4" name="docIndexRef">
    <vt:lpwstr>88e560d2-0b67-4e8d-9330-d37ba4cb065e</vt:lpwstr>
  </property>
  <property fmtid="{D5CDD505-2E9C-101B-9397-08002B2CF9AE}" pid="5" name="bjSaver">
    <vt:lpwstr>2gfa7dgm0knF4ceduHViE0BWJgoDqdor</vt:lpwstr>
  </property>
  <property fmtid="{D5CDD505-2E9C-101B-9397-08002B2CF9AE}" pid="6" name="bjDocumentSecurityLabel">
    <vt:lpwstr>No Marking</vt:lpwstr>
  </property>
</Properties>
</file>