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419" w:rsidRDefault="00786BF1">
      <w:r>
        <w:rPr>
          <w:noProof/>
          <w:lang w:eastAsia="en-GB"/>
        </w:rPr>
        <w:drawing>
          <wp:inline distT="0" distB="0" distL="0" distR="0" wp14:anchorId="198D57AE" wp14:editId="5E696701">
            <wp:extent cx="2152015" cy="12192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2015" cy="1219200"/>
                    </a:xfrm>
                    <a:prstGeom prst="rect">
                      <a:avLst/>
                    </a:prstGeom>
                    <a:noFill/>
                  </pic:spPr>
                </pic:pic>
              </a:graphicData>
            </a:graphic>
          </wp:inline>
        </w:drawing>
      </w:r>
    </w:p>
    <w:p w:rsidR="002A7085" w:rsidRPr="00703419" w:rsidRDefault="00703419">
      <w:r>
        <w:rPr>
          <w:rFonts w:ascii="Times New Roman" w:hAnsi="Times New Roman" w:cs="Times New Roman"/>
          <w:b/>
          <w:color w:val="009999"/>
          <w:sz w:val="48"/>
          <w:szCs w:val="48"/>
        </w:rPr>
        <w:t xml:space="preserve">Systems Design </w:t>
      </w:r>
      <w:r w:rsidR="00840BAE" w:rsidRPr="00840BAE">
        <w:rPr>
          <w:rFonts w:ascii="Times New Roman" w:hAnsi="Times New Roman" w:cs="Times New Roman"/>
          <w:b/>
          <w:color w:val="009999"/>
          <w:sz w:val="48"/>
          <w:szCs w:val="48"/>
        </w:rPr>
        <w:t>Working Group</w:t>
      </w:r>
      <w:r w:rsidR="00D11D79">
        <w:rPr>
          <w:rFonts w:ascii="Times New Roman" w:hAnsi="Times New Roman" w:cs="Times New Roman"/>
          <w:b/>
          <w:color w:val="009999"/>
          <w:sz w:val="48"/>
          <w:szCs w:val="48"/>
        </w:rPr>
        <w:t xml:space="preserve"> Forward Look</w:t>
      </w:r>
    </w:p>
    <w:p w:rsidR="00183432" w:rsidRDefault="00703419" w:rsidP="00183432">
      <w:pPr>
        <w:rPr>
          <w:rFonts w:ascii="Times New Roman" w:hAnsi="Times New Roman" w:cs="Times New Roman"/>
          <w:b/>
          <w:color w:val="009999"/>
          <w:sz w:val="28"/>
          <w:szCs w:val="28"/>
        </w:rPr>
      </w:pPr>
      <w:r>
        <w:rPr>
          <w:rFonts w:ascii="Times New Roman" w:hAnsi="Times New Roman" w:cs="Times New Roman"/>
          <w:b/>
          <w:color w:val="009999"/>
          <w:sz w:val="28"/>
          <w:szCs w:val="28"/>
        </w:rPr>
        <w:t>Background</w:t>
      </w:r>
    </w:p>
    <w:p w:rsidR="00703419" w:rsidRPr="00D20B0A" w:rsidRDefault="00E92832" w:rsidP="00D20B0A">
      <w:pPr>
        <w:pStyle w:val="ListParagraph"/>
        <w:numPr>
          <w:ilvl w:val="0"/>
          <w:numId w:val="10"/>
        </w:numPr>
        <w:contextualSpacing w:val="0"/>
        <w:rPr>
          <w:rFonts w:ascii="Times New Roman" w:hAnsi="Times New Roman" w:cs="Times New Roman"/>
          <w:color w:val="000000" w:themeColor="text1"/>
          <w:sz w:val="28"/>
          <w:szCs w:val="28"/>
        </w:rPr>
      </w:pPr>
      <w:r w:rsidRPr="00D20B0A">
        <w:rPr>
          <w:rFonts w:ascii="Times New Roman" w:hAnsi="Times New Roman" w:cs="Times New Roman"/>
          <w:color w:val="000000" w:themeColor="text1"/>
          <w:sz w:val="28"/>
          <w:szCs w:val="28"/>
        </w:rPr>
        <w:t>We have been given the opportunity to take stock of the best way to proceed with local government finance reform following t</w:t>
      </w:r>
      <w:r w:rsidR="00484D24" w:rsidRPr="00D20B0A">
        <w:rPr>
          <w:rFonts w:ascii="Times New Roman" w:hAnsi="Times New Roman" w:cs="Times New Roman"/>
          <w:color w:val="000000" w:themeColor="text1"/>
          <w:sz w:val="28"/>
          <w:szCs w:val="28"/>
        </w:rPr>
        <w:t>he fall of the Local Government Finance Bill, when Parliament was dissolved in the run u</w:t>
      </w:r>
      <w:r w:rsidRPr="00D20B0A">
        <w:rPr>
          <w:rFonts w:ascii="Times New Roman" w:hAnsi="Times New Roman" w:cs="Times New Roman"/>
          <w:color w:val="000000" w:themeColor="text1"/>
          <w:sz w:val="28"/>
          <w:szCs w:val="28"/>
        </w:rPr>
        <w:t xml:space="preserve">p to the General Election 2017. This means that DCLG and the sector, through co-working, will be best placed to reach the optimal </w:t>
      </w:r>
      <w:r w:rsidR="00484D24" w:rsidRPr="00D20B0A">
        <w:rPr>
          <w:rFonts w:ascii="Times New Roman" w:hAnsi="Times New Roman" w:cs="Times New Roman"/>
          <w:color w:val="000000" w:themeColor="text1"/>
          <w:sz w:val="28"/>
          <w:szCs w:val="28"/>
        </w:rPr>
        <w:t>overall solution.</w:t>
      </w:r>
    </w:p>
    <w:p w:rsidR="0049219F" w:rsidRDefault="0049219F" w:rsidP="00D20B0A">
      <w:pPr>
        <w:pStyle w:val="ListParagraph"/>
        <w:numPr>
          <w:ilvl w:val="0"/>
          <w:numId w:val="10"/>
        </w:numPr>
        <w:contextualSpacing w:val="0"/>
        <w:rPr>
          <w:rFonts w:ascii="Times New Roman" w:hAnsi="Times New Roman" w:cs="Times New Roman"/>
          <w:color w:val="000000" w:themeColor="text1"/>
          <w:sz w:val="28"/>
          <w:szCs w:val="28"/>
        </w:rPr>
      </w:pPr>
      <w:r w:rsidRPr="00D20B0A">
        <w:rPr>
          <w:rFonts w:ascii="Times New Roman" w:hAnsi="Times New Roman" w:cs="Times New Roman"/>
          <w:color w:val="000000" w:themeColor="text1"/>
          <w:sz w:val="28"/>
          <w:szCs w:val="28"/>
        </w:rPr>
        <w:t xml:space="preserve">In the current Parliamentary session, with Brexit dominating the Parliamentary timetable, we will be unable to bring forward primary legislation. However, this will not mean a lack of action. DCLG will be taking forward a package of reforms, in close collaboration with the sector, that further the manifesto commitment to continue to allow local government greater control over the money it raises. </w:t>
      </w:r>
      <w:r w:rsidR="00E92832" w:rsidRPr="00D20B0A">
        <w:rPr>
          <w:rFonts w:ascii="Times New Roman" w:hAnsi="Times New Roman" w:cs="Times New Roman"/>
          <w:color w:val="000000" w:themeColor="text1"/>
          <w:sz w:val="28"/>
          <w:szCs w:val="28"/>
        </w:rPr>
        <w:t xml:space="preserve">Reforms to the design of the system will seek to make improvements to the functionality and stability of Local Government Finance. </w:t>
      </w:r>
    </w:p>
    <w:p w:rsidR="00A07453" w:rsidRPr="00A07453" w:rsidRDefault="00A07453" w:rsidP="00A07453">
      <w:pPr>
        <w:rPr>
          <w:rFonts w:ascii="Times New Roman" w:hAnsi="Times New Roman" w:cs="Times New Roman"/>
          <w:b/>
          <w:color w:val="009999"/>
          <w:sz w:val="28"/>
          <w:szCs w:val="28"/>
        </w:rPr>
      </w:pPr>
      <w:r>
        <w:rPr>
          <w:rFonts w:ascii="Times New Roman" w:hAnsi="Times New Roman" w:cs="Times New Roman"/>
          <w:b/>
          <w:color w:val="009999"/>
          <w:sz w:val="28"/>
          <w:szCs w:val="28"/>
        </w:rPr>
        <w:t>Proposal</w:t>
      </w:r>
    </w:p>
    <w:p w:rsidR="00E57FCC" w:rsidRPr="00D20B0A" w:rsidRDefault="00E57FCC" w:rsidP="00E57FCC">
      <w:pPr>
        <w:pStyle w:val="ListParagraph"/>
        <w:numPr>
          <w:ilvl w:val="0"/>
          <w:numId w:val="10"/>
        </w:numPr>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At the </w:t>
      </w:r>
      <w:r w:rsidRPr="00E57FCC">
        <w:rPr>
          <w:rFonts w:ascii="Times New Roman" w:hAnsi="Times New Roman" w:cs="Times New Roman"/>
          <w:color w:val="000000" w:themeColor="text1"/>
          <w:sz w:val="28"/>
          <w:szCs w:val="28"/>
        </w:rPr>
        <w:t>Business Rates Retention Steering Group</w:t>
      </w:r>
      <w:r w:rsidR="00B6045A">
        <w:rPr>
          <w:rFonts w:ascii="Times New Roman" w:hAnsi="Times New Roman" w:cs="Times New Roman"/>
          <w:color w:val="000000" w:themeColor="text1"/>
          <w:sz w:val="28"/>
          <w:szCs w:val="28"/>
        </w:rPr>
        <w:t>,</w:t>
      </w:r>
      <w:r w:rsidRPr="00E57FCC">
        <w:rPr>
          <w:rFonts w:ascii="Times New Roman" w:hAnsi="Times New Roman" w:cs="Times New Roman"/>
          <w:color w:val="000000" w:themeColor="text1"/>
          <w:sz w:val="28"/>
          <w:szCs w:val="28"/>
        </w:rPr>
        <w:t xml:space="preserve"> a high level timetable was tabled for discussion setting out a possible route to </w:t>
      </w:r>
      <w:r w:rsidR="00B6045A">
        <w:rPr>
          <w:rFonts w:ascii="Times New Roman" w:hAnsi="Times New Roman" w:cs="Times New Roman"/>
          <w:color w:val="000000" w:themeColor="text1"/>
          <w:sz w:val="28"/>
          <w:szCs w:val="28"/>
        </w:rPr>
        <w:t>reform</w:t>
      </w:r>
      <w:r w:rsidRPr="00E57FCC">
        <w:rPr>
          <w:rFonts w:ascii="Times New Roman" w:hAnsi="Times New Roman" w:cs="Times New Roman"/>
          <w:color w:val="000000" w:themeColor="text1"/>
          <w:sz w:val="28"/>
          <w:szCs w:val="28"/>
        </w:rPr>
        <w:t xml:space="preserve"> (attached at Annex A)</w:t>
      </w:r>
      <w:r>
        <w:rPr>
          <w:rFonts w:ascii="Times New Roman" w:hAnsi="Times New Roman" w:cs="Times New Roman"/>
          <w:color w:val="000000" w:themeColor="text1"/>
          <w:sz w:val="28"/>
          <w:szCs w:val="28"/>
        </w:rPr>
        <w:t>.</w:t>
      </w:r>
      <w:r w:rsidR="00B6045A">
        <w:rPr>
          <w:rFonts w:ascii="Times New Roman" w:hAnsi="Times New Roman" w:cs="Times New Roman"/>
          <w:color w:val="000000" w:themeColor="text1"/>
          <w:sz w:val="28"/>
          <w:szCs w:val="28"/>
        </w:rPr>
        <w:t xml:space="preserve"> Some alterations have been made to</w:t>
      </w:r>
      <w:r w:rsidR="00FA2680">
        <w:rPr>
          <w:rFonts w:ascii="Times New Roman" w:hAnsi="Times New Roman" w:cs="Times New Roman"/>
          <w:color w:val="000000" w:themeColor="text1"/>
          <w:sz w:val="28"/>
          <w:szCs w:val="28"/>
        </w:rPr>
        <w:t xml:space="preserve"> reflect the wider timeline of local g</w:t>
      </w:r>
      <w:r w:rsidR="00B6045A">
        <w:rPr>
          <w:rFonts w:ascii="Times New Roman" w:hAnsi="Times New Roman" w:cs="Times New Roman"/>
          <w:color w:val="000000" w:themeColor="text1"/>
          <w:sz w:val="28"/>
          <w:szCs w:val="28"/>
        </w:rPr>
        <w:t>overn</w:t>
      </w:r>
      <w:r w:rsidR="00FA2680">
        <w:rPr>
          <w:rFonts w:ascii="Times New Roman" w:hAnsi="Times New Roman" w:cs="Times New Roman"/>
          <w:color w:val="000000" w:themeColor="text1"/>
          <w:sz w:val="28"/>
          <w:szCs w:val="28"/>
        </w:rPr>
        <w:t>ment finance r</w:t>
      </w:r>
      <w:r w:rsidR="00B6045A">
        <w:rPr>
          <w:rFonts w:ascii="Times New Roman" w:hAnsi="Times New Roman" w:cs="Times New Roman"/>
          <w:color w:val="000000" w:themeColor="text1"/>
          <w:sz w:val="28"/>
          <w:szCs w:val="28"/>
        </w:rPr>
        <w:t xml:space="preserve">eform and a proposed forward look of </w:t>
      </w:r>
      <w:r w:rsidR="00CA6224">
        <w:rPr>
          <w:rFonts w:ascii="Times New Roman" w:hAnsi="Times New Roman" w:cs="Times New Roman"/>
          <w:color w:val="000000" w:themeColor="text1"/>
          <w:sz w:val="28"/>
          <w:szCs w:val="28"/>
        </w:rPr>
        <w:t xml:space="preserve">the </w:t>
      </w:r>
      <w:r w:rsidR="00B6045A">
        <w:rPr>
          <w:rFonts w:ascii="Times New Roman" w:hAnsi="Times New Roman" w:cs="Times New Roman"/>
          <w:color w:val="000000" w:themeColor="text1"/>
          <w:sz w:val="28"/>
          <w:szCs w:val="28"/>
        </w:rPr>
        <w:t>papers it is recommended the Systems Design Working Group</w:t>
      </w:r>
      <w:r w:rsidR="00CA6224">
        <w:rPr>
          <w:rFonts w:ascii="Times New Roman" w:hAnsi="Times New Roman" w:cs="Times New Roman"/>
          <w:color w:val="000000" w:themeColor="text1"/>
          <w:sz w:val="28"/>
          <w:szCs w:val="28"/>
        </w:rPr>
        <w:t xml:space="preserve"> consider is attached at Annex B.</w:t>
      </w:r>
      <w:r w:rsidR="00B6045A">
        <w:rPr>
          <w:rFonts w:ascii="Times New Roman" w:hAnsi="Times New Roman" w:cs="Times New Roman"/>
          <w:color w:val="000000" w:themeColor="text1"/>
          <w:sz w:val="28"/>
          <w:szCs w:val="28"/>
        </w:rPr>
        <w:t xml:space="preserve">  </w:t>
      </w:r>
    </w:p>
    <w:p w:rsidR="00183432" w:rsidRPr="00D20B0A" w:rsidRDefault="00E92832" w:rsidP="00D20B0A">
      <w:pPr>
        <w:pStyle w:val="ListParagraph"/>
        <w:numPr>
          <w:ilvl w:val="0"/>
          <w:numId w:val="10"/>
        </w:numPr>
        <w:contextualSpacing w:val="0"/>
        <w:rPr>
          <w:rFonts w:ascii="Times New Roman" w:hAnsi="Times New Roman" w:cs="Times New Roman"/>
          <w:color w:val="000000" w:themeColor="text1"/>
          <w:sz w:val="28"/>
          <w:szCs w:val="28"/>
        </w:rPr>
      </w:pPr>
      <w:r w:rsidRPr="00D20B0A">
        <w:rPr>
          <w:rFonts w:ascii="Times New Roman" w:hAnsi="Times New Roman" w:cs="Times New Roman"/>
          <w:color w:val="000000" w:themeColor="text1"/>
          <w:sz w:val="28"/>
          <w:szCs w:val="28"/>
        </w:rPr>
        <w:t xml:space="preserve">We propose that the Working Group initially focusses on elements of the system which can be modified using secondary legislation and so are suitable for a short term reform package. Once this work is completed we </w:t>
      </w:r>
      <w:r w:rsidRPr="00D20B0A">
        <w:rPr>
          <w:rFonts w:ascii="Times New Roman" w:hAnsi="Times New Roman" w:cs="Times New Roman"/>
          <w:color w:val="000000" w:themeColor="text1"/>
          <w:sz w:val="28"/>
          <w:szCs w:val="28"/>
        </w:rPr>
        <w:lastRenderedPageBreak/>
        <w:t xml:space="preserve">propose that the Working Group considers longer term options for reform through primary legislation. </w:t>
      </w:r>
    </w:p>
    <w:p w:rsidR="00087672" w:rsidRDefault="007F663A" w:rsidP="00CA6224">
      <w:pPr>
        <w:pStyle w:val="ListParagraph"/>
        <w:numPr>
          <w:ilvl w:val="0"/>
          <w:numId w:val="10"/>
        </w:numPr>
        <w:contextualSpacing w:val="0"/>
        <w:rPr>
          <w:rFonts w:ascii="Times New Roman" w:hAnsi="Times New Roman" w:cs="Times New Roman"/>
          <w:color w:val="000000" w:themeColor="text1"/>
          <w:sz w:val="28"/>
          <w:szCs w:val="28"/>
        </w:rPr>
      </w:pPr>
      <w:r w:rsidRPr="00D20B0A">
        <w:rPr>
          <w:rFonts w:ascii="Times New Roman" w:hAnsi="Times New Roman" w:cs="Times New Roman"/>
          <w:color w:val="000000" w:themeColor="text1"/>
          <w:sz w:val="28"/>
          <w:szCs w:val="28"/>
        </w:rPr>
        <w:t xml:space="preserve">Papers will be prepared based on analysis carried out by DCLG and responses to the Government’s Further Consultation on Business Rates Retention. </w:t>
      </w:r>
      <w:r w:rsidR="008D3C63">
        <w:rPr>
          <w:rFonts w:ascii="Times New Roman" w:hAnsi="Times New Roman" w:cs="Times New Roman"/>
          <w:color w:val="000000" w:themeColor="text1"/>
          <w:sz w:val="28"/>
          <w:szCs w:val="28"/>
        </w:rPr>
        <w:t>Papers will be published, as usual, and feedback will be invited from the wider sector and other interested parties.</w:t>
      </w:r>
    </w:p>
    <w:p w:rsidR="008D3C63" w:rsidRDefault="00A07453" w:rsidP="00A07453">
      <w:pPr>
        <w:pStyle w:val="ListParagraph"/>
        <w:numPr>
          <w:ilvl w:val="0"/>
          <w:numId w:val="10"/>
        </w:numPr>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strong, open and collabora</w:t>
      </w:r>
      <w:r w:rsidRPr="00A07453">
        <w:rPr>
          <w:rFonts w:ascii="Times New Roman" w:hAnsi="Times New Roman" w:cs="Times New Roman"/>
          <w:color w:val="000000" w:themeColor="text1"/>
          <w:sz w:val="28"/>
          <w:szCs w:val="28"/>
        </w:rPr>
        <w:t xml:space="preserve">tive relationship between us will be central to achieving effective reform. </w:t>
      </w:r>
      <w:r>
        <w:rPr>
          <w:rFonts w:ascii="Times New Roman" w:hAnsi="Times New Roman" w:cs="Times New Roman"/>
          <w:color w:val="000000" w:themeColor="text1"/>
          <w:sz w:val="28"/>
          <w:szCs w:val="28"/>
        </w:rPr>
        <w:t>We would therefore invite the Working Group to consider how the sector can best feed into the development of each of the technical papers</w:t>
      </w:r>
      <w:r w:rsidR="00CF58D7">
        <w:rPr>
          <w:rFonts w:ascii="Times New Roman" w:hAnsi="Times New Roman" w:cs="Times New Roman"/>
          <w:color w:val="000000" w:themeColor="text1"/>
          <w:sz w:val="28"/>
          <w:szCs w:val="28"/>
        </w:rPr>
        <w:t xml:space="preserve"> (as well as commenting on it once produced) </w:t>
      </w:r>
      <w:r>
        <w:rPr>
          <w:rFonts w:ascii="Times New Roman" w:hAnsi="Times New Roman" w:cs="Times New Roman"/>
          <w:color w:val="000000" w:themeColor="text1"/>
          <w:sz w:val="28"/>
          <w:szCs w:val="28"/>
        </w:rPr>
        <w:t xml:space="preserve"> in order to create a system which truly delivers</w:t>
      </w:r>
      <w:r w:rsidRPr="00A07453">
        <w:rPr>
          <w:rFonts w:ascii="Times New Roman" w:hAnsi="Times New Roman" w:cs="Times New Roman"/>
          <w:color w:val="000000" w:themeColor="text1"/>
          <w:sz w:val="28"/>
          <w:szCs w:val="28"/>
        </w:rPr>
        <w:t>.</w:t>
      </w:r>
      <w:r w:rsidR="008D3C63">
        <w:rPr>
          <w:rFonts w:ascii="Times New Roman" w:hAnsi="Times New Roman" w:cs="Times New Roman"/>
          <w:color w:val="000000" w:themeColor="text1"/>
          <w:sz w:val="28"/>
          <w:szCs w:val="28"/>
        </w:rPr>
        <w:t xml:space="preserve"> </w:t>
      </w:r>
    </w:p>
    <w:p w:rsidR="00CA6224" w:rsidRPr="00CA6224" w:rsidRDefault="00E92832" w:rsidP="00CA6224">
      <w:pPr>
        <w:pStyle w:val="ListParagraph"/>
        <w:numPr>
          <w:ilvl w:val="0"/>
          <w:numId w:val="10"/>
        </w:numPr>
        <w:contextualSpacing w:val="0"/>
        <w:rPr>
          <w:rFonts w:ascii="Times New Roman" w:hAnsi="Times New Roman" w:cs="Times New Roman"/>
          <w:color w:val="000000" w:themeColor="text1"/>
          <w:sz w:val="28"/>
          <w:szCs w:val="28"/>
        </w:rPr>
      </w:pPr>
      <w:r w:rsidRPr="00D20B0A">
        <w:rPr>
          <w:rFonts w:ascii="Times New Roman" w:hAnsi="Times New Roman" w:cs="Times New Roman"/>
          <w:color w:val="000000" w:themeColor="text1"/>
          <w:sz w:val="28"/>
          <w:szCs w:val="28"/>
        </w:rPr>
        <w:t xml:space="preserve">Additionally, we recommend that the Working Group commission a sub </w:t>
      </w:r>
      <w:r w:rsidR="0095792D" w:rsidRPr="00D20B0A">
        <w:rPr>
          <w:rFonts w:ascii="Times New Roman" w:hAnsi="Times New Roman" w:cs="Times New Roman"/>
          <w:color w:val="000000" w:themeColor="text1"/>
          <w:sz w:val="28"/>
          <w:szCs w:val="28"/>
        </w:rPr>
        <w:t xml:space="preserve">group to consider the </w:t>
      </w:r>
      <w:r w:rsidRPr="00D20B0A">
        <w:rPr>
          <w:rFonts w:ascii="Times New Roman" w:hAnsi="Times New Roman" w:cs="Times New Roman"/>
          <w:color w:val="000000" w:themeColor="text1"/>
          <w:sz w:val="28"/>
          <w:szCs w:val="28"/>
        </w:rPr>
        <w:t>detail of technical transition (such as transitioning IT systems) and operationalization. The findings of this group would then be presented to the Worki</w:t>
      </w:r>
      <w:r w:rsidR="00FF138E">
        <w:rPr>
          <w:rFonts w:ascii="Times New Roman" w:hAnsi="Times New Roman" w:cs="Times New Roman"/>
          <w:color w:val="000000" w:themeColor="text1"/>
          <w:sz w:val="28"/>
          <w:szCs w:val="28"/>
        </w:rPr>
        <w:t>ng Group for consideration. S</w:t>
      </w:r>
      <w:r w:rsidRPr="00D20B0A">
        <w:rPr>
          <w:rFonts w:ascii="Times New Roman" w:hAnsi="Times New Roman" w:cs="Times New Roman"/>
          <w:color w:val="000000" w:themeColor="text1"/>
          <w:sz w:val="28"/>
          <w:szCs w:val="28"/>
        </w:rPr>
        <w:t xml:space="preserve">uggested topics for </w:t>
      </w:r>
      <w:r w:rsidR="00500B3C">
        <w:rPr>
          <w:rFonts w:ascii="Times New Roman" w:hAnsi="Times New Roman" w:cs="Times New Roman"/>
          <w:color w:val="000000" w:themeColor="text1"/>
          <w:sz w:val="28"/>
          <w:szCs w:val="28"/>
        </w:rPr>
        <w:t xml:space="preserve">this group </w:t>
      </w:r>
      <w:r w:rsidRPr="00D20B0A">
        <w:rPr>
          <w:rFonts w:ascii="Times New Roman" w:hAnsi="Times New Roman" w:cs="Times New Roman"/>
          <w:color w:val="000000" w:themeColor="text1"/>
          <w:sz w:val="28"/>
          <w:szCs w:val="28"/>
        </w:rPr>
        <w:t>to examine are:</w:t>
      </w:r>
    </w:p>
    <w:p w:rsidR="006564AE" w:rsidRDefault="006564AE" w:rsidP="006564AE">
      <w:pPr>
        <w:pStyle w:val="ListParagraph"/>
        <w:numPr>
          <w:ilvl w:val="0"/>
          <w:numId w:val="17"/>
        </w:numPr>
        <w:rPr>
          <w:rFonts w:ascii="Times New Roman" w:hAnsi="Times New Roman" w:cs="Times New Roman"/>
          <w:color w:val="000000" w:themeColor="text1"/>
          <w:sz w:val="28"/>
          <w:szCs w:val="28"/>
        </w:rPr>
      </w:pPr>
      <w:r w:rsidRPr="006564AE">
        <w:rPr>
          <w:rFonts w:ascii="Times New Roman" w:hAnsi="Times New Roman" w:cs="Times New Roman"/>
          <w:color w:val="000000" w:themeColor="text1"/>
          <w:sz w:val="28"/>
          <w:szCs w:val="28"/>
        </w:rPr>
        <w:t>Pilots  accounting and IT systems transition</w:t>
      </w:r>
      <w:r>
        <w:rPr>
          <w:rFonts w:ascii="Times New Roman" w:hAnsi="Times New Roman" w:cs="Times New Roman"/>
          <w:color w:val="000000" w:themeColor="text1"/>
          <w:sz w:val="28"/>
          <w:szCs w:val="28"/>
        </w:rPr>
        <w:t>;</w:t>
      </w:r>
    </w:p>
    <w:p w:rsidR="006564AE" w:rsidRDefault="006564AE" w:rsidP="006564AE">
      <w:pPr>
        <w:pStyle w:val="ListParagraph"/>
        <w:numPr>
          <w:ilvl w:val="0"/>
          <w:numId w:val="17"/>
        </w:numPr>
        <w:rPr>
          <w:rFonts w:ascii="Times New Roman" w:hAnsi="Times New Roman" w:cs="Times New Roman"/>
          <w:color w:val="000000" w:themeColor="text1"/>
          <w:sz w:val="28"/>
          <w:szCs w:val="28"/>
        </w:rPr>
      </w:pPr>
      <w:r w:rsidRPr="006564AE">
        <w:rPr>
          <w:rFonts w:ascii="Times New Roman" w:hAnsi="Times New Roman" w:cs="Times New Roman"/>
          <w:color w:val="000000" w:themeColor="text1"/>
          <w:sz w:val="28"/>
          <w:szCs w:val="28"/>
        </w:rPr>
        <w:t>Top Slice</w:t>
      </w:r>
      <w:r>
        <w:rPr>
          <w:rFonts w:ascii="Times New Roman" w:hAnsi="Times New Roman" w:cs="Times New Roman"/>
          <w:color w:val="000000" w:themeColor="text1"/>
          <w:sz w:val="28"/>
          <w:szCs w:val="28"/>
        </w:rPr>
        <w:t>;</w:t>
      </w:r>
    </w:p>
    <w:p w:rsidR="00CA6224" w:rsidRPr="00CA6224" w:rsidRDefault="006564AE" w:rsidP="006564AE">
      <w:pPr>
        <w:pStyle w:val="ListParagraph"/>
        <w:numPr>
          <w:ilvl w:val="0"/>
          <w:numId w:val="17"/>
        </w:numPr>
        <w:rPr>
          <w:rFonts w:ascii="Times New Roman" w:hAnsi="Times New Roman" w:cs="Times New Roman"/>
          <w:color w:val="000000" w:themeColor="text1"/>
          <w:sz w:val="28"/>
          <w:szCs w:val="28"/>
        </w:rPr>
      </w:pPr>
      <w:r w:rsidRPr="006564AE">
        <w:rPr>
          <w:rFonts w:ascii="Times New Roman" w:hAnsi="Times New Roman" w:cs="Times New Roman"/>
          <w:color w:val="000000" w:themeColor="text1"/>
          <w:sz w:val="28"/>
          <w:szCs w:val="28"/>
        </w:rPr>
        <w:t>2020 Reset and Establishing BRB</w:t>
      </w:r>
      <w:r w:rsidR="00CA6224" w:rsidRPr="00CA6224">
        <w:rPr>
          <w:rFonts w:ascii="Times New Roman" w:hAnsi="Times New Roman" w:cs="Times New Roman"/>
          <w:color w:val="000000" w:themeColor="text1"/>
          <w:sz w:val="28"/>
          <w:szCs w:val="28"/>
        </w:rPr>
        <w:t>;</w:t>
      </w:r>
    </w:p>
    <w:p w:rsidR="006564AE" w:rsidRDefault="00CA6224" w:rsidP="006564AE">
      <w:pPr>
        <w:pStyle w:val="ListParagraph"/>
        <w:numPr>
          <w:ilvl w:val="0"/>
          <w:numId w:val="17"/>
        </w:numPr>
        <w:spacing w:line="240" w:lineRule="auto"/>
        <w:ind w:left="1434" w:hanging="357"/>
        <w:rPr>
          <w:rFonts w:ascii="Times New Roman" w:hAnsi="Times New Roman" w:cs="Times New Roman"/>
          <w:color w:val="000000" w:themeColor="text1"/>
          <w:sz w:val="28"/>
          <w:szCs w:val="28"/>
        </w:rPr>
      </w:pPr>
      <w:r w:rsidRPr="00CA6224">
        <w:rPr>
          <w:rFonts w:ascii="Times New Roman" w:hAnsi="Times New Roman" w:cs="Times New Roman"/>
          <w:color w:val="000000" w:themeColor="text1"/>
          <w:sz w:val="28"/>
          <w:szCs w:val="28"/>
        </w:rPr>
        <w:t>Redesign of NNDRs</w:t>
      </w:r>
      <w:r w:rsidR="006564AE">
        <w:rPr>
          <w:rFonts w:ascii="Times New Roman" w:hAnsi="Times New Roman" w:cs="Times New Roman"/>
          <w:color w:val="000000" w:themeColor="text1"/>
          <w:sz w:val="28"/>
          <w:szCs w:val="28"/>
        </w:rPr>
        <w:t>;</w:t>
      </w:r>
      <w:r w:rsidR="008E2317">
        <w:rPr>
          <w:rFonts w:ascii="Times New Roman" w:hAnsi="Times New Roman" w:cs="Times New Roman"/>
          <w:color w:val="000000" w:themeColor="text1"/>
          <w:sz w:val="28"/>
          <w:szCs w:val="28"/>
        </w:rPr>
        <w:t xml:space="preserve"> and</w:t>
      </w:r>
    </w:p>
    <w:p w:rsidR="00CA6224" w:rsidRDefault="006564AE" w:rsidP="006564AE">
      <w:pPr>
        <w:pStyle w:val="ListParagraph"/>
        <w:numPr>
          <w:ilvl w:val="0"/>
          <w:numId w:val="17"/>
        </w:numPr>
        <w:spacing w:line="240" w:lineRule="auto"/>
        <w:ind w:left="1434" w:hanging="357"/>
        <w:rPr>
          <w:rFonts w:ascii="Times New Roman" w:hAnsi="Times New Roman" w:cs="Times New Roman"/>
          <w:color w:val="000000" w:themeColor="text1"/>
          <w:sz w:val="28"/>
          <w:szCs w:val="28"/>
        </w:rPr>
      </w:pPr>
      <w:r w:rsidRPr="006564AE">
        <w:rPr>
          <w:rFonts w:ascii="Times New Roman" w:hAnsi="Times New Roman" w:cs="Times New Roman"/>
          <w:color w:val="000000" w:themeColor="text1"/>
          <w:sz w:val="28"/>
          <w:szCs w:val="28"/>
        </w:rPr>
        <w:t>Data, Accounting and Operationalization</w:t>
      </w:r>
      <w:r w:rsidR="00CA6224" w:rsidRPr="00CA6224">
        <w:rPr>
          <w:rFonts w:ascii="Times New Roman" w:hAnsi="Times New Roman" w:cs="Times New Roman"/>
          <w:color w:val="000000" w:themeColor="text1"/>
          <w:sz w:val="28"/>
          <w:szCs w:val="28"/>
        </w:rPr>
        <w:t>.</w:t>
      </w:r>
      <w:r w:rsidR="008E2317">
        <w:rPr>
          <w:rStyle w:val="FootnoteReference"/>
          <w:rFonts w:ascii="Times New Roman" w:hAnsi="Times New Roman" w:cs="Times New Roman"/>
          <w:color w:val="000000" w:themeColor="text1"/>
          <w:sz w:val="28"/>
          <w:szCs w:val="28"/>
        </w:rPr>
        <w:footnoteReference w:id="1"/>
      </w:r>
    </w:p>
    <w:p w:rsidR="006564AE" w:rsidRDefault="006564AE" w:rsidP="006564AE">
      <w:pPr>
        <w:pStyle w:val="ListParagraph"/>
        <w:spacing w:line="240" w:lineRule="auto"/>
        <w:ind w:left="1434"/>
        <w:rPr>
          <w:rFonts w:ascii="Times New Roman" w:hAnsi="Times New Roman" w:cs="Times New Roman"/>
          <w:color w:val="000000" w:themeColor="text1"/>
          <w:sz w:val="28"/>
          <w:szCs w:val="28"/>
        </w:rPr>
      </w:pPr>
    </w:p>
    <w:p w:rsidR="00500B3C" w:rsidRPr="00500B3C" w:rsidRDefault="00500B3C" w:rsidP="00500B3C">
      <w:pPr>
        <w:pStyle w:val="ListParagraph"/>
        <w:numPr>
          <w:ilvl w:val="0"/>
          <w:numId w:val="10"/>
        </w:numPr>
        <w:ind w:left="714" w:hanging="357"/>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We propose that the existing Implementation Working Group, chaired by Mark Barnett (DCLG), assumes this rol</w:t>
      </w:r>
      <w:r w:rsidR="000540A2">
        <w:rPr>
          <w:rFonts w:ascii="Times New Roman" w:hAnsi="Times New Roman" w:cs="Times New Roman"/>
          <w:color w:val="000000" w:themeColor="text1"/>
          <w:sz w:val="28"/>
          <w:szCs w:val="28"/>
        </w:rPr>
        <w:t>e</w:t>
      </w:r>
      <w:r>
        <w:rPr>
          <w:rFonts w:ascii="Times New Roman" w:hAnsi="Times New Roman" w:cs="Times New Roman"/>
          <w:color w:val="000000" w:themeColor="text1"/>
          <w:sz w:val="28"/>
          <w:szCs w:val="28"/>
        </w:rPr>
        <w:t>.</w:t>
      </w:r>
      <w:bookmarkStart w:id="0" w:name="_GoBack"/>
      <w:bookmarkEnd w:id="0"/>
    </w:p>
    <w:p w:rsidR="00B464FB" w:rsidRDefault="00B464FB" w:rsidP="008D3C63">
      <w:pPr>
        <w:pStyle w:val="ListParagraph"/>
        <w:numPr>
          <w:ilvl w:val="0"/>
          <w:numId w:val="10"/>
        </w:numPr>
        <w:ind w:left="714" w:hanging="357"/>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 provisional forward look of the papers it is recommended the </w:t>
      </w:r>
      <w:r w:rsidRPr="00D20B0A">
        <w:rPr>
          <w:rFonts w:ascii="Times New Roman" w:hAnsi="Times New Roman" w:cs="Times New Roman"/>
          <w:color w:val="000000" w:themeColor="text1"/>
          <w:sz w:val="28"/>
          <w:szCs w:val="28"/>
        </w:rPr>
        <w:t>Sub Group</w:t>
      </w:r>
      <w:r>
        <w:rPr>
          <w:rFonts w:ascii="Times New Roman" w:hAnsi="Times New Roman" w:cs="Times New Roman"/>
          <w:color w:val="000000" w:themeColor="text1"/>
          <w:sz w:val="28"/>
          <w:szCs w:val="28"/>
        </w:rPr>
        <w:t xml:space="preserve"> considers is attached at Annex C. This will be subject to change as work progresses.</w:t>
      </w:r>
    </w:p>
    <w:p w:rsidR="00CA6224" w:rsidRDefault="00CA6224" w:rsidP="008D3C63">
      <w:pPr>
        <w:pStyle w:val="ListParagraph"/>
        <w:numPr>
          <w:ilvl w:val="0"/>
          <w:numId w:val="10"/>
        </w:numPr>
        <w:ind w:left="714" w:hanging="357"/>
        <w:contextualSpacing w:val="0"/>
        <w:rPr>
          <w:rFonts w:ascii="Times New Roman" w:hAnsi="Times New Roman" w:cs="Times New Roman"/>
          <w:color w:val="000000" w:themeColor="text1"/>
          <w:sz w:val="28"/>
          <w:szCs w:val="28"/>
        </w:rPr>
      </w:pPr>
      <w:r w:rsidRPr="00CA6224">
        <w:rPr>
          <w:rFonts w:ascii="Times New Roman" w:hAnsi="Times New Roman" w:cs="Times New Roman"/>
          <w:color w:val="000000" w:themeColor="text1"/>
          <w:sz w:val="28"/>
          <w:szCs w:val="28"/>
        </w:rPr>
        <w:t>DCLG would of course welcome input into the forward plan, and it will be amended to reflect any additional papers that the Steering Group commissions or that the Technical Working Groups produce.</w:t>
      </w:r>
    </w:p>
    <w:p w:rsidR="00CF58D7" w:rsidRPr="008A1239" w:rsidRDefault="008D3C63" w:rsidP="00544F35">
      <w:pPr>
        <w:pStyle w:val="ListParagraph"/>
        <w:numPr>
          <w:ilvl w:val="0"/>
          <w:numId w:val="10"/>
        </w:numPr>
        <w:ind w:left="714" w:hanging="357"/>
        <w:contextualSpacing w:val="0"/>
        <w:rPr>
          <w:rFonts w:ascii="Times New Roman" w:hAnsi="Times New Roman" w:cs="Times New Roman"/>
          <w:color w:val="000000" w:themeColor="text1"/>
          <w:sz w:val="28"/>
          <w:szCs w:val="28"/>
        </w:rPr>
      </w:pPr>
      <w:r w:rsidRPr="00CA6224">
        <w:rPr>
          <w:rFonts w:ascii="Times New Roman" w:hAnsi="Times New Roman" w:cs="Times New Roman"/>
          <w:color w:val="000000" w:themeColor="text1"/>
          <w:sz w:val="28"/>
          <w:szCs w:val="28"/>
        </w:rPr>
        <w:t>Timetables are of course subject to change and will be influenced by other factors</w:t>
      </w:r>
      <w:r>
        <w:rPr>
          <w:rFonts w:ascii="Times New Roman" w:hAnsi="Times New Roman" w:cs="Times New Roman"/>
          <w:color w:val="000000" w:themeColor="text1"/>
          <w:sz w:val="28"/>
          <w:szCs w:val="28"/>
        </w:rPr>
        <w:t>. I</w:t>
      </w:r>
      <w:r w:rsidRPr="00D20B0A">
        <w:rPr>
          <w:rFonts w:ascii="Times New Roman" w:hAnsi="Times New Roman" w:cs="Times New Roman"/>
          <w:color w:val="000000" w:themeColor="text1"/>
          <w:sz w:val="28"/>
          <w:szCs w:val="28"/>
        </w:rPr>
        <w:t>t may be necessary for the Working Group to accept additional papers to the agenda if elements need revisiting.</w:t>
      </w:r>
    </w:p>
    <w:p w:rsidR="00D11D79" w:rsidRPr="00544F35" w:rsidRDefault="008E18D2" w:rsidP="00544F35">
      <w:pPr>
        <w:rPr>
          <w:rFonts w:ascii="Times New Roman" w:hAnsi="Times New Roman" w:cs="Times New Roman"/>
          <w:color w:val="000000" w:themeColor="text1"/>
          <w:sz w:val="28"/>
          <w:szCs w:val="28"/>
        </w:rPr>
      </w:pPr>
      <w:r>
        <w:rPr>
          <w:rFonts w:ascii="Times New Roman" w:hAnsi="Times New Roman" w:cs="Times New Roman"/>
          <w:b/>
          <w:color w:val="009999"/>
          <w:sz w:val="28"/>
          <w:szCs w:val="28"/>
        </w:rPr>
        <w:lastRenderedPageBreak/>
        <w:t xml:space="preserve">Annex A: </w:t>
      </w:r>
      <w:r w:rsidR="00703419" w:rsidRPr="008E18D2">
        <w:rPr>
          <w:rFonts w:ascii="Times New Roman" w:hAnsi="Times New Roman" w:cs="Times New Roman"/>
          <w:b/>
          <w:color w:val="009999"/>
          <w:sz w:val="28"/>
          <w:szCs w:val="28"/>
        </w:rPr>
        <w:t>Over View</w:t>
      </w:r>
      <w:r>
        <w:rPr>
          <w:rFonts w:ascii="Times New Roman" w:hAnsi="Times New Roman" w:cs="Times New Roman"/>
          <w:b/>
          <w:color w:val="009999"/>
          <w:sz w:val="28"/>
          <w:szCs w:val="28"/>
        </w:rPr>
        <w:t xml:space="preserve"> Tabled at the </w:t>
      </w:r>
      <w:r w:rsidRPr="008E18D2">
        <w:rPr>
          <w:rFonts w:ascii="Times New Roman" w:hAnsi="Times New Roman" w:cs="Times New Roman"/>
          <w:b/>
          <w:color w:val="009999"/>
          <w:sz w:val="28"/>
          <w:szCs w:val="28"/>
        </w:rPr>
        <w:t>Business Rates Retention Steering Group</w:t>
      </w:r>
      <w:r>
        <w:rPr>
          <w:rFonts w:ascii="Times New Roman" w:hAnsi="Times New Roman" w:cs="Times New Roman"/>
          <w:b/>
          <w:color w:val="009999"/>
          <w:sz w:val="28"/>
          <w:szCs w:val="28"/>
        </w:rPr>
        <w:t xml:space="preserve"> </w:t>
      </w:r>
    </w:p>
    <w:p w:rsidR="00544F35" w:rsidRPr="00544F35" w:rsidRDefault="00544F35" w:rsidP="00544F35">
      <w:pPr>
        <w:rPr>
          <w:rFonts w:ascii="Times New Roman" w:hAnsi="Times New Roman" w:cs="Times New Roman"/>
          <w:b/>
          <w:color w:val="009999"/>
          <w:sz w:val="48"/>
          <w:szCs w:val="48"/>
        </w:rPr>
      </w:pPr>
      <w:r w:rsidRPr="00544F35">
        <w:rPr>
          <w:rFonts w:ascii="Times New Roman" w:hAnsi="Times New Roman" w:cs="Times New Roman"/>
          <w:b/>
          <w:color w:val="009999"/>
          <w:sz w:val="48"/>
          <w:szCs w:val="48"/>
        </w:rPr>
        <w:t>BRR Working Groups Forward Work Plan</w:t>
      </w:r>
    </w:p>
    <w:p w:rsidR="00544F35" w:rsidRPr="00544F35" w:rsidRDefault="00544F35" w:rsidP="00544F35">
      <w:pPr>
        <w:rPr>
          <w:rFonts w:ascii="Times New Roman" w:hAnsi="Times New Roman" w:cs="Times New Roman"/>
          <w:sz w:val="28"/>
          <w:szCs w:val="28"/>
        </w:rPr>
      </w:pPr>
      <w:r w:rsidRPr="00544F35">
        <w:rPr>
          <w:rFonts w:ascii="Times New Roman" w:hAnsi="Times New Roman" w:cs="Times New Roman"/>
          <w:sz w:val="28"/>
          <w:szCs w:val="28"/>
        </w:rPr>
        <w:t xml:space="preserve">There has been a significant pause in the work of Steering and Working Groups and so there are some recalibrations to work through. We propose that the Business Rates Retention Working Groups be resumed and will issue further detail, including dates, following the first meeting of the Steering Group on 3 October. </w:t>
      </w:r>
    </w:p>
    <w:p w:rsidR="00544F35" w:rsidRPr="00544F35" w:rsidRDefault="00544F35" w:rsidP="00544F35">
      <w:pPr>
        <w:rPr>
          <w:rFonts w:ascii="Times New Roman" w:hAnsi="Times New Roman" w:cs="Times New Roman"/>
          <w:b/>
          <w:color w:val="009999"/>
          <w:sz w:val="28"/>
          <w:szCs w:val="28"/>
        </w:rPr>
      </w:pPr>
      <w:r w:rsidRPr="00544F35">
        <w:rPr>
          <w:rFonts w:ascii="Times New Roman" w:hAnsi="Times New Roman" w:cs="Times New Roman"/>
          <w:b/>
          <w:color w:val="009999"/>
          <w:sz w:val="28"/>
          <w:szCs w:val="28"/>
        </w:rPr>
        <w:t>New Responsibilities Working Group</w:t>
      </w:r>
    </w:p>
    <w:p w:rsidR="00544F35" w:rsidRPr="00544F35" w:rsidRDefault="00544F35" w:rsidP="00544F35">
      <w:pPr>
        <w:rPr>
          <w:rFonts w:ascii="Times New Roman" w:hAnsi="Times New Roman" w:cs="Times New Roman"/>
          <w:sz w:val="28"/>
          <w:szCs w:val="28"/>
        </w:rPr>
      </w:pPr>
      <w:r w:rsidRPr="00544F35">
        <w:rPr>
          <w:rFonts w:ascii="Times New Roman" w:hAnsi="Times New Roman" w:cs="Times New Roman"/>
          <w:sz w:val="28"/>
          <w:szCs w:val="28"/>
        </w:rPr>
        <w:t xml:space="preserve">A forward work plan for the New Responsibilities Working Group will be proposed following the 3 October Steering Group meeting. This working group will, once resumed, agree its forward look and commission the (sub) </w:t>
      </w:r>
      <w:r w:rsidRPr="00544F35">
        <w:rPr>
          <w:rFonts w:ascii="Times New Roman" w:hAnsi="Times New Roman" w:cs="Times New Roman"/>
          <w:b/>
          <w:color w:val="000000" w:themeColor="text1"/>
          <w:sz w:val="28"/>
          <w:szCs w:val="28"/>
        </w:rPr>
        <w:t>Accounting and Accountability Working Group</w:t>
      </w:r>
      <w:r w:rsidRPr="00544F35">
        <w:rPr>
          <w:rFonts w:ascii="Times New Roman" w:hAnsi="Times New Roman" w:cs="Times New Roman"/>
          <w:color w:val="000000" w:themeColor="text1"/>
          <w:sz w:val="28"/>
          <w:szCs w:val="28"/>
        </w:rPr>
        <w:t>.</w:t>
      </w:r>
    </w:p>
    <w:p w:rsidR="00544F35" w:rsidRPr="00544F35" w:rsidRDefault="00544F35" w:rsidP="00544F35">
      <w:pPr>
        <w:rPr>
          <w:rFonts w:ascii="Times New Roman" w:hAnsi="Times New Roman" w:cs="Times New Roman"/>
          <w:b/>
          <w:color w:val="009999"/>
          <w:sz w:val="28"/>
          <w:szCs w:val="28"/>
        </w:rPr>
      </w:pPr>
      <w:r w:rsidRPr="00544F35">
        <w:rPr>
          <w:rFonts w:ascii="Times New Roman" w:hAnsi="Times New Roman" w:cs="Times New Roman"/>
          <w:b/>
          <w:color w:val="009999"/>
          <w:sz w:val="28"/>
          <w:szCs w:val="28"/>
        </w:rPr>
        <w:t>Systems Design Working Group</w:t>
      </w:r>
    </w:p>
    <w:p w:rsidR="00544F35" w:rsidRPr="00544F35" w:rsidRDefault="00544F35" w:rsidP="00544F35">
      <w:pPr>
        <w:rPr>
          <w:rFonts w:ascii="Times New Roman" w:hAnsi="Times New Roman" w:cs="Times New Roman"/>
          <w:sz w:val="28"/>
          <w:szCs w:val="28"/>
        </w:rPr>
      </w:pPr>
      <w:r w:rsidRPr="00544F35">
        <w:rPr>
          <w:rFonts w:ascii="Times New Roman" w:hAnsi="Times New Roman" w:cs="Times New Roman"/>
          <w:sz w:val="28"/>
          <w:szCs w:val="28"/>
        </w:rPr>
        <w:t>We propose that the Working Group be commissioned to consider the following elements of the Local Government Finance system in the following order:</w:t>
      </w:r>
    </w:p>
    <w:p w:rsidR="00544F35" w:rsidRPr="00544F35" w:rsidRDefault="00544F35" w:rsidP="00544F35">
      <w:pPr>
        <w:numPr>
          <w:ilvl w:val="0"/>
          <w:numId w:val="2"/>
        </w:numPr>
        <w:spacing w:line="240" w:lineRule="auto"/>
        <w:ind w:left="1080"/>
        <w:rPr>
          <w:rFonts w:ascii="Times New Roman" w:hAnsi="Times New Roman" w:cs="Times New Roman"/>
          <w:sz w:val="28"/>
          <w:szCs w:val="28"/>
        </w:rPr>
      </w:pPr>
      <w:r w:rsidRPr="00544F35">
        <w:rPr>
          <w:rFonts w:ascii="Times New Roman" w:hAnsi="Times New Roman" w:cs="Times New Roman"/>
          <w:sz w:val="28"/>
          <w:szCs w:val="28"/>
        </w:rPr>
        <w:t xml:space="preserve">Options for reforms and greater business rates retention, including the legal position, timings and scope and agree forward look including for the (sub) </w:t>
      </w:r>
      <w:r w:rsidRPr="00544F35">
        <w:rPr>
          <w:rFonts w:ascii="Times New Roman" w:hAnsi="Times New Roman" w:cs="Times New Roman"/>
          <w:b/>
          <w:color w:val="000000" w:themeColor="text1"/>
          <w:sz w:val="28"/>
          <w:szCs w:val="28"/>
        </w:rPr>
        <w:t>Accounting and Accountability Working Group</w:t>
      </w:r>
      <w:r w:rsidRPr="00544F35">
        <w:rPr>
          <w:rFonts w:ascii="Times New Roman" w:hAnsi="Times New Roman" w:cs="Times New Roman"/>
          <w:sz w:val="28"/>
          <w:szCs w:val="28"/>
        </w:rPr>
        <w:t>;</w:t>
      </w:r>
    </w:p>
    <w:p w:rsidR="00544F35" w:rsidRPr="00544F35" w:rsidRDefault="00544F35" w:rsidP="00544F35">
      <w:pPr>
        <w:numPr>
          <w:ilvl w:val="0"/>
          <w:numId w:val="2"/>
        </w:numPr>
        <w:spacing w:line="240" w:lineRule="auto"/>
        <w:ind w:left="1077" w:hanging="357"/>
        <w:rPr>
          <w:rFonts w:ascii="Times New Roman" w:hAnsi="Times New Roman" w:cs="Times New Roman"/>
          <w:sz w:val="28"/>
          <w:szCs w:val="28"/>
        </w:rPr>
      </w:pPr>
      <w:r w:rsidRPr="00544F35">
        <w:rPr>
          <w:rFonts w:ascii="Times New Roman" w:hAnsi="Times New Roman" w:cs="Times New Roman"/>
          <w:sz w:val="28"/>
          <w:szCs w:val="28"/>
        </w:rPr>
        <w:t>The safety net, tier splits, risk and gearing;</w:t>
      </w:r>
    </w:p>
    <w:p w:rsidR="00544F35" w:rsidRPr="00544F35" w:rsidRDefault="00544F35" w:rsidP="00544F35">
      <w:pPr>
        <w:numPr>
          <w:ilvl w:val="0"/>
          <w:numId w:val="2"/>
        </w:numPr>
        <w:spacing w:line="240" w:lineRule="auto"/>
        <w:ind w:left="1077" w:hanging="357"/>
        <w:rPr>
          <w:rFonts w:ascii="Times New Roman" w:hAnsi="Times New Roman" w:cs="Times New Roman"/>
          <w:sz w:val="28"/>
          <w:szCs w:val="28"/>
        </w:rPr>
      </w:pPr>
      <w:r w:rsidRPr="00544F35">
        <w:rPr>
          <w:rFonts w:ascii="Times New Roman" w:hAnsi="Times New Roman" w:cs="Times New Roman"/>
          <w:sz w:val="28"/>
          <w:szCs w:val="28"/>
        </w:rPr>
        <w:t>Mitigating appeals losses;</w:t>
      </w:r>
    </w:p>
    <w:p w:rsidR="00544F35" w:rsidRPr="00544F35" w:rsidRDefault="00544F35" w:rsidP="00544F35">
      <w:pPr>
        <w:numPr>
          <w:ilvl w:val="0"/>
          <w:numId w:val="2"/>
        </w:numPr>
        <w:spacing w:line="240" w:lineRule="auto"/>
        <w:ind w:left="1077" w:hanging="357"/>
        <w:rPr>
          <w:rFonts w:ascii="Times New Roman" w:hAnsi="Times New Roman" w:cs="Times New Roman"/>
          <w:sz w:val="28"/>
          <w:szCs w:val="28"/>
        </w:rPr>
      </w:pPr>
      <w:r w:rsidRPr="00544F35">
        <w:rPr>
          <w:rFonts w:ascii="Times New Roman" w:hAnsi="Times New Roman" w:cs="Times New Roman"/>
          <w:sz w:val="28"/>
          <w:szCs w:val="28"/>
        </w:rPr>
        <w:t>Resets, set-up and measuring growth;</w:t>
      </w:r>
    </w:p>
    <w:p w:rsidR="00544F35" w:rsidRPr="00544F35" w:rsidRDefault="00544F35" w:rsidP="00544F35">
      <w:pPr>
        <w:numPr>
          <w:ilvl w:val="0"/>
          <w:numId w:val="2"/>
        </w:numPr>
        <w:spacing w:line="240" w:lineRule="auto"/>
        <w:ind w:left="1077" w:hanging="357"/>
        <w:rPr>
          <w:rFonts w:ascii="Times New Roman" w:hAnsi="Times New Roman" w:cs="Times New Roman"/>
          <w:sz w:val="28"/>
          <w:szCs w:val="28"/>
        </w:rPr>
      </w:pPr>
      <w:r w:rsidRPr="00544F35">
        <w:rPr>
          <w:rFonts w:ascii="Times New Roman" w:hAnsi="Times New Roman" w:cs="Times New Roman"/>
          <w:sz w:val="28"/>
          <w:szCs w:val="28"/>
        </w:rPr>
        <w:t>Transitional arrangements;</w:t>
      </w:r>
    </w:p>
    <w:p w:rsidR="00544F35" w:rsidRPr="00544F35" w:rsidRDefault="00544F35" w:rsidP="00544F35">
      <w:pPr>
        <w:numPr>
          <w:ilvl w:val="0"/>
          <w:numId w:val="2"/>
        </w:numPr>
        <w:spacing w:line="240" w:lineRule="auto"/>
        <w:ind w:left="1077" w:hanging="357"/>
        <w:rPr>
          <w:rFonts w:ascii="Times New Roman" w:hAnsi="Times New Roman" w:cs="Times New Roman"/>
          <w:sz w:val="28"/>
          <w:szCs w:val="28"/>
        </w:rPr>
      </w:pPr>
      <w:r w:rsidRPr="00544F35">
        <w:rPr>
          <w:rFonts w:ascii="Times New Roman" w:hAnsi="Times New Roman" w:cs="Times New Roman"/>
          <w:sz w:val="28"/>
          <w:szCs w:val="28"/>
        </w:rPr>
        <w:t>Reliefs, appeals and the Central List;</w:t>
      </w:r>
    </w:p>
    <w:p w:rsidR="00544F35" w:rsidRPr="00544F35" w:rsidRDefault="00544F35" w:rsidP="00544F35">
      <w:pPr>
        <w:numPr>
          <w:ilvl w:val="0"/>
          <w:numId w:val="2"/>
        </w:numPr>
        <w:spacing w:line="240" w:lineRule="auto"/>
        <w:ind w:left="1077" w:hanging="357"/>
        <w:rPr>
          <w:rFonts w:ascii="Times New Roman" w:hAnsi="Times New Roman" w:cs="Times New Roman"/>
          <w:sz w:val="28"/>
          <w:szCs w:val="28"/>
        </w:rPr>
      </w:pPr>
      <w:r w:rsidRPr="00544F35">
        <w:rPr>
          <w:rFonts w:ascii="Times New Roman" w:hAnsi="Times New Roman" w:cs="Times New Roman"/>
          <w:sz w:val="28"/>
          <w:szCs w:val="28"/>
        </w:rPr>
        <w:t>Pooling;</w:t>
      </w:r>
    </w:p>
    <w:p w:rsidR="00544F35" w:rsidRPr="00544F35" w:rsidRDefault="00544F35" w:rsidP="00544F35">
      <w:pPr>
        <w:numPr>
          <w:ilvl w:val="0"/>
          <w:numId w:val="2"/>
        </w:numPr>
        <w:spacing w:line="240" w:lineRule="auto"/>
        <w:ind w:left="1077" w:hanging="357"/>
        <w:rPr>
          <w:rFonts w:ascii="Times New Roman" w:hAnsi="Times New Roman" w:cs="Times New Roman"/>
          <w:sz w:val="28"/>
          <w:szCs w:val="28"/>
        </w:rPr>
      </w:pPr>
      <w:r w:rsidRPr="00544F35">
        <w:rPr>
          <w:rFonts w:ascii="Times New Roman" w:hAnsi="Times New Roman" w:cs="Times New Roman"/>
          <w:sz w:val="28"/>
          <w:szCs w:val="28"/>
        </w:rPr>
        <w:t>Data and accounting.</w:t>
      </w:r>
    </w:p>
    <w:p w:rsidR="00544F35" w:rsidRPr="00544F35" w:rsidRDefault="00544F35" w:rsidP="00544F35">
      <w:pPr>
        <w:spacing w:line="240" w:lineRule="auto"/>
        <w:rPr>
          <w:rFonts w:ascii="Times New Roman" w:hAnsi="Times New Roman" w:cs="Times New Roman"/>
          <w:sz w:val="28"/>
          <w:szCs w:val="28"/>
        </w:rPr>
        <w:sectPr w:rsidR="00544F35" w:rsidRPr="00544F35" w:rsidSect="00D11D7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pPr>
    </w:p>
    <w:p w:rsidR="00D11D79" w:rsidRPr="00D11D79" w:rsidRDefault="008E18D2" w:rsidP="00D11D79">
      <w:pPr>
        <w:spacing w:line="240" w:lineRule="auto"/>
        <w:rPr>
          <w:rFonts w:ascii="Times New Roman" w:hAnsi="Times New Roman" w:cs="Times New Roman"/>
          <w:sz w:val="28"/>
          <w:szCs w:val="28"/>
        </w:rPr>
      </w:pPr>
      <w:r>
        <w:rPr>
          <w:rFonts w:ascii="Times New Roman" w:hAnsi="Times New Roman" w:cs="Times New Roman"/>
          <w:b/>
          <w:color w:val="009999"/>
          <w:sz w:val="28"/>
          <w:szCs w:val="28"/>
        </w:rPr>
        <w:lastRenderedPageBreak/>
        <w:t xml:space="preserve">Annex B: </w:t>
      </w:r>
      <w:r w:rsidR="0083337A">
        <w:rPr>
          <w:rFonts w:ascii="Times New Roman" w:hAnsi="Times New Roman" w:cs="Times New Roman"/>
          <w:b/>
          <w:color w:val="009999"/>
          <w:sz w:val="28"/>
          <w:szCs w:val="28"/>
        </w:rPr>
        <w:t>Proposed Papers</w:t>
      </w:r>
      <w:r w:rsidR="00CC26BF">
        <w:rPr>
          <w:rFonts w:ascii="Times New Roman" w:hAnsi="Times New Roman" w:cs="Times New Roman"/>
          <w:b/>
          <w:color w:val="009999"/>
          <w:sz w:val="28"/>
          <w:szCs w:val="28"/>
        </w:rPr>
        <w:t xml:space="preserve"> for the Systems Design Working Group</w:t>
      </w:r>
    </w:p>
    <w:tbl>
      <w:tblPr>
        <w:tblStyle w:val="TableGrid"/>
        <w:tblW w:w="0" w:type="auto"/>
        <w:tblLook w:val="04A0" w:firstRow="1" w:lastRow="0" w:firstColumn="1" w:lastColumn="0" w:noHBand="0" w:noVBand="1"/>
      </w:tblPr>
      <w:tblGrid>
        <w:gridCol w:w="316"/>
        <w:gridCol w:w="5037"/>
        <w:gridCol w:w="1843"/>
        <w:gridCol w:w="6978"/>
      </w:tblGrid>
      <w:tr w:rsidR="005834D3" w:rsidTr="005834D3">
        <w:tc>
          <w:tcPr>
            <w:tcW w:w="316" w:type="dxa"/>
          </w:tcPr>
          <w:p w:rsidR="005834D3" w:rsidRPr="00D11D79" w:rsidRDefault="005834D3" w:rsidP="00B35920">
            <w:pPr>
              <w:rPr>
                <w:rFonts w:ascii="Times New Roman" w:hAnsi="Times New Roman" w:cs="Times New Roman"/>
                <w:b/>
                <w:sz w:val="20"/>
                <w:szCs w:val="20"/>
              </w:rPr>
            </w:pPr>
          </w:p>
        </w:tc>
        <w:tc>
          <w:tcPr>
            <w:tcW w:w="5037" w:type="dxa"/>
          </w:tcPr>
          <w:p w:rsidR="005834D3" w:rsidRPr="00D11D79" w:rsidRDefault="005834D3" w:rsidP="00B35920">
            <w:pPr>
              <w:rPr>
                <w:rFonts w:ascii="Times New Roman" w:hAnsi="Times New Roman" w:cs="Times New Roman"/>
                <w:b/>
                <w:sz w:val="20"/>
                <w:szCs w:val="20"/>
              </w:rPr>
            </w:pPr>
            <w:r w:rsidRPr="00D11D79">
              <w:rPr>
                <w:rFonts w:ascii="Times New Roman" w:hAnsi="Times New Roman" w:cs="Times New Roman"/>
                <w:b/>
                <w:sz w:val="20"/>
                <w:szCs w:val="20"/>
              </w:rPr>
              <w:t>Paper</w:t>
            </w:r>
          </w:p>
        </w:tc>
        <w:tc>
          <w:tcPr>
            <w:tcW w:w="1843" w:type="dxa"/>
          </w:tcPr>
          <w:p w:rsidR="005834D3" w:rsidRPr="00D11D79" w:rsidRDefault="005834D3" w:rsidP="00B35920">
            <w:pPr>
              <w:rPr>
                <w:rFonts w:ascii="Times New Roman" w:hAnsi="Times New Roman" w:cs="Times New Roman"/>
                <w:b/>
                <w:sz w:val="20"/>
                <w:szCs w:val="20"/>
              </w:rPr>
            </w:pPr>
            <w:r w:rsidRPr="00D11D79">
              <w:rPr>
                <w:rFonts w:ascii="Times New Roman" w:hAnsi="Times New Roman" w:cs="Times New Roman"/>
                <w:b/>
                <w:sz w:val="20"/>
                <w:szCs w:val="20"/>
              </w:rPr>
              <w:t>Date</w:t>
            </w:r>
          </w:p>
        </w:tc>
        <w:tc>
          <w:tcPr>
            <w:tcW w:w="6978" w:type="dxa"/>
          </w:tcPr>
          <w:p w:rsidR="005834D3" w:rsidRPr="00D11D79" w:rsidRDefault="005834D3" w:rsidP="00B35920">
            <w:pPr>
              <w:rPr>
                <w:rFonts w:ascii="Times New Roman" w:hAnsi="Times New Roman" w:cs="Times New Roman"/>
                <w:b/>
                <w:sz w:val="20"/>
                <w:szCs w:val="20"/>
              </w:rPr>
            </w:pPr>
            <w:r w:rsidRPr="00D11D79">
              <w:rPr>
                <w:rFonts w:ascii="Times New Roman" w:hAnsi="Times New Roman" w:cs="Times New Roman"/>
                <w:b/>
                <w:sz w:val="20"/>
                <w:szCs w:val="20"/>
              </w:rPr>
              <w:t>Considerations</w:t>
            </w:r>
          </w:p>
        </w:tc>
      </w:tr>
      <w:tr w:rsidR="005834D3" w:rsidTr="005834D3">
        <w:tc>
          <w:tcPr>
            <w:tcW w:w="316" w:type="dxa"/>
          </w:tcPr>
          <w:p w:rsidR="005834D3" w:rsidRDefault="005834D3" w:rsidP="00B35920">
            <w:pPr>
              <w:rPr>
                <w:rFonts w:ascii="Times New Roman" w:hAnsi="Times New Roman" w:cs="Times New Roman"/>
                <w:sz w:val="20"/>
                <w:szCs w:val="20"/>
              </w:rPr>
            </w:pPr>
            <w:r>
              <w:rPr>
                <w:rFonts w:ascii="Times New Roman" w:hAnsi="Times New Roman" w:cs="Times New Roman"/>
                <w:sz w:val="20"/>
                <w:szCs w:val="20"/>
              </w:rPr>
              <w:t>1</w:t>
            </w:r>
          </w:p>
        </w:tc>
        <w:tc>
          <w:tcPr>
            <w:tcW w:w="5037" w:type="dxa"/>
          </w:tcPr>
          <w:p w:rsidR="005834D3" w:rsidRDefault="005834D3" w:rsidP="00B35920">
            <w:pPr>
              <w:rPr>
                <w:rFonts w:ascii="Times New Roman" w:hAnsi="Times New Roman" w:cs="Times New Roman"/>
                <w:sz w:val="20"/>
                <w:szCs w:val="20"/>
              </w:rPr>
            </w:pPr>
            <w:r>
              <w:rPr>
                <w:rFonts w:ascii="Times New Roman" w:hAnsi="Times New Roman" w:cs="Times New Roman"/>
                <w:sz w:val="20"/>
                <w:szCs w:val="20"/>
              </w:rPr>
              <w:t>Forward Look and Reliefs</w:t>
            </w:r>
          </w:p>
        </w:tc>
        <w:tc>
          <w:tcPr>
            <w:tcW w:w="1843" w:type="dxa"/>
          </w:tcPr>
          <w:p w:rsidR="005834D3" w:rsidRDefault="005834D3" w:rsidP="00B35920">
            <w:pPr>
              <w:rPr>
                <w:rFonts w:ascii="Times New Roman" w:hAnsi="Times New Roman" w:cs="Times New Roman"/>
                <w:sz w:val="20"/>
                <w:szCs w:val="20"/>
              </w:rPr>
            </w:pPr>
            <w:r>
              <w:rPr>
                <w:rFonts w:ascii="Times New Roman" w:hAnsi="Times New Roman" w:cs="Times New Roman"/>
                <w:sz w:val="20"/>
                <w:szCs w:val="20"/>
              </w:rPr>
              <w:t>15 November 2017</w:t>
            </w:r>
          </w:p>
        </w:tc>
        <w:tc>
          <w:tcPr>
            <w:tcW w:w="6978" w:type="dxa"/>
          </w:tcPr>
          <w:p w:rsidR="005834D3" w:rsidRDefault="005834D3" w:rsidP="00B35920">
            <w:pPr>
              <w:rPr>
                <w:rFonts w:ascii="Times New Roman" w:hAnsi="Times New Roman" w:cs="Times New Roman"/>
                <w:sz w:val="20"/>
                <w:szCs w:val="20"/>
              </w:rPr>
            </w:pPr>
            <w:r>
              <w:rPr>
                <w:rFonts w:ascii="Times New Roman" w:hAnsi="Times New Roman" w:cs="Times New Roman"/>
                <w:sz w:val="20"/>
                <w:szCs w:val="20"/>
              </w:rPr>
              <w:t>The forward look suggests a series of papers to be presented for the group’s approval. A paper on Mandatory Reliefs will be presented by Birmingham and considers the following:</w:t>
            </w:r>
          </w:p>
          <w:p w:rsidR="005834D3" w:rsidRDefault="005834D3" w:rsidP="00B35920">
            <w:pPr>
              <w:rPr>
                <w:rFonts w:ascii="Times New Roman" w:hAnsi="Times New Roman" w:cs="Times New Roman"/>
                <w:sz w:val="20"/>
                <w:szCs w:val="20"/>
              </w:rPr>
            </w:pPr>
          </w:p>
          <w:p w:rsidR="005834D3" w:rsidRPr="00484D24" w:rsidRDefault="00FF138E" w:rsidP="00484D24">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How should </w:t>
            </w:r>
            <w:r w:rsidR="005834D3" w:rsidRPr="00484D24">
              <w:rPr>
                <w:rFonts w:ascii="Times New Roman" w:hAnsi="Times New Roman" w:cs="Times New Roman"/>
                <w:sz w:val="20"/>
                <w:szCs w:val="20"/>
              </w:rPr>
              <w:t>the costs of funding mandatory reliefs be met in general?</w:t>
            </w:r>
          </w:p>
          <w:p w:rsidR="005834D3" w:rsidRPr="00484D24" w:rsidRDefault="005834D3" w:rsidP="00484D24">
            <w:pPr>
              <w:pStyle w:val="ListParagraph"/>
              <w:numPr>
                <w:ilvl w:val="0"/>
                <w:numId w:val="4"/>
              </w:numPr>
              <w:rPr>
                <w:rFonts w:ascii="Times New Roman" w:hAnsi="Times New Roman" w:cs="Times New Roman"/>
                <w:sz w:val="20"/>
                <w:szCs w:val="20"/>
              </w:rPr>
            </w:pPr>
            <w:r w:rsidRPr="00484D24">
              <w:rPr>
                <w:rFonts w:ascii="Times New Roman" w:hAnsi="Times New Roman" w:cs="Times New Roman"/>
                <w:sz w:val="20"/>
                <w:szCs w:val="20"/>
              </w:rPr>
              <w:t>How should the costs of specific Government policy be met?</w:t>
            </w:r>
          </w:p>
          <w:p w:rsidR="005834D3" w:rsidRPr="00484D24" w:rsidRDefault="005834D3" w:rsidP="00484D24">
            <w:pPr>
              <w:pStyle w:val="ListParagraph"/>
              <w:numPr>
                <w:ilvl w:val="0"/>
                <w:numId w:val="4"/>
              </w:numPr>
              <w:rPr>
                <w:rFonts w:ascii="Times New Roman" w:hAnsi="Times New Roman" w:cs="Times New Roman"/>
                <w:sz w:val="20"/>
                <w:szCs w:val="20"/>
              </w:rPr>
            </w:pPr>
            <w:r w:rsidRPr="00484D24">
              <w:rPr>
                <w:rFonts w:ascii="Times New Roman" w:hAnsi="Times New Roman" w:cs="Times New Roman"/>
                <w:sz w:val="20"/>
                <w:szCs w:val="20"/>
              </w:rPr>
              <w:t>What should happen when a relief is granted that transfers funding from one public sector body to another?</w:t>
            </w:r>
          </w:p>
          <w:p w:rsidR="005834D3" w:rsidRDefault="005834D3" w:rsidP="00484D24">
            <w:pPr>
              <w:pStyle w:val="ListParagraph"/>
              <w:numPr>
                <w:ilvl w:val="0"/>
                <w:numId w:val="4"/>
              </w:numPr>
              <w:rPr>
                <w:rFonts w:ascii="Times New Roman" w:hAnsi="Times New Roman" w:cs="Times New Roman"/>
                <w:sz w:val="20"/>
                <w:szCs w:val="20"/>
              </w:rPr>
            </w:pPr>
            <w:r w:rsidRPr="00484D24">
              <w:rPr>
                <w:rFonts w:ascii="Times New Roman" w:hAnsi="Times New Roman" w:cs="Times New Roman"/>
                <w:sz w:val="20"/>
                <w:szCs w:val="20"/>
              </w:rPr>
              <w:t>Should there be a net cost to the public sector of rating agents?</w:t>
            </w:r>
          </w:p>
          <w:p w:rsidR="005834D3" w:rsidRPr="00484D24" w:rsidRDefault="005834D3" w:rsidP="00484D24">
            <w:pPr>
              <w:pStyle w:val="ListParagraph"/>
              <w:rPr>
                <w:rFonts w:ascii="Times New Roman" w:hAnsi="Times New Roman" w:cs="Times New Roman"/>
                <w:sz w:val="20"/>
                <w:szCs w:val="20"/>
              </w:rPr>
            </w:pPr>
          </w:p>
        </w:tc>
      </w:tr>
      <w:tr w:rsidR="005834D3" w:rsidTr="005834D3">
        <w:tc>
          <w:tcPr>
            <w:tcW w:w="316" w:type="dxa"/>
          </w:tcPr>
          <w:p w:rsidR="005834D3" w:rsidRDefault="005834D3" w:rsidP="00B35920">
            <w:pPr>
              <w:rPr>
                <w:rFonts w:ascii="Times New Roman" w:hAnsi="Times New Roman" w:cs="Times New Roman"/>
                <w:sz w:val="20"/>
                <w:szCs w:val="20"/>
              </w:rPr>
            </w:pPr>
            <w:r>
              <w:rPr>
                <w:rFonts w:ascii="Times New Roman" w:hAnsi="Times New Roman" w:cs="Times New Roman"/>
                <w:sz w:val="20"/>
                <w:szCs w:val="20"/>
              </w:rPr>
              <w:t>2</w:t>
            </w:r>
          </w:p>
        </w:tc>
        <w:tc>
          <w:tcPr>
            <w:tcW w:w="5037" w:type="dxa"/>
          </w:tcPr>
          <w:p w:rsidR="005834D3" w:rsidRDefault="005834D3" w:rsidP="00B35920">
            <w:pPr>
              <w:rPr>
                <w:rFonts w:ascii="Times New Roman" w:hAnsi="Times New Roman" w:cs="Times New Roman"/>
                <w:sz w:val="20"/>
                <w:szCs w:val="20"/>
              </w:rPr>
            </w:pPr>
            <w:r>
              <w:rPr>
                <w:rFonts w:ascii="Times New Roman" w:hAnsi="Times New Roman" w:cs="Times New Roman"/>
                <w:sz w:val="20"/>
                <w:szCs w:val="20"/>
              </w:rPr>
              <w:t xml:space="preserve">The </w:t>
            </w:r>
            <w:r w:rsidRPr="00D11D79">
              <w:rPr>
                <w:rFonts w:ascii="Times New Roman" w:hAnsi="Times New Roman" w:cs="Times New Roman"/>
                <w:sz w:val="20"/>
                <w:szCs w:val="20"/>
              </w:rPr>
              <w:t>Central List</w:t>
            </w:r>
          </w:p>
        </w:tc>
        <w:tc>
          <w:tcPr>
            <w:tcW w:w="1843" w:type="dxa"/>
          </w:tcPr>
          <w:p w:rsidR="005834D3" w:rsidRDefault="00087672" w:rsidP="00B35920">
            <w:pPr>
              <w:rPr>
                <w:rFonts w:ascii="Times New Roman" w:hAnsi="Times New Roman" w:cs="Times New Roman"/>
                <w:sz w:val="20"/>
                <w:szCs w:val="20"/>
              </w:rPr>
            </w:pPr>
            <w:r>
              <w:rPr>
                <w:rFonts w:ascii="Times New Roman" w:hAnsi="Times New Roman" w:cs="Times New Roman"/>
                <w:sz w:val="20"/>
                <w:szCs w:val="20"/>
              </w:rPr>
              <w:t>February</w:t>
            </w:r>
            <w:r w:rsidR="005834D3">
              <w:rPr>
                <w:rFonts w:ascii="Times New Roman" w:hAnsi="Times New Roman" w:cs="Times New Roman"/>
                <w:sz w:val="20"/>
                <w:szCs w:val="20"/>
              </w:rPr>
              <w:t xml:space="preserve"> 2018</w:t>
            </w:r>
          </w:p>
        </w:tc>
        <w:tc>
          <w:tcPr>
            <w:tcW w:w="6978" w:type="dxa"/>
          </w:tcPr>
          <w:p w:rsidR="00203DE4" w:rsidRDefault="005834D3" w:rsidP="005834D3">
            <w:pPr>
              <w:rPr>
                <w:rFonts w:ascii="Times New Roman" w:hAnsi="Times New Roman" w:cs="Times New Roman"/>
                <w:sz w:val="20"/>
                <w:szCs w:val="20"/>
              </w:rPr>
            </w:pPr>
            <w:r>
              <w:rPr>
                <w:rFonts w:ascii="Times New Roman" w:hAnsi="Times New Roman" w:cs="Times New Roman"/>
                <w:sz w:val="20"/>
                <w:szCs w:val="20"/>
              </w:rPr>
              <w:t>This paper, presented by DCLG, will consid</w:t>
            </w:r>
            <w:r w:rsidR="00203DE4">
              <w:rPr>
                <w:rFonts w:ascii="Times New Roman" w:hAnsi="Times New Roman" w:cs="Times New Roman"/>
                <w:sz w:val="20"/>
                <w:szCs w:val="20"/>
              </w:rPr>
              <w:t>er:</w:t>
            </w:r>
          </w:p>
          <w:p w:rsidR="00203DE4" w:rsidRDefault="00203DE4" w:rsidP="005834D3">
            <w:pPr>
              <w:rPr>
                <w:rFonts w:ascii="Times New Roman" w:hAnsi="Times New Roman" w:cs="Times New Roman"/>
                <w:sz w:val="20"/>
                <w:szCs w:val="20"/>
              </w:rPr>
            </w:pPr>
          </w:p>
          <w:p w:rsidR="00203DE4" w:rsidRPr="00203DE4" w:rsidRDefault="00203DE4" w:rsidP="00203DE4">
            <w:pPr>
              <w:pStyle w:val="ListParagraph"/>
              <w:numPr>
                <w:ilvl w:val="0"/>
                <w:numId w:val="6"/>
              </w:numPr>
              <w:rPr>
                <w:rFonts w:ascii="Times New Roman" w:hAnsi="Times New Roman" w:cs="Times New Roman"/>
                <w:sz w:val="20"/>
                <w:szCs w:val="20"/>
              </w:rPr>
            </w:pPr>
            <w:r w:rsidRPr="00203DE4">
              <w:rPr>
                <w:rFonts w:ascii="Times New Roman" w:hAnsi="Times New Roman" w:cs="Times New Roman"/>
                <w:sz w:val="20"/>
                <w:szCs w:val="20"/>
              </w:rPr>
              <w:t>W</w:t>
            </w:r>
            <w:r w:rsidR="005834D3" w:rsidRPr="00203DE4">
              <w:rPr>
                <w:rFonts w:ascii="Times New Roman" w:hAnsi="Times New Roman" w:cs="Times New Roman"/>
                <w:sz w:val="20"/>
                <w:szCs w:val="20"/>
              </w:rPr>
              <w:t xml:space="preserve">hich list (Local or Central) </w:t>
            </w:r>
            <w:r w:rsidRPr="00203DE4">
              <w:rPr>
                <w:rFonts w:ascii="Times New Roman" w:hAnsi="Times New Roman" w:cs="Times New Roman"/>
                <w:sz w:val="20"/>
                <w:szCs w:val="20"/>
              </w:rPr>
              <w:t xml:space="preserve">types of hereditament are best suited to and what the criteria should be; </w:t>
            </w:r>
          </w:p>
          <w:p w:rsidR="00203DE4" w:rsidRPr="00203DE4" w:rsidRDefault="00203DE4" w:rsidP="00203DE4">
            <w:pPr>
              <w:pStyle w:val="ListParagraph"/>
              <w:numPr>
                <w:ilvl w:val="0"/>
                <w:numId w:val="6"/>
              </w:numPr>
              <w:rPr>
                <w:rFonts w:ascii="Times New Roman" w:hAnsi="Times New Roman" w:cs="Times New Roman"/>
                <w:sz w:val="20"/>
                <w:szCs w:val="20"/>
              </w:rPr>
            </w:pPr>
            <w:r w:rsidRPr="00203DE4">
              <w:rPr>
                <w:rFonts w:ascii="Times New Roman" w:hAnsi="Times New Roman" w:cs="Times New Roman"/>
                <w:sz w:val="20"/>
                <w:szCs w:val="20"/>
              </w:rPr>
              <w:t xml:space="preserve">What will happen when a hereditament changes list; and </w:t>
            </w:r>
          </w:p>
          <w:p w:rsidR="005834D3" w:rsidRDefault="00203DE4" w:rsidP="00203DE4">
            <w:pPr>
              <w:pStyle w:val="ListParagraph"/>
              <w:numPr>
                <w:ilvl w:val="0"/>
                <w:numId w:val="6"/>
              </w:numPr>
              <w:rPr>
                <w:rFonts w:ascii="Times New Roman" w:hAnsi="Times New Roman" w:cs="Times New Roman"/>
                <w:sz w:val="20"/>
                <w:szCs w:val="20"/>
              </w:rPr>
            </w:pPr>
            <w:r w:rsidRPr="00203DE4">
              <w:rPr>
                <w:rFonts w:ascii="Times New Roman" w:hAnsi="Times New Roman" w:cs="Times New Roman"/>
                <w:sz w:val="20"/>
                <w:szCs w:val="20"/>
              </w:rPr>
              <w:t>What the overall impact on individual authorities and the system as a whole would be.</w:t>
            </w:r>
          </w:p>
          <w:p w:rsidR="00203DE4" w:rsidRPr="00203DE4" w:rsidRDefault="00203DE4" w:rsidP="00203DE4">
            <w:pPr>
              <w:rPr>
                <w:rFonts w:ascii="Times New Roman" w:hAnsi="Times New Roman" w:cs="Times New Roman"/>
                <w:sz w:val="20"/>
                <w:szCs w:val="20"/>
              </w:rPr>
            </w:pPr>
          </w:p>
        </w:tc>
      </w:tr>
      <w:tr w:rsidR="005834D3" w:rsidTr="005834D3">
        <w:tc>
          <w:tcPr>
            <w:tcW w:w="316" w:type="dxa"/>
          </w:tcPr>
          <w:p w:rsidR="005834D3" w:rsidRPr="00D11D79" w:rsidRDefault="005834D3" w:rsidP="00B35920">
            <w:pPr>
              <w:rPr>
                <w:rFonts w:ascii="Times New Roman" w:hAnsi="Times New Roman" w:cs="Times New Roman"/>
                <w:sz w:val="20"/>
                <w:szCs w:val="20"/>
              </w:rPr>
            </w:pPr>
            <w:r>
              <w:rPr>
                <w:rFonts w:ascii="Times New Roman" w:hAnsi="Times New Roman" w:cs="Times New Roman"/>
                <w:sz w:val="20"/>
                <w:szCs w:val="20"/>
              </w:rPr>
              <w:t>3</w:t>
            </w:r>
          </w:p>
        </w:tc>
        <w:tc>
          <w:tcPr>
            <w:tcW w:w="5037" w:type="dxa"/>
          </w:tcPr>
          <w:p w:rsidR="005834D3" w:rsidRDefault="009A3DC4" w:rsidP="007F663A">
            <w:pPr>
              <w:rPr>
                <w:rFonts w:ascii="Times New Roman" w:hAnsi="Times New Roman" w:cs="Times New Roman"/>
                <w:sz w:val="20"/>
                <w:szCs w:val="20"/>
              </w:rPr>
            </w:pPr>
            <w:r>
              <w:rPr>
                <w:rFonts w:ascii="Times New Roman" w:hAnsi="Times New Roman" w:cs="Times New Roman"/>
                <w:sz w:val="20"/>
                <w:szCs w:val="20"/>
              </w:rPr>
              <w:t xml:space="preserve">The Safety Net, Levy </w:t>
            </w:r>
            <w:r w:rsidR="005834D3" w:rsidRPr="00D11D79">
              <w:rPr>
                <w:rFonts w:ascii="Times New Roman" w:hAnsi="Times New Roman" w:cs="Times New Roman"/>
                <w:sz w:val="20"/>
                <w:szCs w:val="20"/>
              </w:rPr>
              <w:t>&amp; Tier Splits - Risk and Gearing</w:t>
            </w:r>
          </w:p>
        </w:tc>
        <w:tc>
          <w:tcPr>
            <w:tcW w:w="1843" w:type="dxa"/>
          </w:tcPr>
          <w:p w:rsidR="005834D3" w:rsidRDefault="00087672" w:rsidP="00B35920">
            <w:pPr>
              <w:rPr>
                <w:rFonts w:ascii="Times New Roman" w:hAnsi="Times New Roman" w:cs="Times New Roman"/>
                <w:sz w:val="20"/>
                <w:szCs w:val="20"/>
              </w:rPr>
            </w:pPr>
            <w:r>
              <w:rPr>
                <w:rFonts w:ascii="Times New Roman" w:hAnsi="Times New Roman" w:cs="Times New Roman"/>
                <w:sz w:val="20"/>
                <w:szCs w:val="20"/>
              </w:rPr>
              <w:t>March</w:t>
            </w:r>
            <w:r w:rsidR="005834D3">
              <w:rPr>
                <w:rFonts w:ascii="Times New Roman" w:hAnsi="Times New Roman" w:cs="Times New Roman"/>
                <w:sz w:val="20"/>
                <w:szCs w:val="20"/>
              </w:rPr>
              <w:t xml:space="preserve"> 2018</w:t>
            </w:r>
          </w:p>
        </w:tc>
        <w:tc>
          <w:tcPr>
            <w:tcW w:w="6978" w:type="dxa"/>
          </w:tcPr>
          <w:p w:rsidR="00203DE4" w:rsidRDefault="00087672" w:rsidP="00B35920">
            <w:pPr>
              <w:rPr>
                <w:rFonts w:ascii="Times New Roman" w:hAnsi="Times New Roman" w:cs="Times New Roman"/>
                <w:sz w:val="20"/>
                <w:szCs w:val="20"/>
              </w:rPr>
            </w:pPr>
            <w:r>
              <w:rPr>
                <w:rFonts w:ascii="Times New Roman" w:hAnsi="Times New Roman" w:cs="Times New Roman"/>
                <w:sz w:val="20"/>
                <w:szCs w:val="20"/>
              </w:rPr>
              <w:t xml:space="preserve">DCLG will lead on this paper but would very much welcome DCN and CCN collaboration </w:t>
            </w:r>
            <w:r w:rsidR="00CF58D7">
              <w:rPr>
                <w:rFonts w:ascii="Times New Roman" w:hAnsi="Times New Roman" w:cs="Times New Roman"/>
                <w:sz w:val="20"/>
                <w:szCs w:val="20"/>
              </w:rPr>
              <w:t xml:space="preserve">on the design options for </w:t>
            </w:r>
            <w:r>
              <w:rPr>
                <w:rFonts w:ascii="Times New Roman" w:hAnsi="Times New Roman" w:cs="Times New Roman"/>
                <w:sz w:val="20"/>
                <w:szCs w:val="20"/>
              </w:rPr>
              <w:t xml:space="preserve">tier splits. The paper </w:t>
            </w:r>
            <w:r w:rsidR="005834D3">
              <w:rPr>
                <w:rFonts w:ascii="Times New Roman" w:hAnsi="Times New Roman" w:cs="Times New Roman"/>
                <w:sz w:val="20"/>
                <w:szCs w:val="20"/>
              </w:rPr>
              <w:t xml:space="preserve">will consider the acceptable balance between risk and reward: </w:t>
            </w:r>
          </w:p>
          <w:p w:rsidR="00203DE4" w:rsidRDefault="00203DE4" w:rsidP="00B35920">
            <w:pPr>
              <w:rPr>
                <w:rFonts w:ascii="Times New Roman" w:hAnsi="Times New Roman" w:cs="Times New Roman"/>
                <w:sz w:val="20"/>
                <w:szCs w:val="20"/>
              </w:rPr>
            </w:pPr>
          </w:p>
          <w:p w:rsidR="00203DE4" w:rsidRPr="003A6312" w:rsidRDefault="00203DE4" w:rsidP="003A6312">
            <w:pPr>
              <w:pStyle w:val="ListParagraph"/>
              <w:numPr>
                <w:ilvl w:val="0"/>
                <w:numId w:val="7"/>
              </w:numPr>
              <w:rPr>
                <w:rFonts w:ascii="Times New Roman" w:hAnsi="Times New Roman" w:cs="Times New Roman"/>
                <w:sz w:val="20"/>
                <w:szCs w:val="20"/>
              </w:rPr>
            </w:pPr>
            <w:r w:rsidRPr="003A6312">
              <w:rPr>
                <w:rFonts w:ascii="Times New Roman" w:hAnsi="Times New Roman" w:cs="Times New Roman"/>
                <w:sz w:val="20"/>
                <w:szCs w:val="20"/>
              </w:rPr>
              <w:t>W</w:t>
            </w:r>
            <w:r w:rsidR="005834D3" w:rsidRPr="003A6312">
              <w:rPr>
                <w:rFonts w:ascii="Times New Roman" w:hAnsi="Times New Roman" w:cs="Times New Roman"/>
                <w:sz w:val="20"/>
                <w:szCs w:val="20"/>
              </w:rPr>
              <w:t xml:space="preserve">hat is an appropriate tier split and how this should be set (nationally </w:t>
            </w:r>
            <w:r w:rsidR="00FF138E">
              <w:rPr>
                <w:rFonts w:ascii="Times New Roman" w:hAnsi="Times New Roman" w:cs="Times New Roman"/>
                <w:sz w:val="20"/>
                <w:szCs w:val="20"/>
              </w:rPr>
              <w:t>or by individual authorities)?</w:t>
            </w:r>
            <w:r w:rsidRPr="003A6312">
              <w:rPr>
                <w:rFonts w:ascii="Times New Roman" w:hAnsi="Times New Roman" w:cs="Times New Roman"/>
                <w:sz w:val="20"/>
                <w:szCs w:val="20"/>
              </w:rPr>
              <w:t xml:space="preserve"> </w:t>
            </w:r>
          </w:p>
          <w:p w:rsidR="00203DE4" w:rsidRPr="003A6312" w:rsidRDefault="00203DE4" w:rsidP="003A6312">
            <w:pPr>
              <w:pStyle w:val="ListParagraph"/>
              <w:numPr>
                <w:ilvl w:val="0"/>
                <w:numId w:val="7"/>
              </w:numPr>
              <w:rPr>
                <w:rFonts w:ascii="Times New Roman" w:hAnsi="Times New Roman" w:cs="Times New Roman"/>
                <w:sz w:val="20"/>
                <w:szCs w:val="20"/>
              </w:rPr>
            </w:pPr>
            <w:r w:rsidRPr="003A6312">
              <w:rPr>
                <w:rFonts w:ascii="Times New Roman" w:hAnsi="Times New Roman" w:cs="Times New Roman"/>
                <w:sz w:val="20"/>
                <w:szCs w:val="20"/>
              </w:rPr>
              <w:t>S</w:t>
            </w:r>
            <w:r w:rsidR="005834D3" w:rsidRPr="003A6312">
              <w:rPr>
                <w:rFonts w:ascii="Times New Roman" w:hAnsi="Times New Roman" w:cs="Times New Roman"/>
                <w:sz w:val="20"/>
                <w:szCs w:val="20"/>
              </w:rPr>
              <w:t>hould tier splits</w:t>
            </w:r>
            <w:r w:rsidR="00FF138E">
              <w:rPr>
                <w:rFonts w:ascii="Times New Roman" w:hAnsi="Times New Roman" w:cs="Times New Roman"/>
                <w:sz w:val="20"/>
                <w:szCs w:val="20"/>
              </w:rPr>
              <w:t xml:space="preserve"> be the same for BLF and growth?</w:t>
            </w:r>
            <w:r w:rsidR="005834D3" w:rsidRPr="003A6312">
              <w:rPr>
                <w:rFonts w:ascii="Times New Roman" w:hAnsi="Times New Roman" w:cs="Times New Roman"/>
                <w:sz w:val="20"/>
                <w:szCs w:val="20"/>
              </w:rPr>
              <w:t xml:space="preserve"> </w:t>
            </w:r>
            <w:r w:rsidRPr="003A6312">
              <w:rPr>
                <w:rFonts w:ascii="Times New Roman" w:hAnsi="Times New Roman" w:cs="Times New Roman"/>
                <w:sz w:val="20"/>
                <w:szCs w:val="20"/>
              </w:rPr>
              <w:t xml:space="preserve"> </w:t>
            </w:r>
          </w:p>
          <w:p w:rsidR="00203DE4" w:rsidRPr="003A6312" w:rsidRDefault="003A6312" w:rsidP="003A6312">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The r</w:t>
            </w:r>
            <w:r w:rsidR="005834D3" w:rsidRPr="003A6312">
              <w:rPr>
                <w:rFonts w:ascii="Times New Roman" w:hAnsi="Times New Roman" w:cs="Times New Roman"/>
                <w:sz w:val="20"/>
                <w:szCs w:val="20"/>
              </w:rPr>
              <w:t xml:space="preserve">ight level to set the safety net as it applies to both individual authorities and pools; </w:t>
            </w:r>
            <w:r w:rsidR="00203DE4" w:rsidRPr="003A6312">
              <w:rPr>
                <w:rFonts w:ascii="Times New Roman" w:hAnsi="Times New Roman" w:cs="Times New Roman"/>
                <w:sz w:val="20"/>
                <w:szCs w:val="20"/>
              </w:rPr>
              <w:t>and</w:t>
            </w:r>
          </w:p>
          <w:p w:rsidR="005834D3" w:rsidRDefault="00203DE4" w:rsidP="003A6312">
            <w:pPr>
              <w:pStyle w:val="ListParagraph"/>
              <w:numPr>
                <w:ilvl w:val="0"/>
                <w:numId w:val="7"/>
              </w:numPr>
              <w:rPr>
                <w:rFonts w:ascii="Times New Roman" w:hAnsi="Times New Roman" w:cs="Times New Roman"/>
                <w:sz w:val="20"/>
                <w:szCs w:val="20"/>
              </w:rPr>
            </w:pPr>
            <w:r w:rsidRPr="003A6312">
              <w:rPr>
                <w:rFonts w:ascii="Times New Roman" w:hAnsi="Times New Roman" w:cs="Times New Roman"/>
                <w:sz w:val="20"/>
                <w:szCs w:val="20"/>
              </w:rPr>
              <w:t>H</w:t>
            </w:r>
            <w:r w:rsidR="005834D3" w:rsidRPr="003A6312">
              <w:rPr>
                <w:rFonts w:ascii="Times New Roman" w:hAnsi="Times New Roman" w:cs="Times New Roman"/>
                <w:sz w:val="20"/>
                <w:szCs w:val="20"/>
              </w:rPr>
              <w:t>ow this should be measured (e.g. against baseline funding)</w:t>
            </w:r>
            <w:r w:rsidRPr="003A6312">
              <w:rPr>
                <w:rFonts w:ascii="Times New Roman" w:hAnsi="Times New Roman" w:cs="Times New Roman"/>
                <w:sz w:val="20"/>
                <w:szCs w:val="20"/>
              </w:rPr>
              <w:t>.</w:t>
            </w:r>
          </w:p>
          <w:p w:rsidR="007F663A" w:rsidRPr="003A6312" w:rsidRDefault="007F663A" w:rsidP="007F663A">
            <w:pPr>
              <w:pStyle w:val="ListParagraph"/>
              <w:rPr>
                <w:rFonts w:ascii="Times New Roman" w:hAnsi="Times New Roman" w:cs="Times New Roman"/>
                <w:sz w:val="20"/>
                <w:szCs w:val="20"/>
              </w:rPr>
            </w:pPr>
          </w:p>
        </w:tc>
      </w:tr>
      <w:tr w:rsidR="005834D3" w:rsidTr="005834D3">
        <w:tc>
          <w:tcPr>
            <w:tcW w:w="316" w:type="dxa"/>
          </w:tcPr>
          <w:p w:rsidR="005834D3" w:rsidRDefault="005834D3" w:rsidP="00B35920">
            <w:pPr>
              <w:rPr>
                <w:rFonts w:ascii="Times New Roman" w:hAnsi="Times New Roman" w:cs="Times New Roman"/>
                <w:sz w:val="20"/>
                <w:szCs w:val="20"/>
              </w:rPr>
            </w:pPr>
            <w:r>
              <w:rPr>
                <w:rFonts w:ascii="Times New Roman" w:hAnsi="Times New Roman" w:cs="Times New Roman"/>
                <w:sz w:val="20"/>
                <w:szCs w:val="20"/>
              </w:rPr>
              <w:t>4</w:t>
            </w:r>
          </w:p>
        </w:tc>
        <w:tc>
          <w:tcPr>
            <w:tcW w:w="5037" w:type="dxa"/>
          </w:tcPr>
          <w:p w:rsidR="005834D3" w:rsidRPr="00D11D79" w:rsidRDefault="005834D3" w:rsidP="00B35920">
            <w:pPr>
              <w:rPr>
                <w:rFonts w:ascii="Times New Roman" w:hAnsi="Times New Roman" w:cs="Times New Roman"/>
                <w:sz w:val="20"/>
                <w:szCs w:val="20"/>
              </w:rPr>
            </w:pPr>
            <w:r>
              <w:rPr>
                <w:rFonts w:ascii="Times New Roman" w:hAnsi="Times New Roman" w:cs="Times New Roman"/>
                <w:sz w:val="20"/>
                <w:szCs w:val="20"/>
              </w:rPr>
              <w:t>Appeals and Loss Payments</w:t>
            </w:r>
          </w:p>
        </w:tc>
        <w:tc>
          <w:tcPr>
            <w:tcW w:w="1843" w:type="dxa"/>
          </w:tcPr>
          <w:p w:rsidR="005834D3" w:rsidRDefault="00087672" w:rsidP="00B35920">
            <w:pPr>
              <w:rPr>
                <w:rFonts w:ascii="Times New Roman" w:hAnsi="Times New Roman" w:cs="Times New Roman"/>
                <w:sz w:val="20"/>
                <w:szCs w:val="20"/>
              </w:rPr>
            </w:pPr>
            <w:r>
              <w:rPr>
                <w:rFonts w:ascii="Times New Roman" w:hAnsi="Times New Roman" w:cs="Times New Roman"/>
                <w:sz w:val="20"/>
                <w:szCs w:val="20"/>
              </w:rPr>
              <w:t>April</w:t>
            </w:r>
            <w:r w:rsidR="005834D3">
              <w:rPr>
                <w:rFonts w:ascii="Times New Roman" w:hAnsi="Times New Roman" w:cs="Times New Roman"/>
                <w:sz w:val="20"/>
                <w:szCs w:val="20"/>
              </w:rPr>
              <w:t xml:space="preserve"> 2018</w:t>
            </w:r>
          </w:p>
        </w:tc>
        <w:tc>
          <w:tcPr>
            <w:tcW w:w="6978" w:type="dxa"/>
          </w:tcPr>
          <w:p w:rsidR="005834D3" w:rsidRDefault="005834D3" w:rsidP="0095792D">
            <w:pPr>
              <w:rPr>
                <w:rFonts w:ascii="Times New Roman" w:hAnsi="Times New Roman" w:cs="Times New Roman"/>
                <w:sz w:val="20"/>
                <w:szCs w:val="20"/>
              </w:rPr>
            </w:pPr>
            <w:r>
              <w:rPr>
                <w:rFonts w:ascii="Times New Roman" w:hAnsi="Times New Roman" w:cs="Times New Roman"/>
                <w:sz w:val="20"/>
                <w:szCs w:val="20"/>
              </w:rPr>
              <w:t>This paper, pr</w:t>
            </w:r>
            <w:r w:rsidR="00203DE4">
              <w:rPr>
                <w:rFonts w:ascii="Times New Roman" w:hAnsi="Times New Roman" w:cs="Times New Roman"/>
                <w:sz w:val="20"/>
                <w:szCs w:val="20"/>
              </w:rPr>
              <w:t>esented by DCLG, will consider what can be done to address the way that appeals currently create instability in local government finance. It will also consider specific issues around transition during a revaluation period. Key questions would include:</w:t>
            </w:r>
          </w:p>
          <w:p w:rsidR="005834D3" w:rsidRDefault="005834D3" w:rsidP="0095792D">
            <w:pPr>
              <w:rPr>
                <w:rFonts w:ascii="Times New Roman" w:hAnsi="Times New Roman" w:cs="Times New Roman"/>
                <w:sz w:val="20"/>
                <w:szCs w:val="20"/>
              </w:rPr>
            </w:pPr>
          </w:p>
          <w:p w:rsidR="005834D3" w:rsidRDefault="005834D3" w:rsidP="0095792D">
            <w:pPr>
              <w:pStyle w:val="ListParagraph"/>
              <w:numPr>
                <w:ilvl w:val="0"/>
                <w:numId w:val="5"/>
              </w:numPr>
              <w:rPr>
                <w:rFonts w:ascii="Times New Roman" w:hAnsi="Times New Roman" w:cs="Times New Roman"/>
                <w:sz w:val="20"/>
                <w:szCs w:val="20"/>
              </w:rPr>
            </w:pPr>
            <w:r w:rsidRPr="00484D24">
              <w:rPr>
                <w:rFonts w:ascii="Times New Roman" w:hAnsi="Times New Roman" w:cs="Times New Roman"/>
                <w:sz w:val="20"/>
                <w:szCs w:val="20"/>
              </w:rPr>
              <w:lastRenderedPageBreak/>
              <w:t>In which financial year it will be possible to addre</w:t>
            </w:r>
            <w:r w:rsidR="00FF138E">
              <w:rPr>
                <w:rFonts w:ascii="Times New Roman" w:hAnsi="Times New Roman" w:cs="Times New Roman"/>
                <w:sz w:val="20"/>
                <w:szCs w:val="20"/>
              </w:rPr>
              <w:t>ss appeals losses;</w:t>
            </w:r>
          </w:p>
          <w:p w:rsidR="001A540F" w:rsidRPr="00484D24" w:rsidRDefault="001A540F" w:rsidP="0095792D">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How new measures would interact with more frequent revaluation;</w:t>
            </w:r>
          </w:p>
          <w:p w:rsidR="005834D3" w:rsidRPr="00484D24" w:rsidRDefault="005834D3" w:rsidP="0095792D">
            <w:pPr>
              <w:pStyle w:val="ListParagraph"/>
              <w:numPr>
                <w:ilvl w:val="0"/>
                <w:numId w:val="5"/>
              </w:numPr>
              <w:rPr>
                <w:rFonts w:ascii="Times New Roman" w:hAnsi="Times New Roman" w:cs="Times New Roman"/>
                <w:sz w:val="20"/>
                <w:szCs w:val="20"/>
              </w:rPr>
            </w:pPr>
            <w:r w:rsidRPr="00484D24">
              <w:rPr>
                <w:rFonts w:ascii="Times New Roman" w:hAnsi="Times New Roman" w:cs="Times New Roman"/>
                <w:sz w:val="20"/>
                <w:szCs w:val="20"/>
              </w:rPr>
              <w:t xml:space="preserve">What the possibilities are for centralising appeals risks; </w:t>
            </w:r>
          </w:p>
          <w:p w:rsidR="005834D3" w:rsidRPr="00484D24" w:rsidRDefault="005834D3" w:rsidP="0095792D">
            <w:pPr>
              <w:pStyle w:val="ListParagraph"/>
              <w:numPr>
                <w:ilvl w:val="0"/>
                <w:numId w:val="5"/>
              </w:numPr>
              <w:rPr>
                <w:rFonts w:ascii="Times New Roman" w:hAnsi="Times New Roman" w:cs="Times New Roman"/>
                <w:sz w:val="20"/>
                <w:szCs w:val="20"/>
              </w:rPr>
            </w:pPr>
            <w:r w:rsidRPr="00484D24">
              <w:rPr>
                <w:rFonts w:ascii="Times New Roman" w:hAnsi="Times New Roman" w:cs="Times New Roman"/>
                <w:sz w:val="20"/>
                <w:szCs w:val="20"/>
              </w:rPr>
              <w:t xml:space="preserve">What the possibilities would then be to identify money owing to authorities; </w:t>
            </w:r>
          </w:p>
          <w:p w:rsidR="005834D3" w:rsidRPr="00484D24" w:rsidRDefault="005834D3" w:rsidP="0095792D">
            <w:pPr>
              <w:pStyle w:val="ListParagraph"/>
              <w:numPr>
                <w:ilvl w:val="0"/>
                <w:numId w:val="5"/>
              </w:numPr>
              <w:rPr>
                <w:rFonts w:ascii="Times New Roman" w:hAnsi="Times New Roman" w:cs="Times New Roman"/>
                <w:sz w:val="20"/>
                <w:szCs w:val="20"/>
              </w:rPr>
            </w:pPr>
            <w:r w:rsidRPr="00484D24">
              <w:rPr>
                <w:rFonts w:ascii="Times New Roman" w:hAnsi="Times New Roman" w:cs="Times New Roman"/>
                <w:sz w:val="20"/>
                <w:szCs w:val="20"/>
              </w:rPr>
              <w:t>Whether this should be funded through a top-slice</w:t>
            </w:r>
            <w:r w:rsidR="00357575">
              <w:rPr>
                <w:rFonts w:ascii="Times New Roman" w:hAnsi="Times New Roman" w:cs="Times New Roman"/>
                <w:sz w:val="20"/>
                <w:szCs w:val="20"/>
              </w:rPr>
              <w:t xml:space="preserve"> (and IT systems for this)</w:t>
            </w:r>
            <w:r w:rsidRPr="00484D24">
              <w:rPr>
                <w:rFonts w:ascii="Times New Roman" w:hAnsi="Times New Roman" w:cs="Times New Roman"/>
                <w:sz w:val="20"/>
                <w:szCs w:val="20"/>
              </w:rPr>
              <w:t>;</w:t>
            </w:r>
          </w:p>
          <w:p w:rsidR="00357575" w:rsidRDefault="005834D3" w:rsidP="0095792D">
            <w:pPr>
              <w:pStyle w:val="ListParagraph"/>
              <w:numPr>
                <w:ilvl w:val="0"/>
                <w:numId w:val="5"/>
              </w:numPr>
              <w:rPr>
                <w:rFonts w:ascii="Times New Roman" w:hAnsi="Times New Roman" w:cs="Times New Roman"/>
                <w:sz w:val="20"/>
                <w:szCs w:val="20"/>
              </w:rPr>
            </w:pPr>
            <w:r w:rsidRPr="00484D24">
              <w:rPr>
                <w:rFonts w:ascii="Times New Roman" w:hAnsi="Times New Roman" w:cs="Times New Roman"/>
                <w:sz w:val="20"/>
                <w:szCs w:val="20"/>
              </w:rPr>
              <w:t>The optimal way to transition to the new system (including IT considerations)</w:t>
            </w:r>
            <w:r w:rsidR="00357575">
              <w:rPr>
                <w:rFonts w:ascii="Times New Roman" w:hAnsi="Times New Roman" w:cs="Times New Roman"/>
                <w:sz w:val="20"/>
                <w:szCs w:val="20"/>
              </w:rPr>
              <w:t>; and</w:t>
            </w:r>
          </w:p>
          <w:p w:rsidR="005834D3" w:rsidRPr="00357575" w:rsidRDefault="00357575" w:rsidP="00357575">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W</w:t>
            </w:r>
            <w:r w:rsidR="005834D3" w:rsidRPr="00484D24">
              <w:rPr>
                <w:rFonts w:ascii="Times New Roman" w:hAnsi="Times New Roman" w:cs="Times New Roman"/>
                <w:sz w:val="20"/>
                <w:szCs w:val="20"/>
              </w:rPr>
              <w:t>hat the overall impact on the system will be</w:t>
            </w:r>
            <w:r>
              <w:rPr>
                <w:rFonts w:ascii="Times New Roman" w:hAnsi="Times New Roman" w:cs="Times New Roman"/>
                <w:sz w:val="20"/>
                <w:szCs w:val="20"/>
              </w:rPr>
              <w:t>.</w:t>
            </w:r>
          </w:p>
          <w:p w:rsidR="005834D3" w:rsidRDefault="005834D3" w:rsidP="00B35920">
            <w:pPr>
              <w:rPr>
                <w:rFonts w:ascii="Times New Roman" w:hAnsi="Times New Roman" w:cs="Times New Roman"/>
                <w:sz w:val="20"/>
                <w:szCs w:val="20"/>
              </w:rPr>
            </w:pPr>
          </w:p>
        </w:tc>
      </w:tr>
      <w:tr w:rsidR="005834D3" w:rsidTr="005834D3">
        <w:tc>
          <w:tcPr>
            <w:tcW w:w="316" w:type="dxa"/>
          </w:tcPr>
          <w:p w:rsidR="005834D3" w:rsidRPr="00D11D79" w:rsidRDefault="005834D3" w:rsidP="00B35920">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5037" w:type="dxa"/>
          </w:tcPr>
          <w:p w:rsidR="005834D3" w:rsidRDefault="005834D3" w:rsidP="00B35920">
            <w:pPr>
              <w:rPr>
                <w:rFonts w:ascii="Times New Roman" w:hAnsi="Times New Roman" w:cs="Times New Roman"/>
                <w:sz w:val="20"/>
                <w:szCs w:val="20"/>
              </w:rPr>
            </w:pPr>
            <w:r w:rsidRPr="00D11D79">
              <w:rPr>
                <w:rFonts w:ascii="Times New Roman" w:hAnsi="Times New Roman" w:cs="Times New Roman"/>
                <w:sz w:val="20"/>
                <w:szCs w:val="20"/>
              </w:rPr>
              <w:t>Resets, Measuring Growth and Revaluation</w:t>
            </w:r>
          </w:p>
        </w:tc>
        <w:tc>
          <w:tcPr>
            <w:tcW w:w="1843" w:type="dxa"/>
          </w:tcPr>
          <w:p w:rsidR="005834D3" w:rsidRDefault="00087672" w:rsidP="00B35920">
            <w:pPr>
              <w:rPr>
                <w:rFonts w:ascii="Times New Roman" w:hAnsi="Times New Roman" w:cs="Times New Roman"/>
                <w:sz w:val="20"/>
                <w:szCs w:val="20"/>
              </w:rPr>
            </w:pPr>
            <w:r>
              <w:rPr>
                <w:rFonts w:ascii="Times New Roman" w:hAnsi="Times New Roman" w:cs="Times New Roman"/>
                <w:sz w:val="20"/>
                <w:szCs w:val="20"/>
              </w:rPr>
              <w:t>May</w:t>
            </w:r>
            <w:r w:rsidR="005834D3">
              <w:rPr>
                <w:rFonts w:ascii="Times New Roman" w:hAnsi="Times New Roman" w:cs="Times New Roman"/>
                <w:sz w:val="20"/>
                <w:szCs w:val="20"/>
              </w:rPr>
              <w:t xml:space="preserve"> 2018</w:t>
            </w:r>
          </w:p>
        </w:tc>
        <w:tc>
          <w:tcPr>
            <w:tcW w:w="6978" w:type="dxa"/>
          </w:tcPr>
          <w:p w:rsidR="008F6B2B" w:rsidRDefault="008F6B2B" w:rsidP="00D20B0A">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This paper, presented by DCLG, will consider:</w:t>
            </w:r>
          </w:p>
          <w:p w:rsidR="008F6B2B" w:rsidRPr="00D20B0A" w:rsidRDefault="008F6B2B" w:rsidP="00D20B0A">
            <w:pPr>
              <w:rPr>
                <w:rFonts w:ascii="Times New Roman" w:hAnsi="Times New Roman" w:cs="Times New Roman"/>
                <w:color w:val="000000" w:themeColor="text1"/>
                <w:sz w:val="20"/>
                <w:szCs w:val="20"/>
              </w:rPr>
            </w:pPr>
          </w:p>
          <w:p w:rsidR="00D20B0A" w:rsidRPr="00D20B0A" w:rsidRDefault="00D20B0A" w:rsidP="00D20B0A">
            <w:pPr>
              <w:pStyle w:val="ListParagraph"/>
              <w:numPr>
                <w:ilvl w:val="0"/>
                <w:numId w:val="9"/>
              </w:numPr>
              <w:rPr>
                <w:rFonts w:ascii="Times New Roman" w:hAnsi="Times New Roman" w:cs="Times New Roman"/>
                <w:color w:val="000000" w:themeColor="text1"/>
                <w:sz w:val="20"/>
                <w:szCs w:val="20"/>
              </w:rPr>
            </w:pPr>
            <w:r w:rsidRPr="00D20B0A">
              <w:rPr>
                <w:rFonts w:ascii="Times New Roman" w:hAnsi="Times New Roman" w:cs="Times New Roman"/>
                <w:color w:val="000000" w:themeColor="text1"/>
                <w:sz w:val="20"/>
                <w:szCs w:val="20"/>
              </w:rPr>
              <w:t xml:space="preserve">How we will reset </w:t>
            </w:r>
            <w:r>
              <w:rPr>
                <w:rFonts w:ascii="Times New Roman" w:hAnsi="Times New Roman" w:cs="Times New Roman"/>
                <w:color w:val="000000" w:themeColor="text1"/>
                <w:sz w:val="20"/>
                <w:szCs w:val="20"/>
              </w:rPr>
              <w:t xml:space="preserve">the system </w:t>
            </w:r>
            <w:r w:rsidRPr="00D20B0A">
              <w:rPr>
                <w:rFonts w:ascii="Times New Roman" w:hAnsi="Times New Roman" w:cs="Times New Roman"/>
                <w:color w:val="000000" w:themeColor="text1"/>
                <w:sz w:val="20"/>
                <w:szCs w:val="20"/>
              </w:rPr>
              <w:t>and how often</w:t>
            </w:r>
            <w:r>
              <w:rPr>
                <w:rFonts w:ascii="Times New Roman" w:hAnsi="Times New Roman" w:cs="Times New Roman"/>
                <w:color w:val="000000" w:themeColor="text1"/>
                <w:sz w:val="20"/>
                <w:szCs w:val="20"/>
              </w:rPr>
              <w:t>;</w:t>
            </w:r>
          </w:p>
          <w:p w:rsidR="00D20B0A" w:rsidRPr="00D20B0A" w:rsidRDefault="008F6B2B" w:rsidP="00D20B0A">
            <w:pPr>
              <w:pStyle w:val="ListParagraph"/>
              <w:numPr>
                <w:ilvl w:val="0"/>
                <w:numId w:val="9"/>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 growth will be measured</w:t>
            </w:r>
            <w:r w:rsidR="00D20B0A" w:rsidRPr="00D20B0A">
              <w:rPr>
                <w:rFonts w:ascii="Times New Roman" w:hAnsi="Times New Roman" w:cs="Times New Roman"/>
                <w:color w:val="000000" w:themeColor="text1"/>
                <w:sz w:val="20"/>
                <w:szCs w:val="20"/>
              </w:rPr>
              <w:t xml:space="preserve"> at a reset</w:t>
            </w:r>
            <w:r w:rsidR="00D20B0A">
              <w:rPr>
                <w:rFonts w:ascii="Times New Roman" w:hAnsi="Times New Roman" w:cs="Times New Roman"/>
                <w:color w:val="000000" w:themeColor="text1"/>
                <w:sz w:val="20"/>
                <w:szCs w:val="20"/>
              </w:rPr>
              <w:t>;</w:t>
            </w:r>
          </w:p>
          <w:p w:rsidR="007F663A" w:rsidRDefault="00D20B0A" w:rsidP="00D20B0A">
            <w:pPr>
              <w:pStyle w:val="ListParagraph"/>
              <w:numPr>
                <w:ilvl w:val="0"/>
                <w:numId w:val="9"/>
              </w:numPr>
              <w:rPr>
                <w:rFonts w:ascii="Times New Roman" w:hAnsi="Times New Roman" w:cs="Times New Roman"/>
                <w:color w:val="000000" w:themeColor="text1"/>
                <w:sz w:val="20"/>
                <w:szCs w:val="20"/>
              </w:rPr>
            </w:pPr>
            <w:r w:rsidRPr="00D20B0A">
              <w:rPr>
                <w:rFonts w:ascii="Times New Roman" w:hAnsi="Times New Roman" w:cs="Times New Roman"/>
                <w:color w:val="000000" w:themeColor="text1"/>
                <w:sz w:val="20"/>
                <w:szCs w:val="20"/>
              </w:rPr>
              <w:t xml:space="preserve">How we take account of changing relative need at a reset, including principles </w:t>
            </w:r>
            <w:r w:rsidR="008F6B2B">
              <w:rPr>
                <w:rFonts w:ascii="Times New Roman" w:hAnsi="Times New Roman" w:cs="Times New Roman"/>
                <w:color w:val="000000" w:themeColor="text1"/>
                <w:sz w:val="20"/>
                <w:szCs w:val="20"/>
              </w:rPr>
              <w:t>about transitional arrangement;</w:t>
            </w:r>
          </w:p>
          <w:p w:rsidR="008F6B2B" w:rsidRPr="00D20B0A" w:rsidRDefault="00FF138E" w:rsidP="008F6B2B">
            <w:pPr>
              <w:pStyle w:val="ListParagraph"/>
              <w:numPr>
                <w:ilvl w:val="0"/>
                <w:numId w:val="9"/>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What</w:t>
            </w:r>
            <w:r w:rsidR="008F6B2B" w:rsidRPr="008F6B2B">
              <w:rPr>
                <w:rFonts w:ascii="Times New Roman" w:hAnsi="Times New Roman" w:cs="Times New Roman"/>
                <w:color w:val="000000" w:themeColor="text1"/>
                <w:sz w:val="20"/>
                <w:szCs w:val="20"/>
              </w:rPr>
              <w:t xml:space="preserve"> the interaction with Revaluation</w:t>
            </w:r>
            <w:r>
              <w:rPr>
                <w:rFonts w:ascii="Times New Roman" w:hAnsi="Times New Roman" w:cs="Times New Roman"/>
                <w:color w:val="000000" w:themeColor="text1"/>
                <w:sz w:val="20"/>
                <w:szCs w:val="20"/>
              </w:rPr>
              <w:t xml:space="preserve"> is</w:t>
            </w:r>
            <w:r w:rsidR="008F6B2B">
              <w:rPr>
                <w:rFonts w:ascii="Times New Roman" w:hAnsi="Times New Roman" w:cs="Times New Roman"/>
                <w:color w:val="000000" w:themeColor="text1"/>
                <w:sz w:val="20"/>
                <w:szCs w:val="20"/>
              </w:rPr>
              <w:t>.</w:t>
            </w:r>
          </w:p>
          <w:p w:rsidR="005834D3" w:rsidRDefault="005834D3" w:rsidP="00B35920">
            <w:pPr>
              <w:rPr>
                <w:rFonts w:ascii="Times New Roman" w:hAnsi="Times New Roman" w:cs="Times New Roman"/>
                <w:sz w:val="20"/>
                <w:szCs w:val="20"/>
              </w:rPr>
            </w:pPr>
          </w:p>
        </w:tc>
      </w:tr>
      <w:tr w:rsidR="005834D3" w:rsidTr="005834D3">
        <w:tc>
          <w:tcPr>
            <w:tcW w:w="316" w:type="dxa"/>
          </w:tcPr>
          <w:p w:rsidR="005834D3" w:rsidRPr="00D11D79" w:rsidRDefault="005834D3" w:rsidP="00B35920">
            <w:pPr>
              <w:rPr>
                <w:rFonts w:ascii="Times New Roman" w:hAnsi="Times New Roman" w:cs="Times New Roman"/>
                <w:sz w:val="20"/>
                <w:szCs w:val="20"/>
              </w:rPr>
            </w:pPr>
            <w:r>
              <w:rPr>
                <w:rFonts w:ascii="Times New Roman" w:hAnsi="Times New Roman" w:cs="Times New Roman"/>
                <w:sz w:val="20"/>
                <w:szCs w:val="20"/>
              </w:rPr>
              <w:t>6</w:t>
            </w:r>
          </w:p>
        </w:tc>
        <w:tc>
          <w:tcPr>
            <w:tcW w:w="5037" w:type="dxa"/>
          </w:tcPr>
          <w:p w:rsidR="005834D3" w:rsidRDefault="0083337A" w:rsidP="00366B60">
            <w:pPr>
              <w:rPr>
                <w:rFonts w:ascii="Times New Roman" w:hAnsi="Times New Roman" w:cs="Times New Roman"/>
                <w:sz w:val="20"/>
                <w:szCs w:val="20"/>
              </w:rPr>
            </w:pPr>
            <w:r>
              <w:rPr>
                <w:rFonts w:ascii="Times New Roman" w:hAnsi="Times New Roman" w:cs="Times New Roman"/>
                <w:sz w:val="20"/>
                <w:szCs w:val="20"/>
              </w:rPr>
              <w:t>Transitional A</w:t>
            </w:r>
            <w:r w:rsidR="005834D3" w:rsidRPr="00D11D79">
              <w:rPr>
                <w:rFonts w:ascii="Times New Roman" w:hAnsi="Times New Roman" w:cs="Times New Roman"/>
                <w:sz w:val="20"/>
                <w:szCs w:val="20"/>
              </w:rPr>
              <w:t>rrangements</w:t>
            </w:r>
          </w:p>
        </w:tc>
        <w:tc>
          <w:tcPr>
            <w:tcW w:w="1843" w:type="dxa"/>
          </w:tcPr>
          <w:p w:rsidR="005834D3" w:rsidRDefault="00087672" w:rsidP="00B35920">
            <w:pPr>
              <w:rPr>
                <w:rFonts w:ascii="Times New Roman" w:hAnsi="Times New Roman" w:cs="Times New Roman"/>
                <w:sz w:val="20"/>
                <w:szCs w:val="20"/>
              </w:rPr>
            </w:pPr>
            <w:r>
              <w:rPr>
                <w:rFonts w:ascii="Times New Roman" w:hAnsi="Times New Roman" w:cs="Times New Roman"/>
                <w:sz w:val="20"/>
                <w:szCs w:val="20"/>
              </w:rPr>
              <w:t>June</w:t>
            </w:r>
            <w:r w:rsidR="005834D3">
              <w:rPr>
                <w:rFonts w:ascii="Times New Roman" w:hAnsi="Times New Roman" w:cs="Times New Roman"/>
                <w:sz w:val="20"/>
                <w:szCs w:val="20"/>
              </w:rPr>
              <w:t xml:space="preserve"> 2018</w:t>
            </w:r>
          </w:p>
        </w:tc>
        <w:tc>
          <w:tcPr>
            <w:tcW w:w="6978" w:type="dxa"/>
          </w:tcPr>
          <w:p w:rsidR="005834D3" w:rsidRDefault="0083337A" w:rsidP="00B35920">
            <w:pPr>
              <w:rPr>
                <w:rFonts w:ascii="Times New Roman" w:hAnsi="Times New Roman" w:cs="Times New Roman"/>
                <w:sz w:val="20"/>
                <w:szCs w:val="20"/>
              </w:rPr>
            </w:pPr>
            <w:r>
              <w:rPr>
                <w:rFonts w:ascii="Times New Roman" w:hAnsi="Times New Roman" w:cs="Times New Roman"/>
                <w:sz w:val="20"/>
                <w:szCs w:val="20"/>
              </w:rPr>
              <w:t xml:space="preserve">This paper, presented by DCLG, will consider wide ranging policy issues about transition, including the position of the pilots. Additionally, the group will consider the findings of the </w:t>
            </w:r>
            <w:r w:rsidRPr="0083337A">
              <w:rPr>
                <w:rFonts w:ascii="Times New Roman" w:hAnsi="Times New Roman" w:cs="Times New Roman"/>
                <w:sz w:val="20"/>
                <w:szCs w:val="20"/>
              </w:rPr>
              <w:t>Technical Transition and Operationalization Sub Group</w:t>
            </w:r>
            <w:r>
              <w:rPr>
                <w:rFonts w:ascii="Times New Roman" w:hAnsi="Times New Roman" w:cs="Times New Roman"/>
                <w:sz w:val="20"/>
                <w:szCs w:val="20"/>
              </w:rPr>
              <w:t xml:space="preserve"> on the technical aspects of transition. </w:t>
            </w:r>
          </w:p>
          <w:p w:rsidR="008F6B2B" w:rsidRDefault="008F6B2B" w:rsidP="00B35920">
            <w:pPr>
              <w:rPr>
                <w:rFonts w:ascii="Times New Roman" w:hAnsi="Times New Roman" w:cs="Times New Roman"/>
                <w:sz w:val="20"/>
                <w:szCs w:val="20"/>
              </w:rPr>
            </w:pPr>
          </w:p>
        </w:tc>
      </w:tr>
      <w:tr w:rsidR="005834D3" w:rsidTr="005834D3">
        <w:tc>
          <w:tcPr>
            <w:tcW w:w="316" w:type="dxa"/>
          </w:tcPr>
          <w:p w:rsidR="005834D3" w:rsidRDefault="005834D3" w:rsidP="00B35920">
            <w:pPr>
              <w:rPr>
                <w:rFonts w:ascii="Times New Roman" w:hAnsi="Times New Roman" w:cs="Times New Roman"/>
                <w:sz w:val="20"/>
                <w:szCs w:val="20"/>
              </w:rPr>
            </w:pPr>
            <w:r>
              <w:rPr>
                <w:rFonts w:ascii="Times New Roman" w:hAnsi="Times New Roman" w:cs="Times New Roman"/>
                <w:sz w:val="20"/>
                <w:szCs w:val="20"/>
              </w:rPr>
              <w:t>7</w:t>
            </w:r>
          </w:p>
        </w:tc>
        <w:tc>
          <w:tcPr>
            <w:tcW w:w="5037" w:type="dxa"/>
          </w:tcPr>
          <w:p w:rsidR="005834D3" w:rsidRDefault="005834D3" w:rsidP="00916522">
            <w:pPr>
              <w:rPr>
                <w:rFonts w:ascii="Times New Roman" w:hAnsi="Times New Roman" w:cs="Times New Roman"/>
                <w:sz w:val="20"/>
                <w:szCs w:val="20"/>
              </w:rPr>
            </w:pPr>
            <w:r>
              <w:rPr>
                <w:rFonts w:ascii="Times New Roman" w:hAnsi="Times New Roman" w:cs="Times New Roman"/>
                <w:sz w:val="20"/>
                <w:szCs w:val="20"/>
              </w:rPr>
              <w:t>Pooling</w:t>
            </w:r>
            <w:r w:rsidR="00916522">
              <w:rPr>
                <w:rStyle w:val="FootnoteReference"/>
                <w:rFonts w:ascii="Times New Roman" w:hAnsi="Times New Roman" w:cs="Times New Roman"/>
                <w:sz w:val="20"/>
                <w:szCs w:val="20"/>
              </w:rPr>
              <w:footnoteReference w:id="2"/>
            </w:r>
          </w:p>
        </w:tc>
        <w:tc>
          <w:tcPr>
            <w:tcW w:w="1843" w:type="dxa"/>
          </w:tcPr>
          <w:p w:rsidR="005834D3" w:rsidRDefault="00087672" w:rsidP="00B35920">
            <w:pPr>
              <w:rPr>
                <w:rFonts w:ascii="Times New Roman" w:hAnsi="Times New Roman" w:cs="Times New Roman"/>
                <w:sz w:val="20"/>
                <w:szCs w:val="20"/>
              </w:rPr>
            </w:pPr>
            <w:r>
              <w:rPr>
                <w:rFonts w:ascii="Times New Roman" w:hAnsi="Times New Roman" w:cs="Times New Roman"/>
                <w:sz w:val="20"/>
                <w:szCs w:val="20"/>
              </w:rPr>
              <w:t>July</w:t>
            </w:r>
            <w:r w:rsidR="00FF138E">
              <w:rPr>
                <w:rFonts w:ascii="Times New Roman" w:hAnsi="Times New Roman" w:cs="Times New Roman"/>
                <w:sz w:val="20"/>
                <w:szCs w:val="20"/>
              </w:rPr>
              <w:t xml:space="preserve"> </w:t>
            </w:r>
            <w:r w:rsidR="005834D3">
              <w:rPr>
                <w:rFonts w:ascii="Times New Roman" w:hAnsi="Times New Roman" w:cs="Times New Roman"/>
                <w:sz w:val="20"/>
                <w:szCs w:val="20"/>
              </w:rPr>
              <w:t>2018</w:t>
            </w:r>
          </w:p>
        </w:tc>
        <w:tc>
          <w:tcPr>
            <w:tcW w:w="6978" w:type="dxa"/>
          </w:tcPr>
          <w:p w:rsidR="005834D3" w:rsidRDefault="008E18D2" w:rsidP="00B35920">
            <w:pPr>
              <w:rPr>
                <w:rFonts w:ascii="Times New Roman" w:hAnsi="Times New Roman" w:cs="Times New Roman"/>
                <w:sz w:val="20"/>
                <w:szCs w:val="20"/>
              </w:rPr>
            </w:pPr>
            <w:r>
              <w:rPr>
                <w:rFonts w:ascii="Times New Roman" w:hAnsi="Times New Roman" w:cs="Times New Roman"/>
                <w:sz w:val="20"/>
                <w:szCs w:val="20"/>
              </w:rPr>
              <w:t>This paper, presented by DCLG, will consider:</w:t>
            </w:r>
          </w:p>
          <w:p w:rsidR="008E18D2" w:rsidRDefault="008E18D2" w:rsidP="00B35920">
            <w:pPr>
              <w:rPr>
                <w:rFonts w:ascii="Times New Roman" w:hAnsi="Times New Roman" w:cs="Times New Roman"/>
                <w:sz w:val="20"/>
                <w:szCs w:val="20"/>
              </w:rPr>
            </w:pPr>
          </w:p>
          <w:p w:rsidR="008E18D2" w:rsidRPr="008E18D2" w:rsidRDefault="008E18D2" w:rsidP="008E18D2">
            <w:pPr>
              <w:pStyle w:val="ListParagraph"/>
              <w:numPr>
                <w:ilvl w:val="0"/>
                <w:numId w:val="16"/>
              </w:numPr>
              <w:rPr>
                <w:rFonts w:ascii="Times New Roman" w:hAnsi="Times New Roman" w:cs="Times New Roman"/>
                <w:sz w:val="20"/>
                <w:szCs w:val="20"/>
              </w:rPr>
            </w:pPr>
            <w:r w:rsidRPr="008E18D2">
              <w:rPr>
                <w:rFonts w:ascii="Times New Roman" w:hAnsi="Times New Roman" w:cs="Times New Roman"/>
                <w:sz w:val="20"/>
                <w:szCs w:val="20"/>
              </w:rPr>
              <w:t xml:space="preserve">How can pooling support sustainability, growth, risk management and strategic thinking across </w:t>
            </w:r>
            <w:r w:rsidR="00C678E7">
              <w:rPr>
                <w:rFonts w:ascii="Times New Roman" w:hAnsi="Times New Roman" w:cs="Times New Roman"/>
                <w:sz w:val="20"/>
                <w:szCs w:val="20"/>
              </w:rPr>
              <w:t>a functional economic area?</w:t>
            </w:r>
          </w:p>
          <w:p w:rsidR="008E18D2" w:rsidRPr="008E18D2" w:rsidRDefault="008E18D2" w:rsidP="008E18D2">
            <w:pPr>
              <w:pStyle w:val="ListParagraph"/>
              <w:numPr>
                <w:ilvl w:val="0"/>
                <w:numId w:val="16"/>
              </w:numPr>
              <w:rPr>
                <w:rFonts w:ascii="Times New Roman" w:hAnsi="Times New Roman" w:cs="Times New Roman"/>
                <w:sz w:val="20"/>
                <w:szCs w:val="20"/>
              </w:rPr>
            </w:pPr>
            <w:r w:rsidRPr="008E18D2">
              <w:rPr>
                <w:rFonts w:ascii="Times New Roman" w:hAnsi="Times New Roman" w:cs="Times New Roman"/>
                <w:sz w:val="20"/>
                <w:szCs w:val="20"/>
              </w:rPr>
              <w:t xml:space="preserve">What is the best way for authorities to come to </w:t>
            </w:r>
            <w:r w:rsidR="00C678E7">
              <w:rPr>
                <w:rFonts w:ascii="Times New Roman" w:hAnsi="Times New Roman" w:cs="Times New Roman"/>
                <w:sz w:val="20"/>
                <w:szCs w:val="20"/>
              </w:rPr>
              <w:t>pooling arrangements?</w:t>
            </w:r>
          </w:p>
          <w:p w:rsidR="008E18D2" w:rsidRDefault="008E18D2" w:rsidP="00916522">
            <w:pPr>
              <w:rPr>
                <w:rFonts w:ascii="Times New Roman" w:hAnsi="Times New Roman" w:cs="Times New Roman"/>
                <w:sz w:val="20"/>
                <w:szCs w:val="20"/>
              </w:rPr>
            </w:pPr>
          </w:p>
        </w:tc>
      </w:tr>
      <w:tr w:rsidR="005834D3" w:rsidTr="005834D3">
        <w:tc>
          <w:tcPr>
            <w:tcW w:w="316" w:type="dxa"/>
          </w:tcPr>
          <w:p w:rsidR="005834D3" w:rsidRPr="005834D3" w:rsidRDefault="005834D3" w:rsidP="00B35920">
            <w:pPr>
              <w:rPr>
                <w:rFonts w:ascii="Times New Roman" w:hAnsi="Times New Roman" w:cs="Times New Roman"/>
                <w:sz w:val="20"/>
                <w:szCs w:val="20"/>
              </w:rPr>
            </w:pPr>
            <w:r>
              <w:rPr>
                <w:rFonts w:ascii="Times New Roman" w:hAnsi="Times New Roman" w:cs="Times New Roman"/>
                <w:sz w:val="20"/>
                <w:szCs w:val="20"/>
              </w:rPr>
              <w:t>8</w:t>
            </w:r>
          </w:p>
        </w:tc>
        <w:tc>
          <w:tcPr>
            <w:tcW w:w="5037" w:type="dxa"/>
          </w:tcPr>
          <w:p w:rsidR="005834D3" w:rsidRDefault="00A054B1" w:rsidP="00A054B1">
            <w:pPr>
              <w:rPr>
                <w:rFonts w:ascii="Times New Roman" w:hAnsi="Times New Roman" w:cs="Times New Roman"/>
                <w:sz w:val="20"/>
                <w:szCs w:val="20"/>
              </w:rPr>
            </w:pPr>
            <w:r w:rsidRPr="005834D3">
              <w:rPr>
                <w:rFonts w:ascii="Times New Roman" w:hAnsi="Times New Roman" w:cs="Times New Roman"/>
                <w:sz w:val="20"/>
                <w:szCs w:val="20"/>
              </w:rPr>
              <w:t>Proposed Overall</w:t>
            </w:r>
            <w:r>
              <w:rPr>
                <w:rFonts w:ascii="Times New Roman" w:hAnsi="Times New Roman" w:cs="Times New Roman"/>
                <w:sz w:val="20"/>
                <w:szCs w:val="20"/>
              </w:rPr>
              <w:t xml:space="preserve"> Short Term</w:t>
            </w:r>
            <w:r w:rsidRPr="005834D3">
              <w:rPr>
                <w:rFonts w:ascii="Times New Roman" w:hAnsi="Times New Roman" w:cs="Times New Roman"/>
                <w:sz w:val="20"/>
                <w:szCs w:val="20"/>
              </w:rPr>
              <w:t xml:space="preserve"> Package </w:t>
            </w:r>
            <w:r>
              <w:rPr>
                <w:rFonts w:ascii="Times New Roman" w:hAnsi="Times New Roman" w:cs="Times New Roman"/>
                <w:sz w:val="20"/>
                <w:szCs w:val="20"/>
              </w:rPr>
              <w:t xml:space="preserve">and </w:t>
            </w:r>
            <w:r w:rsidR="005834D3" w:rsidRPr="005834D3">
              <w:rPr>
                <w:rFonts w:ascii="Times New Roman" w:hAnsi="Times New Roman" w:cs="Times New Roman"/>
                <w:sz w:val="20"/>
                <w:szCs w:val="20"/>
              </w:rPr>
              <w:t>Future R</w:t>
            </w:r>
            <w:r>
              <w:rPr>
                <w:rFonts w:ascii="Times New Roman" w:hAnsi="Times New Roman" w:cs="Times New Roman"/>
                <w:sz w:val="20"/>
                <w:szCs w:val="20"/>
              </w:rPr>
              <w:t>eform Using Primary Legislation</w:t>
            </w:r>
          </w:p>
        </w:tc>
        <w:tc>
          <w:tcPr>
            <w:tcW w:w="1843" w:type="dxa"/>
          </w:tcPr>
          <w:p w:rsidR="005834D3" w:rsidRDefault="00087672" w:rsidP="00B35920">
            <w:pPr>
              <w:rPr>
                <w:rFonts w:ascii="Times New Roman" w:hAnsi="Times New Roman" w:cs="Times New Roman"/>
                <w:sz w:val="20"/>
                <w:szCs w:val="20"/>
              </w:rPr>
            </w:pPr>
            <w:r>
              <w:rPr>
                <w:rFonts w:ascii="Times New Roman" w:hAnsi="Times New Roman" w:cs="Times New Roman"/>
                <w:sz w:val="20"/>
                <w:szCs w:val="20"/>
              </w:rPr>
              <w:t>September</w:t>
            </w:r>
            <w:r w:rsidR="005834D3">
              <w:rPr>
                <w:rFonts w:ascii="Times New Roman" w:hAnsi="Times New Roman" w:cs="Times New Roman"/>
                <w:sz w:val="20"/>
                <w:szCs w:val="20"/>
              </w:rPr>
              <w:t xml:space="preserve"> 2018</w:t>
            </w:r>
          </w:p>
        </w:tc>
        <w:tc>
          <w:tcPr>
            <w:tcW w:w="6978" w:type="dxa"/>
          </w:tcPr>
          <w:p w:rsidR="005834D3" w:rsidRDefault="00DE37EA" w:rsidP="00B35920">
            <w:pPr>
              <w:rPr>
                <w:rFonts w:ascii="Times New Roman" w:hAnsi="Times New Roman" w:cs="Times New Roman"/>
                <w:sz w:val="20"/>
                <w:szCs w:val="20"/>
              </w:rPr>
            </w:pPr>
            <w:r>
              <w:rPr>
                <w:rFonts w:ascii="Times New Roman" w:hAnsi="Times New Roman" w:cs="Times New Roman"/>
                <w:sz w:val="20"/>
                <w:szCs w:val="20"/>
              </w:rPr>
              <w:t>Two papers will be presented by DCLG. The first will outline a proposed overall package, drawing together the previous papers</w:t>
            </w:r>
            <w:r w:rsidR="00A054B1">
              <w:rPr>
                <w:rFonts w:ascii="Times New Roman" w:hAnsi="Times New Roman" w:cs="Times New Roman"/>
                <w:sz w:val="20"/>
                <w:szCs w:val="20"/>
              </w:rPr>
              <w:t>, and responses to them,</w:t>
            </w:r>
            <w:r>
              <w:rPr>
                <w:rFonts w:ascii="Times New Roman" w:hAnsi="Times New Roman" w:cs="Times New Roman"/>
                <w:sz w:val="20"/>
                <w:szCs w:val="20"/>
              </w:rPr>
              <w:t xml:space="preserve"> on individual elements of the system.</w:t>
            </w:r>
            <w:r w:rsidR="00A054B1">
              <w:rPr>
                <w:rFonts w:ascii="Times New Roman" w:hAnsi="Times New Roman" w:cs="Times New Roman"/>
                <w:sz w:val="20"/>
                <w:szCs w:val="20"/>
              </w:rPr>
              <w:t xml:space="preserve"> The second will consider </w:t>
            </w:r>
            <w:r w:rsidR="00892FB9">
              <w:rPr>
                <w:rFonts w:ascii="Times New Roman" w:hAnsi="Times New Roman" w:cs="Times New Roman"/>
                <w:sz w:val="20"/>
                <w:szCs w:val="20"/>
              </w:rPr>
              <w:t xml:space="preserve">what long term reforms, requiring primary legislation, would be beneficial. </w:t>
            </w:r>
          </w:p>
        </w:tc>
      </w:tr>
    </w:tbl>
    <w:p w:rsidR="00B35920" w:rsidRDefault="00CC26BF" w:rsidP="00B35920">
      <w:pPr>
        <w:spacing w:line="240" w:lineRule="auto"/>
        <w:rPr>
          <w:rFonts w:ascii="Times New Roman" w:hAnsi="Times New Roman" w:cs="Times New Roman"/>
          <w:b/>
          <w:color w:val="009999"/>
          <w:sz w:val="28"/>
          <w:szCs w:val="28"/>
        </w:rPr>
      </w:pPr>
      <w:r>
        <w:rPr>
          <w:rFonts w:ascii="Times New Roman" w:hAnsi="Times New Roman" w:cs="Times New Roman"/>
          <w:b/>
          <w:color w:val="009999"/>
          <w:sz w:val="28"/>
          <w:szCs w:val="28"/>
        </w:rPr>
        <w:lastRenderedPageBreak/>
        <w:t xml:space="preserve">Annex C: Proposed Papers for the </w:t>
      </w:r>
      <w:r w:rsidRPr="00CC26BF">
        <w:rPr>
          <w:rFonts w:ascii="Times New Roman" w:hAnsi="Times New Roman" w:cs="Times New Roman"/>
          <w:b/>
          <w:color w:val="009999"/>
          <w:sz w:val="28"/>
          <w:szCs w:val="28"/>
        </w:rPr>
        <w:t>Sub Group</w:t>
      </w:r>
    </w:p>
    <w:tbl>
      <w:tblPr>
        <w:tblStyle w:val="TableGrid"/>
        <w:tblW w:w="0" w:type="auto"/>
        <w:tblLook w:val="04A0" w:firstRow="1" w:lastRow="0" w:firstColumn="1" w:lastColumn="0" w:noHBand="0" w:noVBand="1"/>
      </w:tblPr>
      <w:tblGrid>
        <w:gridCol w:w="316"/>
        <w:gridCol w:w="5037"/>
        <w:gridCol w:w="1843"/>
        <w:gridCol w:w="6978"/>
      </w:tblGrid>
      <w:tr w:rsidR="00CC26BF" w:rsidRPr="00D11D79" w:rsidTr="00880E5A">
        <w:tc>
          <w:tcPr>
            <w:tcW w:w="316" w:type="dxa"/>
          </w:tcPr>
          <w:p w:rsidR="00CC26BF" w:rsidRPr="00D11D79" w:rsidRDefault="00CC26BF" w:rsidP="00880E5A">
            <w:pPr>
              <w:rPr>
                <w:rFonts w:ascii="Times New Roman" w:hAnsi="Times New Roman" w:cs="Times New Roman"/>
                <w:b/>
                <w:sz w:val="20"/>
                <w:szCs w:val="20"/>
              </w:rPr>
            </w:pPr>
          </w:p>
        </w:tc>
        <w:tc>
          <w:tcPr>
            <w:tcW w:w="5037" w:type="dxa"/>
          </w:tcPr>
          <w:p w:rsidR="00CC26BF" w:rsidRPr="00D11D79" w:rsidRDefault="00CC26BF" w:rsidP="00880E5A">
            <w:pPr>
              <w:rPr>
                <w:rFonts w:ascii="Times New Roman" w:hAnsi="Times New Roman" w:cs="Times New Roman"/>
                <w:b/>
                <w:sz w:val="20"/>
                <w:szCs w:val="20"/>
              </w:rPr>
            </w:pPr>
            <w:r w:rsidRPr="00D11D79">
              <w:rPr>
                <w:rFonts w:ascii="Times New Roman" w:hAnsi="Times New Roman" w:cs="Times New Roman"/>
                <w:b/>
                <w:sz w:val="20"/>
                <w:szCs w:val="20"/>
              </w:rPr>
              <w:t>Paper</w:t>
            </w:r>
          </w:p>
        </w:tc>
        <w:tc>
          <w:tcPr>
            <w:tcW w:w="1843" w:type="dxa"/>
          </w:tcPr>
          <w:p w:rsidR="00CC26BF" w:rsidRPr="00D11D79" w:rsidRDefault="00CC26BF" w:rsidP="00880E5A">
            <w:pPr>
              <w:rPr>
                <w:rFonts w:ascii="Times New Roman" w:hAnsi="Times New Roman" w:cs="Times New Roman"/>
                <w:b/>
                <w:sz w:val="20"/>
                <w:szCs w:val="20"/>
              </w:rPr>
            </w:pPr>
            <w:r w:rsidRPr="00D11D79">
              <w:rPr>
                <w:rFonts w:ascii="Times New Roman" w:hAnsi="Times New Roman" w:cs="Times New Roman"/>
                <w:b/>
                <w:sz w:val="20"/>
                <w:szCs w:val="20"/>
              </w:rPr>
              <w:t>Date</w:t>
            </w:r>
          </w:p>
        </w:tc>
        <w:tc>
          <w:tcPr>
            <w:tcW w:w="6978" w:type="dxa"/>
          </w:tcPr>
          <w:p w:rsidR="00CC26BF" w:rsidRPr="00D11D79" w:rsidRDefault="00CC26BF" w:rsidP="00880E5A">
            <w:pPr>
              <w:rPr>
                <w:rFonts w:ascii="Times New Roman" w:hAnsi="Times New Roman" w:cs="Times New Roman"/>
                <w:b/>
                <w:sz w:val="20"/>
                <w:szCs w:val="20"/>
              </w:rPr>
            </w:pPr>
            <w:r w:rsidRPr="00D11D79">
              <w:rPr>
                <w:rFonts w:ascii="Times New Roman" w:hAnsi="Times New Roman" w:cs="Times New Roman"/>
                <w:b/>
                <w:sz w:val="20"/>
                <w:szCs w:val="20"/>
              </w:rPr>
              <w:t>Considerations</w:t>
            </w:r>
          </w:p>
        </w:tc>
      </w:tr>
      <w:tr w:rsidR="00CC26BF" w:rsidRPr="00D11D79" w:rsidTr="00880E5A">
        <w:tc>
          <w:tcPr>
            <w:tcW w:w="316" w:type="dxa"/>
          </w:tcPr>
          <w:p w:rsidR="00CC26BF" w:rsidRPr="00CC26BF" w:rsidRDefault="00CC26BF" w:rsidP="00880E5A">
            <w:pPr>
              <w:rPr>
                <w:rFonts w:ascii="Times New Roman" w:hAnsi="Times New Roman" w:cs="Times New Roman"/>
                <w:sz w:val="20"/>
                <w:szCs w:val="20"/>
              </w:rPr>
            </w:pPr>
            <w:r w:rsidRPr="00CC26BF">
              <w:rPr>
                <w:rFonts w:ascii="Times New Roman" w:hAnsi="Times New Roman" w:cs="Times New Roman"/>
                <w:sz w:val="20"/>
                <w:szCs w:val="20"/>
              </w:rPr>
              <w:t>1</w:t>
            </w:r>
          </w:p>
        </w:tc>
        <w:tc>
          <w:tcPr>
            <w:tcW w:w="5037" w:type="dxa"/>
          </w:tcPr>
          <w:p w:rsidR="00CC26BF" w:rsidRPr="00CC26BF" w:rsidRDefault="00DE162A" w:rsidP="00880E5A">
            <w:pPr>
              <w:rPr>
                <w:rFonts w:ascii="Times New Roman" w:hAnsi="Times New Roman" w:cs="Times New Roman"/>
                <w:sz w:val="20"/>
                <w:szCs w:val="20"/>
              </w:rPr>
            </w:pPr>
            <w:r>
              <w:rPr>
                <w:rFonts w:ascii="Times New Roman" w:hAnsi="Times New Roman" w:cs="Times New Roman"/>
                <w:sz w:val="20"/>
                <w:szCs w:val="20"/>
              </w:rPr>
              <w:t xml:space="preserve">Pilots </w:t>
            </w:r>
            <w:r w:rsidR="00CC26BF" w:rsidRPr="00CC26BF">
              <w:rPr>
                <w:rFonts w:ascii="Times New Roman" w:hAnsi="Times New Roman" w:cs="Times New Roman"/>
                <w:sz w:val="20"/>
                <w:szCs w:val="20"/>
              </w:rPr>
              <w:t>accounting and IT systems transition</w:t>
            </w:r>
          </w:p>
        </w:tc>
        <w:tc>
          <w:tcPr>
            <w:tcW w:w="1843" w:type="dxa"/>
          </w:tcPr>
          <w:p w:rsidR="00CC26BF" w:rsidRPr="00CC26BF" w:rsidRDefault="00CC26BF" w:rsidP="00880E5A">
            <w:pPr>
              <w:rPr>
                <w:rFonts w:ascii="Times New Roman" w:hAnsi="Times New Roman" w:cs="Times New Roman"/>
                <w:sz w:val="20"/>
                <w:szCs w:val="20"/>
              </w:rPr>
            </w:pPr>
            <w:r w:rsidRPr="00CC26BF">
              <w:rPr>
                <w:rFonts w:ascii="Times New Roman" w:hAnsi="Times New Roman" w:cs="Times New Roman"/>
                <w:sz w:val="20"/>
                <w:szCs w:val="20"/>
              </w:rPr>
              <w:t>March</w:t>
            </w:r>
            <w:r w:rsidR="00DE162A">
              <w:rPr>
                <w:rFonts w:ascii="Times New Roman" w:hAnsi="Times New Roman" w:cs="Times New Roman"/>
                <w:sz w:val="20"/>
                <w:szCs w:val="20"/>
              </w:rPr>
              <w:t xml:space="preserve"> 2018</w:t>
            </w:r>
          </w:p>
        </w:tc>
        <w:tc>
          <w:tcPr>
            <w:tcW w:w="6978" w:type="dxa"/>
          </w:tcPr>
          <w:p w:rsidR="00CC26BF" w:rsidRPr="00D11D79" w:rsidRDefault="00CC26BF" w:rsidP="00880E5A">
            <w:pPr>
              <w:rPr>
                <w:rFonts w:ascii="Times New Roman" w:hAnsi="Times New Roman" w:cs="Times New Roman"/>
                <w:b/>
                <w:sz w:val="20"/>
                <w:szCs w:val="20"/>
              </w:rPr>
            </w:pPr>
          </w:p>
        </w:tc>
      </w:tr>
      <w:tr w:rsidR="00CC26BF" w:rsidRPr="00D11D79" w:rsidTr="00880E5A">
        <w:tc>
          <w:tcPr>
            <w:tcW w:w="316" w:type="dxa"/>
          </w:tcPr>
          <w:p w:rsidR="00CC26BF" w:rsidRPr="00CC26BF" w:rsidRDefault="00CC26BF" w:rsidP="00880E5A">
            <w:pPr>
              <w:rPr>
                <w:rFonts w:ascii="Times New Roman" w:hAnsi="Times New Roman" w:cs="Times New Roman"/>
                <w:sz w:val="20"/>
                <w:szCs w:val="20"/>
              </w:rPr>
            </w:pPr>
            <w:r w:rsidRPr="00CC26BF">
              <w:rPr>
                <w:rFonts w:ascii="Times New Roman" w:hAnsi="Times New Roman" w:cs="Times New Roman"/>
                <w:sz w:val="20"/>
                <w:szCs w:val="20"/>
              </w:rPr>
              <w:t>2</w:t>
            </w:r>
          </w:p>
        </w:tc>
        <w:tc>
          <w:tcPr>
            <w:tcW w:w="5037" w:type="dxa"/>
          </w:tcPr>
          <w:p w:rsidR="00CC26BF" w:rsidRPr="00CC26BF" w:rsidRDefault="00CC26BF" w:rsidP="00880E5A">
            <w:pPr>
              <w:rPr>
                <w:rFonts w:ascii="Times New Roman" w:hAnsi="Times New Roman" w:cs="Times New Roman"/>
                <w:sz w:val="20"/>
                <w:szCs w:val="20"/>
              </w:rPr>
            </w:pPr>
            <w:r w:rsidRPr="00CC26BF">
              <w:rPr>
                <w:rFonts w:ascii="Times New Roman" w:hAnsi="Times New Roman" w:cs="Times New Roman"/>
                <w:sz w:val="20"/>
                <w:szCs w:val="20"/>
              </w:rPr>
              <w:t>Top Slice pt I</w:t>
            </w:r>
          </w:p>
        </w:tc>
        <w:tc>
          <w:tcPr>
            <w:tcW w:w="1843" w:type="dxa"/>
          </w:tcPr>
          <w:p w:rsidR="00CC26BF" w:rsidRPr="00CC26BF" w:rsidRDefault="00CC26BF" w:rsidP="00880E5A">
            <w:pPr>
              <w:rPr>
                <w:rFonts w:ascii="Times New Roman" w:hAnsi="Times New Roman" w:cs="Times New Roman"/>
                <w:sz w:val="20"/>
                <w:szCs w:val="20"/>
              </w:rPr>
            </w:pPr>
            <w:r w:rsidRPr="00CC26BF">
              <w:rPr>
                <w:rFonts w:ascii="Times New Roman" w:hAnsi="Times New Roman" w:cs="Times New Roman"/>
                <w:sz w:val="20"/>
                <w:szCs w:val="20"/>
              </w:rPr>
              <w:t>April</w:t>
            </w:r>
            <w:r w:rsidR="00DE162A">
              <w:rPr>
                <w:rFonts w:ascii="Times New Roman" w:hAnsi="Times New Roman" w:cs="Times New Roman"/>
                <w:sz w:val="20"/>
                <w:szCs w:val="20"/>
              </w:rPr>
              <w:t xml:space="preserve"> 2018</w:t>
            </w:r>
          </w:p>
        </w:tc>
        <w:tc>
          <w:tcPr>
            <w:tcW w:w="6978" w:type="dxa"/>
          </w:tcPr>
          <w:p w:rsidR="00CC26BF" w:rsidRPr="00D11D79" w:rsidRDefault="00CC26BF" w:rsidP="00880E5A">
            <w:pPr>
              <w:rPr>
                <w:rFonts w:ascii="Times New Roman" w:hAnsi="Times New Roman" w:cs="Times New Roman"/>
                <w:b/>
                <w:sz w:val="20"/>
                <w:szCs w:val="20"/>
              </w:rPr>
            </w:pPr>
          </w:p>
        </w:tc>
      </w:tr>
      <w:tr w:rsidR="00CC26BF" w:rsidRPr="00D11D79" w:rsidTr="00880E5A">
        <w:tc>
          <w:tcPr>
            <w:tcW w:w="316" w:type="dxa"/>
          </w:tcPr>
          <w:p w:rsidR="00CC26BF" w:rsidRPr="00CC26BF" w:rsidRDefault="00CC26BF" w:rsidP="00880E5A">
            <w:pPr>
              <w:rPr>
                <w:rFonts w:ascii="Times New Roman" w:hAnsi="Times New Roman" w:cs="Times New Roman"/>
                <w:sz w:val="20"/>
                <w:szCs w:val="20"/>
              </w:rPr>
            </w:pPr>
            <w:r w:rsidRPr="00CC26BF">
              <w:rPr>
                <w:rFonts w:ascii="Times New Roman" w:hAnsi="Times New Roman" w:cs="Times New Roman"/>
                <w:sz w:val="20"/>
                <w:szCs w:val="20"/>
              </w:rPr>
              <w:t>3</w:t>
            </w:r>
          </w:p>
        </w:tc>
        <w:tc>
          <w:tcPr>
            <w:tcW w:w="5037" w:type="dxa"/>
          </w:tcPr>
          <w:p w:rsidR="00CC26BF" w:rsidRPr="00CC26BF" w:rsidRDefault="00CC26BF" w:rsidP="00880E5A">
            <w:pPr>
              <w:rPr>
                <w:rFonts w:ascii="Times New Roman" w:hAnsi="Times New Roman" w:cs="Times New Roman"/>
                <w:sz w:val="20"/>
                <w:szCs w:val="20"/>
              </w:rPr>
            </w:pPr>
            <w:r w:rsidRPr="00CC26BF">
              <w:rPr>
                <w:rFonts w:ascii="Times New Roman" w:hAnsi="Times New Roman" w:cs="Times New Roman"/>
                <w:sz w:val="20"/>
                <w:szCs w:val="20"/>
              </w:rPr>
              <w:t>2020 Reset and Establishing BRB</w:t>
            </w:r>
          </w:p>
        </w:tc>
        <w:tc>
          <w:tcPr>
            <w:tcW w:w="1843" w:type="dxa"/>
          </w:tcPr>
          <w:p w:rsidR="00CC26BF" w:rsidRPr="00CC26BF" w:rsidRDefault="00CC26BF" w:rsidP="00880E5A">
            <w:pPr>
              <w:rPr>
                <w:rFonts w:ascii="Times New Roman" w:hAnsi="Times New Roman" w:cs="Times New Roman"/>
                <w:sz w:val="20"/>
                <w:szCs w:val="20"/>
              </w:rPr>
            </w:pPr>
            <w:r w:rsidRPr="00CC26BF">
              <w:rPr>
                <w:rFonts w:ascii="Times New Roman" w:hAnsi="Times New Roman" w:cs="Times New Roman"/>
                <w:sz w:val="20"/>
                <w:szCs w:val="20"/>
              </w:rPr>
              <w:t>June</w:t>
            </w:r>
            <w:r w:rsidR="00DE162A">
              <w:rPr>
                <w:rFonts w:ascii="Times New Roman" w:hAnsi="Times New Roman" w:cs="Times New Roman"/>
                <w:sz w:val="20"/>
                <w:szCs w:val="20"/>
              </w:rPr>
              <w:t xml:space="preserve"> 2018</w:t>
            </w:r>
          </w:p>
        </w:tc>
        <w:tc>
          <w:tcPr>
            <w:tcW w:w="6978" w:type="dxa"/>
          </w:tcPr>
          <w:p w:rsidR="00CC26BF" w:rsidRPr="00D11D79" w:rsidRDefault="00CC26BF" w:rsidP="00880E5A">
            <w:pPr>
              <w:rPr>
                <w:rFonts w:ascii="Times New Roman" w:hAnsi="Times New Roman" w:cs="Times New Roman"/>
                <w:b/>
                <w:sz w:val="20"/>
                <w:szCs w:val="20"/>
              </w:rPr>
            </w:pPr>
          </w:p>
        </w:tc>
      </w:tr>
      <w:tr w:rsidR="00CC26BF" w:rsidRPr="00D11D79" w:rsidTr="00880E5A">
        <w:tc>
          <w:tcPr>
            <w:tcW w:w="316" w:type="dxa"/>
          </w:tcPr>
          <w:p w:rsidR="00CC26BF" w:rsidRPr="00CC26BF" w:rsidRDefault="00CC26BF" w:rsidP="00880E5A">
            <w:pPr>
              <w:rPr>
                <w:rFonts w:ascii="Times New Roman" w:hAnsi="Times New Roman" w:cs="Times New Roman"/>
                <w:sz w:val="20"/>
                <w:szCs w:val="20"/>
              </w:rPr>
            </w:pPr>
            <w:r w:rsidRPr="00CC26BF">
              <w:rPr>
                <w:rFonts w:ascii="Times New Roman" w:hAnsi="Times New Roman" w:cs="Times New Roman"/>
                <w:sz w:val="20"/>
                <w:szCs w:val="20"/>
              </w:rPr>
              <w:t>4</w:t>
            </w:r>
          </w:p>
        </w:tc>
        <w:tc>
          <w:tcPr>
            <w:tcW w:w="5037" w:type="dxa"/>
          </w:tcPr>
          <w:p w:rsidR="00CC26BF" w:rsidRPr="00CC26BF" w:rsidRDefault="00CC26BF" w:rsidP="00880E5A">
            <w:pPr>
              <w:rPr>
                <w:rFonts w:ascii="Times New Roman" w:hAnsi="Times New Roman" w:cs="Times New Roman"/>
                <w:sz w:val="20"/>
                <w:szCs w:val="20"/>
              </w:rPr>
            </w:pPr>
            <w:r w:rsidRPr="00CC26BF">
              <w:rPr>
                <w:rFonts w:ascii="Times New Roman" w:hAnsi="Times New Roman" w:cs="Times New Roman"/>
                <w:sz w:val="20"/>
                <w:szCs w:val="20"/>
              </w:rPr>
              <w:t>Top Slice pt II</w:t>
            </w:r>
          </w:p>
        </w:tc>
        <w:tc>
          <w:tcPr>
            <w:tcW w:w="1843" w:type="dxa"/>
          </w:tcPr>
          <w:p w:rsidR="00CC26BF" w:rsidRPr="00CC26BF" w:rsidRDefault="00CC26BF" w:rsidP="00880E5A">
            <w:pPr>
              <w:rPr>
                <w:rFonts w:ascii="Times New Roman" w:hAnsi="Times New Roman" w:cs="Times New Roman"/>
                <w:sz w:val="20"/>
                <w:szCs w:val="20"/>
              </w:rPr>
            </w:pPr>
            <w:r w:rsidRPr="00CC26BF">
              <w:rPr>
                <w:rFonts w:ascii="Times New Roman" w:hAnsi="Times New Roman" w:cs="Times New Roman"/>
                <w:sz w:val="20"/>
                <w:szCs w:val="20"/>
              </w:rPr>
              <w:t>July</w:t>
            </w:r>
            <w:r w:rsidR="00DE162A">
              <w:rPr>
                <w:rFonts w:ascii="Times New Roman" w:hAnsi="Times New Roman" w:cs="Times New Roman"/>
                <w:sz w:val="20"/>
                <w:szCs w:val="20"/>
              </w:rPr>
              <w:t xml:space="preserve"> 2018</w:t>
            </w:r>
          </w:p>
        </w:tc>
        <w:tc>
          <w:tcPr>
            <w:tcW w:w="6978" w:type="dxa"/>
          </w:tcPr>
          <w:p w:rsidR="00CC26BF" w:rsidRPr="00D11D79" w:rsidRDefault="00CC26BF" w:rsidP="00880E5A">
            <w:pPr>
              <w:rPr>
                <w:rFonts w:ascii="Times New Roman" w:hAnsi="Times New Roman" w:cs="Times New Roman"/>
                <w:b/>
                <w:sz w:val="20"/>
                <w:szCs w:val="20"/>
              </w:rPr>
            </w:pPr>
          </w:p>
        </w:tc>
      </w:tr>
      <w:tr w:rsidR="00CC26BF" w:rsidRPr="00D11D79" w:rsidTr="00880E5A">
        <w:tc>
          <w:tcPr>
            <w:tcW w:w="316" w:type="dxa"/>
          </w:tcPr>
          <w:p w:rsidR="00CC26BF" w:rsidRPr="00CC26BF" w:rsidRDefault="00CC26BF" w:rsidP="00880E5A">
            <w:pPr>
              <w:rPr>
                <w:rFonts w:ascii="Times New Roman" w:hAnsi="Times New Roman" w:cs="Times New Roman"/>
                <w:sz w:val="20"/>
                <w:szCs w:val="20"/>
              </w:rPr>
            </w:pPr>
            <w:r w:rsidRPr="00CC26BF">
              <w:rPr>
                <w:rFonts w:ascii="Times New Roman" w:hAnsi="Times New Roman" w:cs="Times New Roman"/>
                <w:sz w:val="20"/>
                <w:szCs w:val="20"/>
              </w:rPr>
              <w:t>5</w:t>
            </w:r>
          </w:p>
        </w:tc>
        <w:tc>
          <w:tcPr>
            <w:tcW w:w="5037" w:type="dxa"/>
          </w:tcPr>
          <w:p w:rsidR="00CC26BF" w:rsidRPr="00CC26BF" w:rsidRDefault="00CC26BF" w:rsidP="00880E5A">
            <w:pPr>
              <w:rPr>
                <w:rFonts w:ascii="Times New Roman" w:hAnsi="Times New Roman" w:cs="Times New Roman"/>
                <w:sz w:val="20"/>
                <w:szCs w:val="20"/>
              </w:rPr>
            </w:pPr>
            <w:r w:rsidRPr="00CC26BF">
              <w:rPr>
                <w:rFonts w:ascii="Times New Roman" w:hAnsi="Times New Roman" w:cs="Times New Roman"/>
                <w:sz w:val="20"/>
                <w:szCs w:val="20"/>
              </w:rPr>
              <w:t>Redesign of NNDRs</w:t>
            </w:r>
          </w:p>
        </w:tc>
        <w:tc>
          <w:tcPr>
            <w:tcW w:w="1843" w:type="dxa"/>
          </w:tcPr>
          <w:p w:rsidR="00CC26BF" w:rsidRPr="00CC26BF" w:rsidRDefault="00DE162A" w:rsidP="00880E5A">
            <w:pPr>
              <w:rPr>
                <w:rFonts w:ascii="Times New Roman" w:hAnsi="Times New Roman" w:cs="Times New Roman"/>
                <w:sz w:val="20"/>
                <w:szCs w:val="20"/>
              </w:rPr>
            </w:pPr>
            <w:r>
              <w:rPr>
                <w:rFonts w:ascii="Times New Roman" w:hAnsi="Times New Roman" w:cs="Times New Roman"/>
                <w:sz w:val="20"/>
                <w:szCs w:val="20"/>
              </w:rPr>
              <w:t>November 2018</w:t>
            </w:r>
          </w:p>
        </w:tc>
        <w:tc>
          <w:tcPr>
            <w:tcW w:w="6978" w:type="dxa"/>
          </w:tcPr>
          <w:p w:rsidR="00CC26BF" w:rsidRPr="00D11D79" w:rsidRDefault="00CC26BF" w:rsidP="00880E5A">
            <w:pPr>
              <w:rPr>
                <w:rFonts w:ascii="Times New Roman" w:hAnsi="Times New Roman" w:cs="Times New Roman"/>
                <w:b/>
                <w:sz w:val="20"/>
                <w:szCs w:val="20"/>
              </w:rPr>
            </w:pPr>
          </w:p>
        </w:tc>
      </w:tr>
      <w:tr w:rsidR="00CC26BF" w:rsidRPr="00D11D79" w:rsidTr="00880E5A">
        <w:tc>
          <w:tcPr>
            <w:tcW w:w="316" w:type="dxa"/>
          </w:tcPr>
          <w:p w:rsidR="00CC26BF" w:rsidRPr="00CC26BF" w:rsidRDefault="00CC26BF" w:rsidP="00880E5A">
            <w:pPr>
              <w:rPr>
                <w:rFonts w:ascii="Times New Roman" w:hAnsi="Times New Roman" w:cs="Times New Roman"/>
                <w:sz w:val="20"/>
                <w:szCs w:val="20"/>
              </w:rPr>
            </w:pPr>
            <w:r w:rsidRPr="00CC26BF">
              <w:rPr>
                <w:rFonts w:ascii="Times New Roman" w:hAnsi="Times New Roman" w:cs="Times New Roman"/>
                <w:sz w:val="20"/>
                <w:szCs w:val="20"/>
              </w:rPr>
              <w:t>6</w:t>
            </w:r>
          </w:p>
        </w:tc>
        <w:tc>
          <w:tcPr>
            <w:tcW w:w="5037" w:type="dxa"/>
          </w:tcPr>
          <w:p w:rsidR="00CC26BF" w:rsidRPr="00DE162A" w:rsidRDefault="00DE162A" w:rsidP="00880E5A">
            <w:pPr>
              <w:rPr>
                <w:rFonts w:ascii="Times New Roman" w:hAnsi="Times New Roman" w:cs="Times New Roman"/>
                <w:sz w:val="20"/>
                <w:szCs w:val="20"/>
              </w:rPr>
            </w:pPr>
            <w:r w:rsidRPr="00DE162A">
              <w:rPr>
                <w:rFonts w:ascii="Times New Roman" w:hAnsi="Times New Roman" w:cs="Times New Roman"/>
                <w:sz w:val="20"/>
                <w:szCs w:val="20"/>
              </w:rPr>
              <w:t xml:space="preserve">Data, Accounting and </w:t>
            </w:r>
            <w:r w:rsidR="006564AE" w:rsidRPr="00DE162A">
              <w:rPr>
                <w:rFonts w:ascii="Times New Roman" w:hAnsi="Times New Roman" w:cs="Times New Roman"/>
                <w:sz w:val="20"/>
                <w:szCs w:val="20"/>
              </w:rPr>
              <w:t>Operationalization</w:t>
            </w:r>
          </w:p>
        </w:tc>
        <w:tc>
          <w:tcPr>
            <w:tcW w:w="1843" w:type="dxa"/>
          </w:tcPr>
          <w:p w:rsidR="00CC26BF" w:rsidRPr="00CC26BF" w:rsidRDefault="00DE162A" w:rsidP="00880E5A">
            <w:pPr>
              <w:rPr>
                <w:rFonts w:ascii="Times New Roman" w:hAnsi="Times New Roman" w:cs="Times New Roman"/>
                <w:sz w:val="20"/>
                <w:szCs w:val="20"/>
              </w:rPr>
            </w:pPr>
            <w:r>
              <w:rPr>
                <w:rFonts w:ascii="Times New Roman" w:hAnsi="Times New Roman" w:cs="Times New Roman"/>
                <w:sz w:val="20"/>
                <w:szCs w:val="20"/>
              </w:rPr>
              <w:t>April 2019</w:t>
            </w:r>
          </w:p>
        </w:tc>
        <w:tc>
          <w:tcPr>
            <w:tcW w:w="6978" w:type="dxa"/>
          </w:tcPr>
          <w:p w:rsidR="00CC26BF" w:rsidRPr="00D11D79" w:rsidRDefault="00CC26BF" w:rsidP="00880E5A">
            <w:pPr>
              <w:rPr>
                <w:rFonts w:ascii="Times New Roman" w:hAnsi="Times New Roman" w:cs="Times New Roman"/>
                <w:b/>
                <w:sz w:val="20"/>
                <w:szCs w:val="20"/>
              </w:rPr>
            </w:pPr>
          </w:p>
        </w:tc>
      </w:tr>
    </w:tbl>
    <w:p w:rsidR="00CC26BF" w:rsidRPr="00B35920" w:rsidRDefault="00CC26BF" w:rsidP="00B35920">
      <w:pPr>
        <w:spacing w:line="240" w:lineRule="auto"/>
        <w:rPr>
          <w:rFonts w:ascii="Times New Roman" w:hAnsi="Times New Roman" w:cs="Times New Roman"/>
          <w:sz w:val="20"/>
          <w:szCs w:val="20"/>
        </w:rPr>
      </w:pPr>
    </w:p>
    <w:sectPr w:rsidR="00CC26BF" w:rsidRPr="00B35920" w:rsidSect="00D11D7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BCF" w:rsidRDefault="00384BCF" w:rsidP="00056850">
      <w:pPr>
        <w:spacing w:after="0" w:line="240" w:lineRule="auto"/>
      </w:pPr>
      <w:r>
        <w:separator/>
      </w:r>
    </w:p>
  </w:endnote>
  <w:endnote w:type="continuationSeparator" w:id="0">
    <w:p w:rsidR="00384BCF" w:rsidRDefault="00384BCF" w:rsidP="00056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50" w:rsidRDefault="000568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50" w:rsidRDefault="000568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50" w:rsidRDefault="00056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BCF" w:rsidRDefault="00384BCF" w:rsidP="00056850">
      <w:pPr>
        <w:spacing w:after="0" w:line="240" w:lineRule="auto"/>
      </w:pPr>
      <w:r>
        <w:separator/>
      </w:r>
    </w:p>
  </w:footnote>
  <w:footnote w:type="continuationSeparator" w:id="0">
    <w:p w:rsidR="00384BCF" w:rsidRDefault="00384BCF" w:rsidP="00056850">
      <w:pPr>
        <w:spacing w:after="0" w:line="240" w:lineRule="auto"/>
      </w:pPr>
      <w:r>
        <w:continuationSeparator/>
      </w:r>
    </w:p>
  </w:footnote>
  <w:footnote w:id="1">
    <w:p w:rsidR="008E2317" w:rsidRDefault="008E2317">
      <w:pPr>
        <w:pStyle w:val="FootnoteText"/>
      </w:pPr>
      <w:r>
        <w:rPr>
          <w:rStyle w:val="FootnoteReference"/>
        </w:rPr>
        <w:footnoteRef/>
      </w:r>
      <w:r>
        <w:t xml:space="preserve"> Edited to add further topics that the group will need to cover.</w:t>
      </w:r>
    </w:p>
  </w:footnote>
  <w:footnote w:id="2">
    <w:p w:rsidR="00916522" w:rsidRDefault="00916522">
      <w:pPr>
        <w:pStyle w:val="FootnoteText"/>
      </w:pPr>
      <w:r>
        <w:rPr>
          <w:rStyle w:val="FootnoteReference"/>
        </w:rPr>
        <w:footnoteRef/>
      </w:r>
      <w:r w:rsidRPr="00916522">
        <w:rPr>
          <w:rFonts w:ascii="Times New Roman" w:hAnsi="Times New Roman" w:cs="Times New Roman"/>
        </w:rPr>
        <w:t xml:space="preserve"> Data, accounting and operationalization will now be considered later to allow for the Technical Transition and Operationalization Sub Group to consider these issues and report back.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50" w:rsidRDefault="000568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50" w:rsidRDefault="000568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50" w:rsidRDefault="000568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E30"/>
    <w:multiLevelType w:val="hybridMultilevel"/>
    <w:tmpl w:val="60C499C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80C61A2"/>
    <w:multiLevelType w:val="hybridMultilevel"/>
    <w:tmpl w:val="AF283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6F477E"/>
    <w:multiLevelType w:val="hybridMultilevel"/>
    <w:tmpl w:val="CAEEC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6246C0"/>
    <w:multiLevelType w:val="hybridMultilevel"/>
    <w:tmpl w:val="045221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37D084B"/>
    <w:multiLevelType w:val="hybridMultilevel"/>
    <w:tmpl w:val="90FA4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403B46"/>
    <w:multiLevelType w:val="hybridMultilevel"/>
    <w:tmpl w:val="3EB893A6"/>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45674CCF"/>
    <w:multiLevelType w:val="hybridMultilevel"/>
    <w:tmpl w:val="E7AA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8A75A0"/>
    <w:multiLevelType w:val="hybridMultilevel"/>
    <w:tmpl w:val="39283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7623B33"/>
    <w:multiLevelType w:val="hybridMultilevel"/>
    <w:tmpl w:val="C08079D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5A73DE3"/>
    <w:multiLevelType w:val="hybridMultilevel"/>
    <w:tmpl w:val="FECC63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4A5F02"/>
    <w:multiLevelType w:val="hybridMultilevel"/>
    <w:tmpl w:val="3A703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C64257D"/>
    <w:multiLevelType w:val="hybridMultilevel"/>
    <w:tmpl w:val="52D0573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5E2D2C5D"/>
    <w:multiLevelType w:val="hybridMultilevel"/>
    <w:tmpl w:val="4F5AB88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61CE712F"/>
    <w:multiLevelType w:val="hybridMultilevel"/>
    <w:tmpl w:val="EAB60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6B461F7"/>
    <w:multiLevelType w:val="hybridMultilevel"/>
    <w:tmpl w:val="22069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7766F20"/>
    <w:multiLevelType w:val="hybridMultilevel"/>
    <w:tmpl w:val="E88AA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1034ECC"/>
    <w:multiLevelType w:val="hybridMultilevel"/>
    <w:tmpl w:val="6B566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9"/>
  </w:num>
  <w:num w:numId="4">
    <w:abstractNumId w:val="16"/>
  </w:num>
  <w:num w:numId="5">
    <w:abstractNumId w:val="2"/>
  </w:num>
  <w:num w:numId="6">
    <w:abstractNumId w:val="4"/>
  </w:num>
  <w:num w:numId="7">
    <w:abstractNumId w:val="14"/>
  </w:num>
  <w:num w:numId="8">
    <w:abstractNumId w:val="13"/>
  </w:num>
  <w:num w:numId="9">
    <w:abstractNumId w:val="15"/>
  </w:num>
  <w:num w:numId="10">
    <w:abstractNumId w:val="7"/>
  </w:num>
  <w:num w:numId="11">
    <w:abstractNumId w:val="8"/>
  </w:num>
  <w:num w:numId="12">
    <w:abstractNumId w:val="11"/>
  </w:num>
  <w:num w:numId="13">
    <w:abstractNumId w:val="3"/>
  </w:num>
  <w:num w:numId="14">
    <w:abstractNumId w:val="10"/>
  </w:num>
  <w:num w:numId="15">
    <w:abstractNumId w:val="12"/>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BF1"/>
    <w:rsid w:val="000540A2"/>
    <w:rsid w:val="00056850"/>
    <w:rsid w:val="00087672"/>
    <w:rsid w:val="00170EDE"/>
    <w:rsid w:val="00183432"/>
    <w:rsid w:val="001A540F"/>
    <w:rsid w:val="00203DE4"/>
    <w:rsid w:val="002A7085"/>
    <w:rsid w:val="002D0ED3"/>
    <w:rsid w:val="00336AAE"/>
    <w:rsid w:val="00357575"/>
    <w:rsid w:val="00366B60"/>
    <w:rsid w:val="00382E42"/>
    <w:rsid w:val="00384BCF"/>
    <w:rsid w:val="003A6312"/>
    <w:rsid w:val="003F2EC8"/>
    <w:rsid w:val="00484D24"/>
    <w:rsid w:val="0049219F"/>
    <w:rsid w:val="00500B3C"/>
    <w:rsid w:val="00544F35"/>
    <w:rsid w:val="005834D3"/>
    <w:rsid w:val="006564AE"/>
    <w:rsid w:val="006F5CC7"/>
    <w:rsid w:val="00703419"/>
    <w:rsid w:val="00786BF1"/>
    <w:rsid w:val="007F663A"/>
    <w:rsid w:val="0083337A"/>
    <w:rsid w:val="00840BAE"/>
    <w:rsid w:val="00892FB9"/>
    <w:rsid w:val="008A1239"/>
    <w:rsid w:val="008C65F1"/>
    <w:rsid w:val="008D3C63"/>
    <w:rsid w:val="008E18D2"/>
    <w:rsid w:val="008E2317"/>
    <w:rsid w:val="008F6B2B"/>
    <w:rsid w:val="00914946"/>
    <w:rsid w:val="00916522"/>
    <w:rsid w:val="0095792D"/>
    <w:rsid w:val="009A3DC4"/>
    <w:rsid w:val="009F4328"/>
    <w:rsid w:val="00A054B1"/>
    <w:rsid w:val="00A07453"/>
    <w:rsid w:val="00A2633C"/>
    <w:rsid w:val="00B35920"/>
    <w:rsid w:val="00B439DD"/>
    <w:rsid w:val="00B464FB"/>
    <w:rsid w:val="00B6045A"/>
    <w:rsid w:val="00BD73A3"/>
    <w:rsid w:val="00C678E7"/>
    <w:rsid w:val="00C76282"/>
    <w:rsid w:val="00CA6224"/>
    <w:rsid w:val="00CC26BF"/>
    <w:rsid w:val="00CF094E"/>
    <w:rsid w:val="00CF58D7"/>
    <w:rsid w:val="00D11D79"/>
    <w:rsid w:val="00D20B0A"/>
    <w:rsid w:val="00D22DD7"/>
    <w:rsid w:val="00D6662E"/>
    <w:rsid w:val="00D83FE6"/>
    <w:rsid w:val="00DE162A"/>
    <w:rsid w:val="00DE37EA"/>
    <w:rsid w:val="00DF10CA"/>
    <w:rsid w:val="00E44A9F"/>
    <w:rsid w:val="00E57FCC"/>
    <w:rsid w:val="00E92832"/>
    <w:rsid w:val="00FA2680"/>
    <w:rsid w:val="00FE23DE"/>
    <w:rsid w:val="00FF1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50"/>
  </w:style>
  <w:style w:type="paragraph" w:styleId="BalloonText">
    <w:name w:val="Balloon Text"/>
    <w:basedOn w:val="Normal"/>
    <w:link w:val="BalloonTextChar"/>
    <w:uiPriority w:val="99"/>
    <w:semiHidden/>
    <w:unhideWhenUsed/>
    <w:rsid w:val="00786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BF1"/>
    <w:rPr>
      <w:rFonts w:ascii="Tahoma" w:hAnsi="Tahoma" w:cs="Tahoma"/>
      <w:sz w:val="16"/>
      <w:szCs w:val="16"/>
    </w:rPr>
  </w:style>
  <w:style w:type="paragraph" w:styleId="ListParagraph">
    <w:name w:val="List Paragraph"/>
    <w:basedOn w:val="Normal"/>
    <w:uiPriority w:val="34"/>
    <w:qFormat/>
    <w:rsid w:val="00786BF1"/>
    <w:pPr>
      <w:ind w:left="720"/>
      <w:contextualSpacing/>
    </w:pPr>
  </w:style>
  <w:style w:type="table" w:styleId="TableGrid">
    <w:name w:val="Table Grid"/>
    <w:basedOn w:val="TableNormal"/>
    <w:uiPriority w:val="59"/>
    <w:rsid w:val="00D11D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165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6522"/>
    <w:rPr>
      <w:sz w:val="20"/>
      <w:szCs w:val="20"/>
    </w:rPr>
  </w:style>
  <w:style w:type="character" w:styleId="FootnoteReference">
    <w:name w:val="footnote reference"/>
    <w:basedOn w:val="DefaultParagraphFont"/>
    <w:uiPriority w:val="99"/>
    <w:semiHidden/>
    <w:unhideWhenUsed/>
    <w:rsid w:val="0091652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50"/>
  </w:style>
  <w:style w:type="paragraph" w:styleId="BalloonText">
    <w:name w:val="Balloon Text"/>
    <w:basedOn w:val="Normal"/>
    <w:link w:val="BalloonTextChar"/>
    <w:uiPriority w:val="99"/>
    <w:semiHidden/>
    <w:unhideWhenUsed/>
    <w:rsid w:val="00786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BF1"/>
    <w:rPr>
      <w:rFonts w:ascii="Tahoma" w:hAnsi="Tahoma" w:cs="Tahoma"/>
      <w:sz w:val="16"/>
      <w:szCs w:val="16"/>
    </w:rPr>
  </w:style>
  <w:style w:type="paragraph" w:styleId="ListParagraph">
    <w:name w:val="List Paragraph"/>
    <w:basedOn w:val="Normal"/>
    <w:uiPriority w:val="34"/>
    <w:qFormat/>
    <w:rsid w:val="00786BF1"/>
    <w:pPr>
      <w:ind w:left="720"/>
      <w:contextualSpacing/>
    </w:pPr>
  </w:style>
  <w:style w:type="table" w:styleId="TableGrid">
    <w:name w:val="Table Grid"/>
    <w:basedOn w:val="TableNormal"/>
    <w:uiPriority w:val="59"/>
    <w:rsid w:val="00D11D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165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6522"/>
    <w:rPr>
      <w:sz w:val="20"/>
      <w:szCs w:val="20"/>
    </w:rPr>
  </w:style>
  <w:style w:type="character" w:styleId="FootnoteReference">
    <w:name w:val="footnote reference"/>
    <w:basedOn w:val="DefaultParagraphFont"/>
    <w:uiPriority w:val="99"/>
    <w:semiHidden/>
    <w:unhideWhenUsed/>
    <w:rsid w:val="009165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B8B3E-A1B3-43BC-8F07-5E4D67A0273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191FBC9-42AB-414C-8E6F-11B4F644E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6</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APOWELL3</dc:creator>
  <cp:lastModifiedBy>astuart</cp:lastModifiedBy>
  <cp:revision>26</cp:revision>
  <dcterms:created xsi:type="dcterms:W3CDTF">2017-11-02T13:54:00Z</dcterms:created>
  <dcterms:modified xsi:type="dcterms:W3CDTF">2017-11-22T13:58:00Z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c0783217-8b89-44f3-98a6-c8ecbf64ba7b</vt:lpwstr>
  </property>
  <property fmtid="{D5CDD505-2E9C-101B-9397-08002B2CF9AE}" pid="3" name="bjDocumentSecurityLabel">
    <vt:lpwstr>No Marking</vt:lpwstr>
  </property>
  <property fmtid="{D5CDD505-2E9C-101B-9397-08002B2CF9AE}" pid="4" name="bjSaver">
    <vt:lpwstr>DDhiLJTcR6nXbSh+ZP27pTFysWVpTwYv</vt:lpwstr>
  </property>
</Properties>
</file>