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4D5D" w:rsidRPr="00074D5D" w:rsidRDefault="00074D5D" w:rsidP="00074D5D">
      <w:pPr>
        <w:pStyle w:val="Default"/>
        <w:spacing w:line="360" w:lineRule="auto"/>
        <w:rPr>
          <w:sz w:val="28"/>
          <w:szCs w:val="28"/>
        </w:rPr>
      </w:pPr>
    </w:p>
    <w:p w:rsidR="00074D5D" w:rsidRPr="00074D5D" w:rsidRDefault="00074D5D" w:rsidP="00074D5D">
      <w:pPr>
        <w:pStyle w:val="Default"/>
        <w:spacing w:line="360" w:lineRule="auto"/>
        <w:jc w:val="center"/>
        <w:rPr>
          <w:sz w:val="28"/>
          <w:szCs w:val="28"/>
        </w:rPr>
      </w:pPr>
      <w:r w:rsidRPr="00074D5D">
        <w:rPr>
          <w:b/>
          <w:bCs/>
          <w:sz w:val="28"/>
          <w:szCs w:val="28"/>
        </w:rPr>
        <w:t>100% Business Rates Retention Programme</w:t>
      </w:r>
    </w:p>
    <w:p w:rsidR="00074D5D" w:rsidRPr="00074D5D" w:rsidRDefault="00074D5D" w:rsidP="00074D5D">
      <w:pPr>
        <w:pStyle w:val="Default"/>
        <w:spacing w:line="360" w:lineRule="auto"/>
        <w:jc w:val="center"/>
        <w:rPr>
          <w:sz w:val="28"/>
          <w:szCs w:val="28"/>
        </w:rPr>
      </w:pPr>
      <w:r w:rsidRPr="00074D5D">
        <w:rPr>
          <w:b/>
          <w:sz w:val="28"/>
          <w:szCs w:val="28"/>
        </w:rPr>
        <w:t xml:space="preserve">Forward look </w:t>
      </w:r>
    </w:p>
    <w:p w:rsidR="00074D5D" w:rsidRPr="00074D5D" w:rsidRDefault="00074D5D" w:rsidP="00074D5D">
      <w:pPr>
        <w:spacing w:line="360" w:lineRule="auto"/>
        <w:jc w:val="center"/>
        <w:rPr>
          <w:b/>
          <w:sz w:val="28"/>
          <w:szCs w:val="28"/>
        </w:rPr>
      </w:pPr>
      <w:r w:rsidRPr="00074D5D">
        <w:rPr>
          <w:b/>
          <w:bCs/>
          <w:sz w:val="28"/>
          <w:szCs w:val="28"/>
        </w:rPr>
        <w:t>LGA/DCLG Steering Group – 2</w:t>
      </w:r>
      <w:r w:rsidRPr="00074D5D">
        <w:rPr>
          <w:b/>
          <w:bCs/>
          <w:sz w:val="28"/>
          <w:szCs w:val="28"/>
        </w:rPr>
        <w:t>7 November</w:t>
      </w:r>
      <w:r w:rsidRPr="00074D5D">
        <w:rPr>
          <w:b/>
          <w:bCs/>
          <w:sz w:val="28"/>
          <w:szCs w:val="28"/>
        </w:rPr>
        <w:t xml:space="preserve"> 2017</w:t>
      </w:r>
    </w:p>
    <w:p w:rsidR="005341FE" w:rsidRDefault="00752A67">
      <w:bookmarkStart w:id="0" w:name="_GoBack"/>
      <w:bookmarkEnd w:id="0"/>
      <w:r>
        <w:t xml:space="preserve">The Steering Group asked at its last meeting for a forward look of issues that it might consider.  We propose the approach set out in the table below, although we will of course keep the programme under review. Some items will be oral updates, but where </w:t>
      </w:r>
      <w:r w:rsidR="00191A0A">
        <w:t xml:space="preserve">there are </w:t>
      </w:r>
      <w:r>
        <w:t xml:space="preserve">written papers </w:t>
      </w:r>
      <w:r w:rsidR="00191A0A">
        <w:t>we will aim to circulate these at least 3 working days before the Steering Group meets.</w:t>
      </w:r>
      <w:r>
        <w:t xml:space="preserve"> </w:t>
      </w:r>
    </w:p>
    <w:tbl>
      <w:tblPr>
        <w:tblStyle w:val="TableGrid"/>
        <w:tblW w:w="0" w:type="auto"/>
        <w:tblInd w:w="620" w:type="dxa"/>
        <w:tblLook w:val="04A0" w:firstRow="1" w:lastRow="0" w:firstColumn="1" w:lastColumn="0" w:noHBand="0" w:noVBand="1"/>
      </w:tblPr>
      <w:tblGrid>
        <w:gridCol w:w="1526"/>
        <w:gridCol w:w="2551"/>
        <w:gridCol w:w="5165"/>
      </w:tblGrid>
      <w:tr w:rsidR="005341FE" w:rsidTr="00074D5D">
        <w:tc>
          <w:tcPr>
            <w:tcW w:w="1526" w:type="dxa"/>
            <w:tcBorders>
              <w:bottom w:val="single" w:sz="4" w:space="0" w:color="auto"/>
            </w:tcBorders>
          </w:tcPr>
          <w:p w:rsidR="005341FE" w:rsidRPr="00B6252C" w:rsidRDefault="005341FE">
            <w:pPr>
              <w:rPr>
                <w:b/>
              </w:rPr>
            </w:pPr>
            <w:r w:rsidRPr="00B6252C">
              <w:rPr>
                <w:b/>
              </w:rPr>
              <w:t>Meeting date</w:t>
            </w:r>
          </w:p>
        </w:tc>
        <w:tc>
          <w:tcPr>
            <w:tcW w:w="2551" w:type="dxa"/>
            <w:tcBorders>
              <w:bottom w:val="single" w:sz="4" w:space="0" w:color="auto"/>
            </w:tcBorders>
          </w:tcPr>
          <w:p w:rsidR="005341FE" w:rsidRPr="00B6252C" w:rsidRDefault="00B6252C" w:rsidP="00B6252C">
            <w:pPr>
              <w:rPr>
                <w:b/>
              </w:rPr>
            </w:pPr>
            <w:r w:rsidRPr="00B6252C">
              <w:rPr>
                <w:b/>
              </w:rPr>
              <w:t>Working Group</w:t>
            </w:r>
          </w:p>
        </w:tc>
        <w:tc>
          <w:tcPr>
            <w:tcW w:w="5165" w:type="dxa"/>
            <w:tcBorders>
              <w:bottom w:val="single" w:sz="4" w:space="0" w:color="auto"/>
            </w:tcBorders>
          </w:tcPr>
          <w:p w:rsidR="005341FE" w:rsidRPr="00B6252C" w:rsidRDefault="00191A0A">
            <w:pPr>
              <w:rPr>
                <w:b/>
              </w:rPr>
            </w:pPr>
            <w:r>
              <w:rPr>
                <w:b/>
              </w:rPr>
              <w:t>Issues</w:t>
            </w:r>
          </w:p>
        </w:tc>
      </w:tr>
      <w:tr w:rsidR="005341FE" w:rsidTr="00074D5D">
        <w:tc>
          <w:tcPr>
            <w:tcW w:w="1526" w:type="dxa"/>
            <w:tcBorders>
              <w:bottom w:val="nil"/>
            </w:tcBorders>
          </w:tcPr>
          <w:p w:rsidR="00884895" w:rsidRDefault="00884895"/>
          <w:p w:rsidR="005341FE" w:rsidRDefault="005341FE">
            <w:r>
              <w:t>March 2018</w:t>
            </w:r>
          </w:p>
        </w:tc>
        <w:tc>
          <w:tcPr>
            <w:tcW w:w="2551" w:type="dxa"/>
            <w:tcBorders>
              <w:bottom w:val="nil"/>
            </w:tcBorders>
          </w:tcPr>
          <w:p w:rsidR="00884895" w:rsidRDefault="00884895" w:rsidP="00B6252C"/>
          <w:p w:rsidR="005341FE" w:rsidRDefault="005341FE" w:rsidP="00B6252C">
            <w:r>
              <w:t xml:space="preserve">System Design </w:t>
            </w:r>
          </w:p>
          <w:p w:rsidR="00884895" w:rsidRDefault="00884895" w:rsidP="00884895"/>
        </w:tc>
        <w:tc>
          <w:tcPr>
            <w:tcW w:w="5165" w:type="dxa"/>
            <w:tcBorders>
              <w:bottom w:val="nil"/>
            </w:tcBorders>
          </w:tcPr>
          <w:p w:rsidR="00884895" w:rsidRDefault="00884895" w:rsidP="00884895">
            <w:pPr>
              <w:pStyle w:val="ListParagraph"/>
              <w:ind w:left="360"/>
            </w:pPr>
          </w:p>
          <w:p w:rsidR="00BC7198" w:rsidRDefault="00B6252C" w:rsidP="00884895">
            <w:pPr>
              <w:pStyle w:val="ListParagraph"/>
              <w:numPr>
                <w:ilvl w:val="0"/>
                <w:numId w:val="1"/>
              </w:numPr>
            </w:pPr>
            <w:r>
              <w:t>The Central List</w:t>
            </w:r>
            <w:r w:rsidR="00E2564D">
              <w:t xml:space="preserve"> </w:t>
            </w:r>
          </w:p>
        </w:tc>
      </w:tr>
      <w:tr w:rsidR="00884895" w:rsidTr="00074D5D">
        <w:tc>
          <w:tcPr>
            <w:tcW w:w="1526" w:type="dxa"/>
            <w:tcBorders>
              <w:top w:val="nil"/>
              <w:bottom w:val="nil"/>
            </w:tcBorders>
          </w:tcPr>
          <w:p w:rsidR="00884895" w:rsidRDefault="00884895"/>
        </w:tc>
        <w:tc>
          <w:tcPr>
            <w:tcW w:w="2551" w:type="dxa"/>
            <w:tcBorders>
              <w:top w:val="nil"/>
              <w:bottom w:val="nil"/>
            </w:tcBorders>
          </w:tcPr>
          <w:p w:rsidR="00884895" w:rsidRDefault="00884895" w:rsidP="00884895">
            <w:r>
              <w:t>Pilots</w:t>
            </w:r>
          </w:p>
          <w:p w:rsidR="00884895" w:rsidRDefault="00884895" w:rsidP="00B6252C"/>
        </w:tc>
        <w:tc>
          <w:tcPr>
            <w:tcW w:w="5165" w:type="dxa"/>
            <w:tcBorders>
              <w:top w:val="nil"/>
              <w:bottom w:val="nil"/>
            </w:tcBorders>
          </w:tcPr>
          <w:p w:rsidR="00884895" w:rsidRDefault="00884895" w:rsidP="00884895">
            <w:pPr>
              <w:pStyle w:val="ListParagraph"/>
              <w:numPr>
                <w:ilvl w:val="0"/>
                <w:numId w:val="1"/>
              </w:numPr>
            </w:pPr>
            <w:r>
              <w:t>Update</w:t>
            </w:r>
          </w:p>
          <w:p w:rsidR="00884895" w:rsidRDefault="00884895" w:rsidP="00884895"/>
        </w:tc>
      </w:tr>
      <w:tr w:rsidR="005341FE" w:rsidTr="00074D5D">
        <w:tc>
          <w:tcPr>
            <w:tcW w:w="1526" w:type="dxa"/>
            <w:tcBorders>
              <w:top w:val="nil"/>
              <w:bottom w:val="nil"/>
            </w:tcBorders>
          </w:tcPr>
          <w:p w:rsidR="005341FE" w:rsidRDefault="005341FE"/>
        </w:tc>
        <w:tc>
          <w:tcPr>
            <w:tcW w:w="2551" w:type="dxa"/>
            <w:tcBorders>
              <w:top w:val="nil"/>
              <w:bottom w:val="nil"/>
            </w:tcBorders>
          </w:tcPr>
          <w:p w:rsidR="005341FE" w:rsidRDefault="00B6252C">
            <w:r>
              <w:t>Fair Funding Review</w:t>
            </w:r>
          </w:p>
        </w:tc>
        <w:tc>
          <w:tcPr>
            <w:tcW w:w="5165" w:type="dxa"/>
            <w:tcBorders>
              <w:top w:val="nil"/>
              <w:bottom w:val="nil"/>
            </w:tcBorders>
          </w:tcPr>
          <w:p w:rsidR="005341FE" w:rsidRDefault="00BD1594" w:rsidP="00B6252C">
            <w:pPr>
              <w:pStyle w:val="ListParagraph"/>
              <w:numPr>
                <w:ilvl w:val="0"/>
                <w:numId w:val="1"/>
              </w:numPr>
            </w:pPr>
            <w:r>
              <w:t>Update on Working Group</w:t>
            </w:r>
          </w:p>
        </w:tc>
      </w:tr>
      <w:tr w:rsidR="00191A0A" w:rsidTr="00074D5D">
        <w:tc>
          <w:tcPr>
            <w:tcW w:w="1526" w:type="dxa"/>
            <w:tcBorders>
              <w:top w:val="nil"/>
              <w:bottom w:val="single" w:sz="4" w:space="0" w:color="auto"/>
            </w:tcBorders>
          </w:tcPr>
          <w:p w:rsidR="00191A0A" w:rsidRDefault="00191A0A"/>
        </w:tc>
        <w:tc>
          <w:tcPr>
            <w:tcW w:w="2551" w:type="dxa"/>
            <w:tcBorders>
              <w:top w:val="nil"/>
              <w:bottom w:val="single" w:sz="4" w:space="0" w:color="auto"/>
            </w:tcBorders>
          </w:tcPr>
          <w:p w:rsidR="00191A0A" w:rsidRDefault="00191A0A"/>
        </w:tc>
        <w:tc>
          <w:tcPr>
            <w:tcW w:w="5165" w:type="dxa"/>
            <w:tcBorders>
              <w:top w:val="nil"/>
              <w:bottom w:val="single" w:sz="4" w:space="0" w:color="auto"/>
            </w:tcBorders>
          </w:tcPr>
          <w:p w:rsidR="00191A0A" w:rsidRDefault="00191A0A" w:rsidP="00E2564D"/>
        </w:tc>
      </w:tr>
      <w:tr w:rsidR="005341FE" w:rsidTr="00074D5D">
        <w:tc>
          <w:tcPr>
            <w:tcW w:w="1526" w:type="dxa"/>
            <w:tcBorders>
              <w:bottom w:val="nil"/>
              <w:right w:val="single" w:sz="4" w:space="0" w:color="auto"/>
            </w:tcBorders>
          </w:tcPr>
          <w:p w:rsidR="00884895" w:rsidRDefault="00884895"/>
          <w:p w:rsidR="005341FE" w:rsidRDefault="005341FE">
            <w:r>
              <w:t>May 2018</w:t>
            </w:r>
          </w:p>
        </w:tc>
        <w:tc>
          <w:tcPr>
            <w:tcW w:w="2551" w:type="dxa"/>
            <w:tcBorders>
              <w:left w:val="single" w:sz="4" w:space="0" w:color="auto"/>
              <w:bottom w:val="nil"/>
              <w:right w:val="single" w:sz="4" w:space="0" w:color="auto"/>
            </w:tcBorders>
          </w:tcPr>
          <w:p w:rsidR="00884895" w:rsidRDefault="00884895" w:rsidP="00B6252C"/>
          <w:p w:rsidR="005341FE" w:rsidRDefault="005341FE" w:rsidP="00B6252C">
            <w:r>
              <w:t>System Design</w:t>
            </w:r>
            <w:r w:rsidR="00B6252C">
              <w:t xml:space="preserve"> </w:t>
            </w:r>
          </w:p>
          <w:p w:rsidR="00B6252C" w:rsidRDefault="00B6252C"/>
        </w:tc>
        <w:tc>
          <w:tcPr>
            <w:tcW w:w="5165" w:type="dxa"/>
            <w:tcBorders>
              <w:left w:val="single" w:sz="4" w:space="0" w:color="auto"/>
              <w:bottom w:val="nil"/>
            </w:tcBorders>
          </w:tcPr>
          <w:p w:rsidR="00884895" w:rsidRDefault="00884895" w:rsidP="00884895">
            <w:pPr>
              <w:pStyle w:val="ListParagraph"/>
              <w:ind w:left="360"/>
            </w:pPr>
          </w:p>
          <w:p w:rsidR="00B6252C" w:rsidRDefault="00B6252C" w:rsidP="00B6252C">
            <w:pPr>
              <w:pStyle w:val="ListParagraph"/>
              <w:numPr>
                <w:ilvl w:val="0"/>
                <w:numId w:val="1"/>
              </w:numPr>
            </w:pPr>
            <w:r w:rsidRPr="005341FE">
              <w:t xml:space="preserve">The Safety Net, The Levy &amp; Tier Splits; Risk and Gearing </w:t>
            </w:r>
          </w:p>
          <w:p w:rsidR="00BC7198" w:rsidRDefault="00B6252C" w:rsidP="00884895">
            <w:pPr>
              <w:pStyle w:val="ListParagraph"/>
              <w:numPr>
                <w:ilvl w:val="0"/>
                <w:numId w:val="1"/>
              </w:numPr>
            </w:pPr>
            <w:r w:rsidRPr="005341FE">
              <w:t>Appeals and Loss Payments</w:t>
            </w:r>
          </w:p>
          <w:p w:rsidR="00884895" w:rsidRDefault="00884895" w:rsidP="00884895">
            <w:pPr>
              <w:pStyle w:val="ListParagraph"/>
              <w:ind w:left="360"/>
            </w:pPr>
          </w:p>
        </w:tc>
      </w:tr>
      <w:tr w:rsidR="00884895" w:rsidTr="00074D5D">
        <w:tc>
          <w:tcPr>
            <w:tcW w:w="1526" w:type="dxa"/>
            <w:tcBorders>
              <w:top w:val="nil"/>
              <w:bottom w:val="nil"/>
              <w:right w:val="single" w:sz="4" w:space="0" w:color="auto"/>
            </w:tcBorders>
          </w:tcPr>
          <w:p w:rsidR="00884895" w:rsidRDefault="00884895"/>
        </w:tc>
        <w:tc>
          <w:tcPr>
            <w:tcW w:w="2551" w:type="dxa"/>
            <w:tcBorders>
              <w:top w:val="nil"/>
              <w:left w:val="single" w:sz="4" w:space="0" w:color="auto"/>
              <w:bottom w:val="nil"/>
              <w:right w:val="single" w:sz="4" w:space="0" w:color="auto"/>
            </w:tcBorders>
          </w:tcPr>
          <w:p w:rsidR="00884895" w:rsidRDefault="00884895" w:rsidP="00B6252C">
            <w:r>
              <w:t xml:space="preserve">Pilots </w:t>
            </w:r>
          </w:p>
        </w:tc>
        <w:tc>
          <w:tcPr>
            <w:tcW w:w="5165" w:type="dxa"/>
            <w:tcBorders>
              <w:top w:val="nil"/>
              <w:left w:val="single" w:sz="4" w:space="0" w:color="auto"/>
              <w:bottom w:val="nil"/>
            </w:tcBorders>
          </w:tcPr>
          <w:p w:rsidR="00884895" w:rsidRDefault="00884895" w:rsidP="00B6252C">
            <w:pPr>
              <w:pStyle w:val="ListParagraph"/>
              <w:numPr>
                <w:ilvl w:val="0"/>
                <w:numId w:val="1"/>
              </w:numPr>
            </w:pPr>
            <w:r>
              <w:t>Update</w:t>
            </w:r>
          </w:p>
          <w:p w:rsidR="00884895" w:rsidRPr="005341FE" w:rsidRDefault="00884895" w:rsidP="00884895">
            <w:pPr>
              <w:pStyle w:val="ListParagraph"/>
              <w:ind w:left="360"/>
            </w:pPr>
          </w:p>
        </w:tc>
      </w:tr>
      <w:tr w:rsidR="005341FE" w:rsidTr="00074D5D">
        <w:tc>
          <w:tcPr>
            <w:tcW w:w="1526" w:type="dxa"/>
            <w:tcBorders>
              <w:top w:val="nil"/>
              <w:bottom w:val="single" w:sz="4" w:space="0" w:color="auto"/>
              <w:right w:val="single" w:sz="4" w:space="0" w:color="auto"/>
            </w:tcBorders>
          </w:tcPr>
          <w:p w:rsidR="005341FE" w:rsidRDefault="005341FE"/>
        </w:tc>
        <w:tc>
          <w:tcPr>
            <w:tcW w:w="2551" w:type="dxa"/>
            <w:tcBorders>
              <w:top w:val="nil"/>
              <w:left w:val="single" w:sz="4" w:space="0" w:color="auto"/>
              <w:bottom w:val="single" w:sz="4" w:space="0" w:color="auto"/>
              <w:right w:val="single" w:sz="4" w:space="0" w:color="auto"/>
            </w:tcBorders>
          </w:tcPr>
          <w:p w:rsidR="005341FE" w:rsidRDefault="00B6252C" w:rsidP="00B6252C">
            <w:r>
              <w:t>Fair Funding Review</w:t>
            </w:r>
          </w:p>
        </w:tc>
        <w:tc>
          <w:tcPr>
            <w:tcW w:w="5165" w:type="dxa"/>
            <w:tcBorders>
              <w:top w:val="nil"/>
              <w:left w:val="single" w:sz="4" w:space="0" w:color="auto"/>
              <w:bottom w:val="single" w:sz="4" w:space="0" w:color="auto"/>
            </w:tcBorders>
          </w:tcPr>
          <w:p w:rsidR="00B6252C" w:rsidRDefault="00BD1594" w:rsidP="00752A67">
            <w:pPr>
              <w:pStyle w:val="ListParagraph"/>
              <w:numPr>
                <w:ilvl w:val="0"/>
                <w:numId w:val="1"/>
              </w:numPr>
            </w:pPr>
            <w:r>
              <w:t>Update on Working Group</w:t>
            </w:r>
          </w:p>
          <w:p w:rsidR="00884895" w:rsidRDefault="00884895" w:rsidP="00884895">
            <w:pPr>
              <w:pStyle w:val="ListParagraph"/>
              <w:ind w:left="360"/>
            </w:pPr>
          </w:p>
        </w:tc>
      </w:tr>
      <w:tr w:rsidR="005341FE" w:rsidTr="00074D5D">
        <w:tc>
          <w:tcPr>
            <w:tcW w:w="1526" w:type="dxa"/>
            <w:tcBorders>
              <w:bottom w:val="nil"/>
            </w:tcBorders>
          </w:tcPr>
          <w:p w:rsidR="00884895" w:rsidRDefault="00884895"/>
          <w:p w:rsidR="005341FE" w:rsidRDefault="005341FE">
            <w:r>
              <w:t>July 2018</w:t>
            </w:r>
          </w:p>
        </w:tc>
        <w:tc>
          <w:tcPr>
            <w:tcW w:w="2551" w:type="dxa"/>
            <w:tcBorders>
              <w:bottom w:val="nil"/>
            </w:tcBorders>
          </w:tcPr>
          <w:p w:rsidR="00884895" w:rsidRDefault="00884895" w:rsidP="00B6252C"/>
          <w:p w:rsidR="005341FE" w:rsidRDefault="00B6252C" w:rsidP="00B6252C">
            <w:r w:rsidRPr="00B6252C">
              <w:t>System Design</w:t>
            </w:r>
          </w:p>
        </w:tc>
        <w:tc>
          <w:tcPr>
            <w:tcW w:w="5165" w:type="dxa"/>
            <w:tcBorders>
              <w:bottom w:val="nil"/>
            </w:tcBorders>
          </w:tcPr>
          <w:p w:rsidR="00884895" w:rsidRDefault="00884895" w:rsidP="00884895">
            <w:pPr>
              <w:pStyle w:val="ListParagraph"/>
              <w:ind w:left="360"/>
            </w:pPr>
          </w:p>
          <w:p w:rsidR="005341FE" w:rsidRDefault="00B6252C" w:rsidP="00B6252C">
            <w:pPr>
              <w:pStyle w:val="ListParagraph"/>
              <w:numPr>
                <w:ilvl w:val="0"/>
                <w:numId w:val="1"/>
              </w:numPr>
            </w:pPr>
            <w:r w:rsidRPr="005341FE">
              <w:t>Resets, Measuring Growth and Revaluation</w:t>
            </w:r>
          </w:p>
          <w:p w:rsidR="00E2564D" w:rsidRDefault="00E2564D" w:rsidP="00E2564D">
            <w:pPr>
              <w:pStyle w:val="ListParagraph"/>
              <w:numPr>
                <w:ilvl w:val="0"/>
                <w:numId w:val="1"/>
              </w:numPr>
            </w:pPr>
            <w:r>
              <w:t xml:space="preserve">BRR </w:t>
            </w:r>
            <w:r w:rsidR="00B6252C" w:rsidRPr="005341FE">
              <w:t>Transitional Arrangements</w:t>
            </w:r>
          </w:p>
          <w:p w:rsidR="00BC7198" w:rsidRDefault="00BC7198" w:rsidP="00BC7198">
            <w:pPr>
              <w:pStyle w:val="ListParagraph"/>
              <w:ind w:left="360"/>
            </w:pPr>
          </w:p>
        </w:tc>
      </w:tr>
      <w:tr w:rsidR="00884895" w:rsidRPr="005341FE" w:rsidTr="00074D5D">
        <w:tc>
          <w:tcPr>
            <w:tcW w:w="1526" w:type="dxa"/>
            <w:tcBorders>
              <w:top w:val="nil"/>
              <w:bottom w:val="nil"/>
              <w:right w:val="single" w:sz="4" w:space="0" w:color="auto"/>
            </w:tcBorders>
          </w:tcPr>
          <w:p w:rsidR="00884895" w:rsidRDefault="00884895" w:rsidP="004C1705"/>
        </w:tc>
        <w:tc>
          <w:tcPr>
            <w:tcW w:w="2551" w:type="dxa"/>
            <w:tcBorders>
              <w:top w:val="nil"/>
              <w:left w:val="single" w:sz="4" w:space="0" w:color="auto"/>
              <w:bottom w:val="nil"/>
              <w:right w:val="single" w:sz="4" w:space="0" w:color="auto"/>
            </w:tcBorders>
          </w:tcPr>
          <w:p w:rsidR="00884895" w:rsidRDefault="00884895" w:rsidP="004C1705">
            <w:r>
              <w:t xml:space="preserve">Pilots </w:t>
            </w:r>
          </w:p>
        </w:tc>
        <w:tc>
          <w:tcPr>
            <w:tcW w:w="5165" w:type="dxa"/>
            <w:tcBorders>
              <w:top w:val="nil"/>
              <w:left w:val="single" w:sz="4" w:space="0" w:color="auto"/>
              <w:bottom w:val="nil"/>
            </w:tcBorders>
          </w:tcPr>
          <w:p w:rsidR="00884895" w:rsidRDefault="00884895" w:rsidP="004C1705">
            <w:pPr>
              <w:pStyle w:val="ListParagraph"/>
              <w:numPr>
                <w:ilvl w:val="0"/>
                <w:numId w:val="1"/>
              </w:numPr>
            </w:pPr>
            <w:r>
              <w:t>Update</w:t>
            </w:r>
          </w:p>
          <w:p w:rsidR="00884895" w:rsidRPr="005341FE" w:rsidRDefault="00884895" w:rsidP="004C1705">
            <w:pPr>
              <w:pStyle w:val="ListParagraph"/>
              <w:ind w:left="360"/>
            </w:pPr>
          </w:p>
        </w:tc>
      </w:tr>
      <w:tr w:rsidR="005341FE" w:rsidTr="00074D5D">
        <w:tc>
          <w:tcPr>
            <w:tcW w:w="1526" w:type="dxa"/>
            <w:tcBorders>
              <w:top w:val="nil"/>
            </w:tcBorders>
          </w:tcPr>
          <w:p w:rsidR="005341FE" w:rsidRDefault="005341FE"/>
        </w:tc>
        <w:tc>
          <w:tcPr>
            <w:tcW w:w="2551" w:type="dxa"/>
            <w:tcBorders>
              <w:top w:val="nil"/>
            </w:tcBorders>
          </w:tcPr>
          <w:p w:rsidR="005341FE" w:rsidRDefault="00B6252C" w:rsidP="00B6252C">
            <w:r w:rsidRPr="00B6252C">
              <w:t>Fair Funding Review</w:t>
            </w:r>
          </w:p>
        </w:tc>
        <w:tc>
          <w:tcPr>
            <w:tcW w:w="5165" w:type="dxa"/>
            <w:tcBorders>
              <w:top w:val="nil"/>
            </w:tcBorders>
          </w:tcPr>
          <w:p w:rsidR="005341FE" w:rsidRDefault="00BD1594" w:rsidP="00BD1594">
            <w:pPr>
              <w:pStyle w:val="ListParagraph"/>
              <w:numPr>
                <w:ilvl w:val="0"/>
                <w:numId w:val="1"/>
              </w:numPr>
            </w:pPr>
            <w:r w:rsidRPr="00BD1594">
              <w:t>Update on Working Group</w:t>
            </w:r>
          </w:p>
          <w:p w:rsidR="00884895" w:rsidRDefault="00884895" w:rsidP="00884895">
            <w:pPr>
              <w:pStyle w:val="ListParagraph"/>
              <w:ind w:left="360"/>
            </w:pPr>
          </w:p>
        </w:tc>
      </w:tr>
      <w:tr w:rsidR="005341FE" w:rsidTr="00074D5D">
        <w:tc>
          <w:tcPr>
            <w:tcW w:w="1526" w:type="dxa"/>
            <w:tcBorders>
              <w:bottom w:val="nil"/>
            </w:tcBorders>
          </w:tcPr>
          <w:p w:rsidR="00884895" w:rsidRDefault="00884895"/>
          <w:p w:rsidR="005341FE" w:rsidRDefault="005341FE">
            <w:r>
              <w:t>October 2018</w:t>
            </w:r>
          </w:p>
        </w:tc>
        <w:tc>
          <w:tcPr>
            <w:tcW w:w="2551" w:type="dxa"/>
            <w:tcBorders>
              <w:bottom w:val="nil"/>
            </w:tcBorders>
          </w:tcPr>
          <w:p w:rsidR="00884895" w:rsidRDefault="00884895" w:rsidP="00B6252C"/>
          <w:p w:rsidR="005341FE" w:rsidRDefault="00B6252C" w:rsidP="00B6252C">
            <w:r w:rsidRPr="00B6252C">
              <w:t>System Design</w:t>
            </w:r>
          </w:p>
        </w:tc>
        <w:tc>
          <w:tcPr>
            <w:tcW w:w="5165" w:type="dxa"/>
            <w:tcBorders>
              <w:bottom w:val="nil"/>
            </w:tcBorders>
          </w:tcPr>
          <w:p w:rsidR="00884895" w:rsidRDefault="00884895" w:rsidP="00884895">
            <w:pPr>
              <w:pStyle w:val="ListParagraph"/>
              <w:ind w:left="360"/>
            </w:pPr>
          </w:p>
          <w:p w:rsidR="005341FE" w:rsidRDefault="00B6252C" w:rsidP="00B6252C">
            <w:pPr>
              <w:pStyle w:val="ListParagraph"/>
              <w:numPr>
                <w:ilvl w:val="0"/>
                <w:numId w:val="1"/>
              </w:numPr>
            </w:pPr>
            <w:r w:rsidRPr="005341FE">
              <w:t>Pooling</w:t>
            </w:r>
          </w:p>
          <w:p w:rsidR="00B6252C" w:rsidRDefault="00B6252C" w:rsidP="00B6252C">
            <w:pPr>
              <w:pStyle w:val="ListParagraph"/>
              <w:numPr>
                <w:ilvl w:val="0"/>
                <w:numId w:val="1"/>
              </w:numPr>
            </w:pPr>
            <w:r w:rsidRPr="005341FE">
              <w:t>Proposed Overall Short Term Package and Future Reform Using Primary Legislation</w:t>
            </w:r>
          </w:p>
          <w:p w:rsidR="00884895" w:rsidRDefault="00884895" w:rsidP="00884895">
            <w:pPr>
              <w:pStyle w:val="ListParagraph"/>
              <w:ind w:left="360"/>
            </w:pPr>
          </w:p>
        </w:tc>
      </w:tr>
      <w:tr w:rsidR="00884895" w:rsidRPr="005341FE" w:rsidTr="00074D5D">
        <w:tc>
          <w:tcPr>
            <w:tcW w:w="1526" w:type="dxa"/>
            <w:tcBorders>
              <w:top w:val="nil"/>
              <w:bottom w:val="single" w:sz="4" w:space="0" w:color="auto"/>
              <w:right w:val="single" w:sz="4" w:space="0" w:color="auto"/>
            </w:tcBorders>
          </w:tcPr>
          <w:p w:rsidR="00884895" w:rsidRDefault="00884895" w:rsidP="004C1705"/>
        </w:tc>
        <w:tc>
          <w:tcPr>
            <w:tcW w:w="2551" w:type="dxa"/>
            <w:tcBorders>
              <w:top w:val="nil"/>
              <w:left w:val="single" w:sz="4" w:space="0" w:color="auto"/>
              <w:bottom w:val="single" w:sz="4" w:space="0" w:color="auto"/>
              <w:right w:val="single" w:sz="4" w:space="0" w:color="auto"/>
            </w:tcBorders>
          </w:tcPr>
          <w:p w:rsidR="00884895" w:rsidRDefault="00884895" w:rsidP="004C1705">
            <w:r>
              <w:t xml:space="preserve">Pilots </w:t>
            </w:r>
          </w:p>
        </w:tc>
        <w:tc>
          <w:tcPr>
            <w:tcW w:w="5165" w:type="dxa"/>
            <w:tcBorders>
              <w:top w:val="nil"/>
              <w:left w:val="single" w:sz="4" w:space="0" w:color="auto"/>
              <w:bottom w:val="single" w:sz="4" w:space="0" w:color="auto"/>
            </w:tcBorders>
          </w:tcPr>
          <w:p w:rsidR="00884895" w:rsidRDefault="00884895" w:rsidP="004C1705">
            <w:pPr>
              <w:pStyle w:val="ListParagraph"/>
              <w:numPr>
                <w:ilvl w:val="0"/>
                <w:numId w:val="1"/>
              </w:numPr>
            </w:pPr>
            <w:r>
              <w:t>Update</w:t>
            </w:r>
          </w:p>
          <w:p w:rsidR="00884895" w:rsidRPr="005341FE" w:rsidRDefault="00884895" w:rsidP="004C1705">
            <w:pPr>
              <w:pStyle w:val="ListParagraph"/>
              <w:ind w:left="360"/>
            </w:pPr>
          </w:p>
        </w:tc>
      </w:tr>
    </w:tbl>
    <w:p w:rsidR="005341FE" w:rsidRDefault="005341FE"/>
    <w:p w:rsidR="00C7074A" w:rsidRPr="00056850" w:rsidRDefault="00C7074A">
      <w:r>
        <w:t>In 2019, the Steering Group will consider issues such as how Business Rates Retention will link to the proposed Fair Funding Review consultation.</w:t>
      </w:r>
    </w:p>
    <w:sectPr w:rsidR="00C7074A" w:rsidRPr="00056850" w:rsidSect="00074D5D">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41FE" w:rsidRDefault="005341FE" w:rsidP="00056850">
      <w:pPr>
        <w:spacing w:after="0" w:line="240" w:lineRule="auto"/>
      </w:pPr>
      <w:r>
        <w:separator/>
      </w:r>
    </w:p>
  </w:endnote>
  <w:endnote w:type="continuationSeparator" w:id="0">
    <w:p w:rsidR="005341FE" w:rsidRDefault="005341FE" w:rsidP="000568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850" w:rsidRDefault="000568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850" w:rsidRDefault="0005685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850" w:rsidRDefault="000568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41FE" w:rsidRDefault="005341FE" w:rsidP="00056850">
      <w:pPr>
        <w:spacing w:after="0" w:line="240" w:lineRule="auto"/>
      </w:pPr>
      <w:r>
        <w:separator/>
      </w:r>
    </w:p>
  </w:footnote>
  <w:footnote w:type="continuationSeparator" w:id="0">
    <w:p w:rsidR="005341FE" w:rsidRDefault="005341FE" w:rsidP="000568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850" w:rsidRDefault="000568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850" w:rsidRDefault="0005685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850" w:rsidRDefault="0005685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C6A27"/>
    <w:multiLevelType w:val="hybridMultilevel"/>
    <w:tmpl w:val="38D6E6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1FE"/>
    <w:rsid w:val="00056850"/>
    <w:rsid w:val="00074D5D"/>
    <w:rsid w:val="00191A0A"/>
    <w:rsid w:val="003D7A98"/>
    <w:rsid w:val="005341FE"/>
    <w:rsid w:val="00752A67"/>
    <w:rsid w:val="00884895"/>
    <w:rsid w:val="00914946"/>
    <w:rsid w:val="00B6252C"/>
    <w:rsid w:val="00BC7198"/>
    <w:rsid w:val="00BD1594"/>
    <w:rsid w:val="00C7074A"/>
    <w:rsid w:val="00E2564D"/>
    <w:rsid w:val="00FE23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68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6850"/>
  </w:style>
  <w:style w:type="paragraph" w:styleId="Footer">
    <w:name w:val="footer"/>
    <w:basedOn w:val="Normal"/>
    <w:link w:val="FooterChar"/>
    <w:uiPriority w:val="99"/>
    <w:unhideWhenUsed/>
    <w:rsid w:val="000568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6850"/>
  </w:style>
  <w:style w:type="table" w:styleId="TableGrid">
    <w:name w:val="Table Grid"/>
    <w:basedOn w:val="TableNormal"/>
    <w:uiPriority w:val="59"/>
    <w:rsid w:val="005341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6252C"/>
    <w:pPr>
      <w:ind w:left="720"/>
      <w:contextualSpacing/>
    </w:pPr>
  </w:style>
  <w:style w:type="paragraph" w:customStyle="1" w:styleId="Default">
    <w:name w:val="Default"/>
    <w:rsid w:val="00074D5D"/>
    <w:pPr>
      <w:autoSpaceDE w:val="0"/>
      <w:autoSpaceDN w:val="0"/>
      <w:adjustRightInd w:val="0"/>
      <w:spacing w:after="0" w:line="240" w:lineRule="auto"/>
    </w:pPr>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68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6850"/>
  </w:style>
  <w:style w:type="paragraph" w:styleId="Footer">
    <w:name w:val="footer"/>
    <w:basedOn w:val="Normal"/>
    <w:link w:val="FooterChar"/>
    <w:uiPriority w:val="99"/>
    <w:unhideWhenUsed/>
    <w:rsid w:val="000568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6850"/>
  </w:style>
  <w:style w:type="table" w:styleId="TableGrid">
    <w:name w:val="Table Grid"/>
    <w:basedOn w:val="TableNormal"/>
    <w:uiPriority w:val="59"/>
    <w:rsid w:val="005341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6252C"/>
    <w:pPr>
      <w:ind w:left="720"/>
      <w:contextualSpacing/>
    </w:pPr>
  </w:style>
  <w:style w:type="paragraph" w:customStyle="1" w:styleId="Default">
    <w:name w:val="Default"/>
    <w:rsid w:val="00074D5D"/>
    <w:pPr>
      <w:autoSpaceDE w:val="0"/>
      <w:autoSpaceDN w:val="0"/>
      <w:adjustRightInd w:val="0"/>
      <w:spacing w:after="0" w:line="240" w:lineRule="auto"/>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8270c081-d9f3-48ae-83c7-c2320a8ca25c"/>
</file>

<file path=customXml/itemProps1.xml><?xml version="1.0" encoding="utf-8"?>
<ds:datastoreItem xmlns:ds="http://schemas.openxmlformats.org/officeDocument/2006/customXml" ds:itemID="{7E9C2619-8773-4822-B7D5-F728E519A31B}">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1</Pages>
  <Words>186</Words>
  <Characters>1061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Department for Communities and Local Government</Company>
  <LinksUpToDate>false</LinksUpToDate>
  <CharactersWithSpaces>1245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astuart</dc:creator>
  <cp:lastModifiedBy>astuart</cp:lastModifiedBy>
  <cp:revision>6</cp:revision>
  <dcterms:created xsi:type="dcterms:W3CDTF">2017-11-21T10:28:00Z</dcterms:created>
  <dcterms:modified xsi:type="dcterms:W3CDTF">2017-11-22T11:35:00Z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cb6e9e6e-d9bf-421c-9324-202af2703d27</vt:lpwstr>
  </property>
  <property fmtid="{D5CDD505-2E9C-101B-9397-08002B2CF9AE}" pid="3" name="bjSaver">
    <vt:lpwstr>DDhiLJTcR6nXbSh+ZP27pTFysWVpTwYv</vt:lpwstr>
  </property>
  <property fmtid="{D5CDD505-2E9C-101B-9397-08002B2CF9AE}" pid="4" name="bjDocumentSecurityLabel">
    <vt:lpwstr>No Marking</vt:lpwstr>
  </property>
</Properties>
</file>