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5545" w:rsidRDefault="00295545" w:rsidP="00295545">
      <w:pPr>
        <w:spacing w:after="240" w:line="252" w:lineRule="auto"/>
        <w:jc w:val="center"/>
        <w:rPr>
          <w:b/>
          <w:sz w:val="22"/>
          <w:szCs w:val="22"/>
        </w:rPr>
      </w:pPr>
      <w:bookmarkStart w:id="0" w:name="_GoBack"/>
      <w:bookmarkEnd w:id="0"/>
      <w:r w:rsidRPr="00295545">
        <w:rPr>
          <w:b/>
          <w:sz w:val="22"/>
          <w:szCs w:val="22"/>
        </w:rPr>
        <w:t>Recommendations of the Responsibilities Working Group</w:t>
      </w:r>
    </w:p>
    <w:p w:rsidR="00142D23" w:rsidRDefault="0078256D" w:rsidP="007C1F24">
      <w:pPr>
        <w:pStyle w:val="ListParagraph"/>
        <w:numPr>
          <w:ilvl w:val="0"/>
          <w:numId w:val="25"/>
        </w:numPr>
        <w:spacing w:after="240" w:line="252" w:lineRule="auto"/>
        <w:ind w:left="426" w:hanging="426"/>
        <w:jc w:val="both"/>
        <w:rPr>
          <w:b/>
          <w:sz w:val="22"/>
          <w:szCs w:val="22"/>
        </w:rPr>
      </w:pPr>
      <w:r>
        <w:rPr>
          <w:b/>
          <w:sz w:val="22"/>
          <w:szCs w:val="22"/>
        </w:rPr>
        <w:t xml:space="preserve">Purpose of </w:t>
      </w:r>
      <w:r w:rsidR="00B61BDD">
        <w:rPr>
          <w:b/>
          <w:sz w:val="22"/>
          <w:szCs w:val="22"/>
        </w:rPr>
        <w:t xml:space="preserve">this </w:t>
      </w:r>
      <w:r>
        <w:rPr>
          <w:b/>
          <w:sz w:val="22"/>
          <w:szCs w:val="22"/>
        </w:rPr>
        <w:t>paper</w:t>
      </w:r>
    </w:p>
    <w:p w:rsidR="00554ACA" w:rsidRPr="00B2735E" w:rsidRDefault="00554ACA" w:rsidP="007C1F24">
      <w:pPr>
        <w:pStyle w:val="ListParagraph"/>
        <w:spacing w:after="240" w:line="252" w:lineRule="auto"/>
        <w:ind w:left="426"/>
        <w:jc w:val="both"/>
        <w:rPr>
          <w:b/>
          <w:sz w:val="22"/>
          <w:szCs w:val="22"/>
        </w:rPr>
      </w:pPr>
    </w:p>
    <w:p w:rsidR="003C747E" w:rsidRDefault="003C747E" w:rsidP="007C1F24">
      <w:pPr>
        <w:pStyle w:val="ListParagraph"/>
        <w:numPr>
          <w:ilvl w:val="1"/>
          <w:numId w:val="25"/>
        </w:numPr>
        <w:spacing w:after="240" w:line="252" w:lineRule="auto"/>
        <w:ind w:left="426" w:hanging="426"/>
        <w:jc w:val="both"/>
        <w:rPr>
          <w:sz w:val="22"/>
          <w:szCs w:val="22"/>
          <w:lang w:eastAsia="en-GB"/>
        </w:rPr>
      </w:pPr>
      <w:r>
        <w:rPr>
          <w:sz w:val="22"/>
          <w:szCs w:val="22"/>
          <w:lang w:eastAsia="en-GB"/>
        </w:rPr>
        <w:t>To seek the Steering Group’s views on the conclusion by the Responsibilities Working Group that:</w:t>
      </w:r>
    </w:p>
    <w:p w:rsidR="003C747E" w:rsidRPr="003C747E" w:rsidRDefault="003C747E" w:rsidP="003C747E">
      <w:pPr>
        <w:pStyle w:val="ListParagraph"/>
        <w:numPr>
          <w:ilvl w:val="0"/>
          <w:numId w:val="27"/>
        </w:numPr>
        <w:rPr>
          <w:sz w:val="22"/>
          <w:szCs w:val="22"/>
          <w:lang w:eastAsia="en-GB"/>
        </w:rPr>
      </w:pPr>
      <w:r>
        <w:rPr>
          <w:sz w:val="22"/>
          <w:szCs w:val="22"/>
          <w:lang w:eastAsia="en-GB"/>
        </w:rPr>
        <w:t>T</w:t>
      </w:r>
      <w:r w:rsidRPr="003C747E">
        <w:rPr>
          <w:sz w:val="22"/>
          <w:szCs w:val="22"/>
          <w:lang w:eastAsia="en-GB"/>
        </w:rPr>
        <w:t xml:space="preserve">he </w:t>
      </w:r>
      <w:r>
        <w:rPr>
          <w:sz w:val="22"/>
          <w:szCs w:val="22"/>
          <w:lang w:eastAsia="en-GB"/>
        </w:rPr>
        <w:t xml:space="preserve">working </w:t>
      </w:r>
      <w:r w:rsidRPr="003C747E">
        <w:rPr>
          <w:sz w:val="22"/>
          <w:szCs w:val="22"/>
          <w:lang w:eastAsia="en-GB"/>
        </w:rPr>
        <w:t xml:space="preserve">group </w:t>
      </w:r>
      <w:r>
        <w:rPr>
          <w:sz w:val="22"/>
          <w:szCs w:val="22"/>
          <w:lang w:eastAsia="en-GB"/>
        </w:rPr>
        <w:t>should be suspended</w:t>
      </w:r>
      <w:r w:rsidRPr="003C747E">
        <w:rPr>
          <w:sz w:val="22"/>
          <w:szCs w:val="22"/>
          <w:lang w:eastAsia="en-GB"/>
        </w:rPr>
        <w:t xml:space="preserve"> </w:t>
      </w:r>
      <w:r>
        <w:rPr>
          <w:sz w:val="22"/>
          <w:szCs w:val="22"/>
          <w:lang w:eastAsia="en-GB"/>
        </w:rPr>
        <w:t xml:space="preserve">until any future primary legislative slot is secured </w:t>
      </w:r>
      <w:r w:rsidRPr="003C747E">
        <w:rPr>
          <w:sz w:val="22"/>
          <w:szCs w:val="22"/>
          <w:lang w:eastAsia="en-GB"/>
        </w:rPr>
        <w:t>by the Government to implement 100% BRR</w:t>
      </w:r>
      <w:r>
        <w:rPr>
          <w:sz w:val="22"/>
          <w:szCs w:val="22"/>
          <w:lang w:eastAsia="en-GB"/>
        </w:rPr>
        <w:t>, although it may</w:t>
      </w:r>
      <w:r w:rsidRPr="003C747E">
        <w:rPr>
          <w:sz w:val="22"/>
          <w:szCs w:val="22"/>
          <w:lang w:eastAsia="en-GB"/>
        </w:rPr>
        <w:t xml:space="preserve"> be called upon on an ad-hoc basis</w:t>
      </w:r>
      <w:r>
        <w:rPr>
          <w:sz w:val="22"/>
          <w:szCs w:val="22"/>
          <w:lang w:eastAsia="en-GB"/>
        </w:rPr>
        <w:t>;</w:t>
      </w:r>
    </w:p>
    <w:p w:rsidR="003C747E" w:rsidRDefault="003C747E" w:rsidP="003C747E">
      <w:pPr>
        <w:pStyle w:val="ListParagraph"/>
        <w:numPr>
          <w:ilvl w:val="0"/>
          <w:numId w:val="27"/>
        </w:numPr>
        <w:rPr>
          <w:sz w:val="22"/>
          <w:szCs w:val="22"/>
          <w:lang w:eastAsia="en-GB"/>
        </w:rPr>
      </w:pPr>
      <w:r>
        <w:rPr>
          <w:sz w:val="22"/>
          <w:szCs w:val="22"/>
          <w:lang w:eastAsia="en-GB"/>
        </w:rPr>
        <w:t>G</w:t>
      </w:r>
      <w:r w:rsidRPr="003C747E">
        <w:rPr>
          <w:sz w:val="22"/>
          <w:szCs w:val="22"/>
          <w:lang w:eastAsia="en-GB"/>
        </w:rPr>
        <w:t>iven the differing positions of the Government and the LGA, the most appropriate level of BRR to be reached through devolving responsibilities</w:t>
      </w:r>
      <w:r>
        <w:rPr>
          <w:sz w:val="22"/>
          <w:szCs w:val="22"/>
          <w:lang w:eastAsia="en-GB"/>
        </w:rPr>
        <w:t xml:space="preserve"> was (on</w:t>
      </w:r>
      <w:r w:rsidRPr="003C747E">
        <w:rPr>
          <w:sz w:val="22"/>
          <w:szCs w:val="22"/>
          <w:lang w:eastAsia="en-GB"/>
        </w:rPr>
        <w:t xml:space="preserve"> current </w:t>
      </w:r>
      <w:r>
        <w:rPr>
          <w:sz w:val="22"/>
          <w:szCs w:val="22"/>
          <w:lang w:eastAsia="en-GB"/>
        </w:rPr>
        <w:t xml:space="preserve">values) </w:t>
      </w:r>
      <w:r w:rsidRPr="003C747E">
        <w:rPr>
          <w:sz w:val="22"/>
          <w:szCs w:val="22"/>
          <w:lang w:eastAsia="en-GB"/>
        </w:rPr>
        <w:t>approximate</w:t>
      </w:r>
      <w:r>
        <w:rPr>
          <w:sz w:val="22"/>
          <w:szCs w:val="22"/>
          <w:lang w:eastAsia="en-GB"/>
        </w:rPr>
        <w:t>ly</w:t>
      </w:r>
      <w:r w:rsidRPr="003C747E">
        <w:rPr>
          <w:sz w:val="22"/>
          <w:szCs w:val="22"/>
          <w:lang w:eastAsia="en-GB"/>
        </w:rPr>
        <w:t xml:space="preserve"> 75%. </w:t>
      </w:r>
      <w:r>
        <w:rPr>
          <w:sz w:val="22"/>
          <w:szCs w:val="22"/>
          <w:lang w:eastAsia="en-GB"/>
        </w:rPr>
        <w:t>However:</w:t>
      </w:r>
    </w:p>
    <w:p w:rsidR="003C747E" w:rsidRDefault="003C747E" w:rsidP="00023366">
      <w:pPr>
        <w:pStyle w:val="ListParagraph"/>
        <w:numPr>
          <w:ilvl w:val="1"/>
          <w:numId w:val="27"/>
        </w:numPr>
        <w:rPr>
          <w:sz w:val="22"/>
          <w:szCs w:val="22"/>
          <w:lang w:eastAsia="en-GB"/>
        </w:rPr>
      </w:pPr>
      <w:r w:rsidRPr="003C747E">
        <w:rPr>
          <w:sz w:val="22"/>
          <w:szCs w:val="22"/>
          <w:lang w:eastAsia="en-GB"/>
        </w:rPr>
        <w:t>existing funding pressures should be considered first before any further responsibilities are devolved</w:t>
      </w:r>
      <w:r>
        <w:rPr>
          <w:sz w:val="22"/>
          <w:szCs w:val="22"/>
          <w:lang w:eastAsia="en-GB"/>
        </w:rPr>
        <w:t>;</w:t>
      </w:r>
    </w:p>
    <w:p w:rsidR="003C747E" w:rsidRDefault="003C747E" w:rsidP="00023366">
      <w:pPr>
        <w:pStyle w:val="ListParagraph"/>
        <w:numPr>
          <w:ilvl w:val="1"/>
          <w:numId w:val="27"/>
        </w:numPr>
        <w:rPr>
          <w:sz w:val="22"/>
          <w:szCs w:val="22"/>
          <w:lang w:eastAsia="en-GB"/>
        </w:rPr>
      </w:pPr>
      <w:r w:rsidRPr="003C747E">
        <w:rPr>
          <w:sz w:val="22"/>
          <w:szCs w:val="22"/>
          <w:lang w:eastAsia="en-GB"/>
        </w:rPr>
        <w:t xml:space="preserve">retention of growth </w:t>
      </w:r>
      <w:r>
        <w:rPr>
          <w:sz w:val="22"/>
          <w:szCs w:val="22"/>
          <w:lang w:eastAsia="en-GB"/>
        </w:rPr>
        <w:t>should</w:t>
      </w:r>
      <w:r w:rsidRPr="003C747E">
        <w:rPr>
          <w:sz w:val="22"/>
          <w:szCs w:val="22"/>
          <w:lang w:eastAsia="en-GB"/>
        </w:rPr>
        <w:t xml:space="preserve"> at least match retention of business rates stock</w:t>
      </w:r>
      <w:r>
        <w:rPr>
          <w:sz w:val="22"/>
          <w:szCs w:val="22"/>
          <w:lang w:eastAsia="en-GB"/>
        </w:rPr>
        <w:t>; and</w:t>
      </w:r>
    </w:p>
    <w:p w:rsidR="003C747E" w:rsidRDefault="003C747E" w:rsidP="00023366">
      <w:pPr>
        <w:pStyle w:val="ListParagraph"/>
        <w:numPr>
          <w:ilvl w:val="1"/>
          <w:numId w:val="27"/>
        </w:numPr>
        <w:rPr>
          <w:sz w:val="22"/>
          <w:szCs w:val="22"/>
          <w:lang w:eastAsia="en-GB"/>
        </w:rPr>
      </w:pPr>
      <w:r w:rsidRPr="003C747E">
        <w:rPr>
          <w:sz w:val="22"/>
          <w:szCs w:val="22"/>
          <w:lang w:eastAsia="en-GB"/>
        </w:rPr>
        <w:t xml:space="preserve">100% BRR </w:t>
      </w:r>
      <w:r>
        <w:rPr>
          <w:sz w:val="22"/>
          <w:szCs w:val="22"/>
          <w:lang w:eastAsia="en-GB"/>
        </w:rPr>
        <w:t>should be the eventual position</w:t>
      </w:r>
      <w:r w:rsidR="009B55B2">
        <w:rPr>
          <w:sz w:val="22"/>
          <w:szCs w:val="22"/>
          <w:lang w:eastAsia="en-GB"/>
        </w:rPr>
        <w:t>.</w:t>
      </w:r>
    </w:p>
    <w:p w:rsidR="009B55B2" w:rsidRDefault="009B55B2" w:rsidP="00023366">
      <w:pPr>
        <w:pStyle w:val="ListParagraph"/>
        <w:ind w:left="1866"/>
        <w:rPr>
          <w:sz w:val="22"/>
          <w:szCs w:val="22"/>
          <w:lang w:eastAsia="en-GB"/>
        </w:rPr>
      </w:pPr>
    </w:p>
    <w:p w:rsidR="009B55B2" w:rsidRPr="00023366" w:rsidRDefault="009B55B2" w:rsidP="00023366">
      <w:pPr>
        <w:pStyle w:val="ListParagraph"/>
        <w:numPr>
          <w:ilvl w:val="0"/>
          <w:numId w:val="25"/>
        </w:numPr>
        <w:spacing w:after="240" w:line="252" w:lineRule="auto"/>
        <w:ind w:left="426" w:hanging="426"/>
        <w:jc w:val="both"/>
        <w:rPr>
          <w:b/>
          <w:sz w:val="22"/>
          <w:szCs w:val="22"/>
          <w:lang w:eastAsia="en-GB"/>
        </w:rPr>
      </w:pPr>
      <w:r w:rsidRPr="00023366">
        <w:rPr>
          <w:b/>
          <w:sz w:val="22"/>
          <w:szCs w:val="22"/>
        </w:rPr>
        <w:t>Background</w:t>
      </w:r>
    </w:p>
    <w:p w:rsidR="003C747E" w:rsidRDefault="003C747E" w:rsidP="00023366">
      <w:pPr>
        <w:pStyle w:val="ListParagraph"/>
        <w:ind w:left="1146"/>
        <w:rPr>
          <w:sz w:val="22"/>
          <w:szCs w:val="22"/>
          <w:lang w:eastAsia="en-GB"/>
        </w:rPr>
      </w:pPr>
    </w:p>
    <w:p w:rsidR="002145A1" w:rsidRDefault="00DA6B8B" w:rsidP="007C1F24">
      <w:pPr>
        <w:pStyle w:val="ListParagraph"/>
        <w:numPr>
          <w:ilvl w:val="1"/>
          <w:numId w:val="25"/>
        </w:numPr>
        <w:spacing w:after="240" w:line="252" w:lineRule="auto"/>
        <w:ind w:left="426" w:hanging="426"/>
        <w:jc w:val="both"/>
        <w:rPr>
          <w:sz w:val="22"/>
          <w:szCs w:val="22"/>
          <w:lang w:eastAsia="en-GB"/>
        </w:rPr>
      </w:pPr>
      <w:r w:rsidRPr="007C1F24">
        <w:rPr>
          <w:sz w:val="22"/>
          <w:szCs w:val="22"/>
          <w:lang w:eastAsia="en-GB"/>
        </w:rPr>
        <w:t>On 3 October 2017 the</w:t>
      </w:r>
      <w:r w:rsidR="005D0F81" w:rsidRPr="007C1F24">
        <w:rPr>
          <w:sz w:val="22"/>
          <w:szCs w:val="22"/>
          <w:lang w:eastAsia="en-GB"/>
        </w:rPr>
        <w:t xml:space="preserve"> BRR Steering Group met for the first time since the General Election</w:t>
      </w:r>
      <w:r w:rsidRPr="007C1F24">
        <w:rPr>
          <w:sz w:val="22"/>
          <w:szCs w:val="22"/>
          <w:lang w:eastAsia="en-GB"/>
        </w:rPr>
        <w:t>.</w:t>
      </w:r>
      <w:r w:rsidR="005D0F81" w:rsidRPr="007C1F24">
        <w:rPr>
          <w:sz w:val="22"/>
          <w:szCs w:val="22"/>
          <w:lang w:eastAsia="en-GB"/>
        </w:rPr>
        <w:t xml:space="preserve"> </w:t>
      </w:r>
      <w:r w:rsidR="003C3BEC" w:rsidRPr="007C1F24">
        <w:rPr>
          <w:sz w:val="22"/>
          <w:szCs w:val="22"/>
          <w:lang w:eastAsia="en-GB"/>
        </w:rPr>
        <w:t xml:space="preserve">The </w:t>
      </w:r>
      <w:r w:rsidRPr="007C1F24">
        <w:rPr>
          <w:sz w:val="22"/>
          <w:szCs w:val="22"/>
          <w:lang w:eastAsia="en-GB"/>
        </w:rPr>
        <w:t xml:space="preserve">Group discussed the next steps on further business rates retention and how this interacted with the Steering and Working Groups. </w:t>
      </w:r>
      <w:r w:rsidR="00E500BF" w:rsidRPr="007C1F24">
        <w:rPr>
          <w:sz w:val="22"/>
          <w:szCs w:val="22"/>
          <w:lang w:eastAsia="en-GB"/>
        </w:rPr>
        <w:t xml:space="preserve">Following this discussion, it was </w:t>
      </w:r>
      <w:r w:rsidR="00C82AB6" w:rsidRPr="007C1F24">
        <w:rPr>
          <w:sz w:val="22"/>
          <w:szCs w:val="22"/>
          <w:lang w:eastAsia="en-GB"/>
        </w:rPr>
        <w:t xml:space="preserve">suggested </w:t>
      </w:r>
      <w:r w:rsidR="00E500BF" w:rsidRPr="007C1F24">
        <w:rPr>
          <w:sz w:val="22"/>
          <w:szCs w:val="22"/>
          <w:lang w:eastAsia="en-GB"/>
        </w:rPr>
        <w:t xml:space="preserve">that at this stage, the </w:t>
      </w:r>
      <w:r w:rsidR="003C3BEC" w:rsidRPr="007C1F24">
        <w:rPr>
          <w:sz w:val="22"/>
          <w:szCs w:val="22"/>
          <w:lang w:eastAsia="en-GB"/>
        </w:rPr>
        <w:t xml:space="preserve">Devolution of Responsibilities working group </w:t>
      </w:r>
      <w:r w:rsidR="00E500BF" w:rsidRPr="007C1F24">
        <w:rPr>
          <w:sz w:val="22"/>
          <w:szCs w:val="22"/>
          <w:lang w:eastAsia="en-GB"/>
        </w:rPr>
        <w:t>had taken its work as far forward as possible and therefore should b</w:t>
      </w:r>
      <w:r w:rsidR="0078256D" w:rsidRPr="007C1F24">
        <w:rPr>
          <w:sz w:val="22"/>
          <w:szCs w:val="22"/>
          <w:lang w:eastAsia="en-GB"/>
        </w:rPr>
        <w:t>e</w:t>
      </w:r>
      <w:r w:rsidR="005E72FD" w:rsidRPr="007C1F24">
        <w:rPr>
          <w:sz w:val="22"/>
          <w:szCs w:val="22"/>
          <w:lang w:eastAsia="en-GB"/>
        </w:rPr>
        <w:t xml:space="preserve"> closed in its current format. The Steering Group indicated that they would like to be able to call upon the working group on an ad-hoc basis as new areas of work arise from their meetings.</w:t>
      </w:r>
    </w:p>
    <w:p w:rsidR="00A6385B" w:rsidRDefault="00A6385B" w:rsidP="00A6385B">
      <w:pPr>
        <w:pStyle w:val="ListParagraph"/>
        <w:spacing w:after="240" w:line="252" w:lineRule="auto"/>
        <w:ind w:left="426"/>
        <w:jc w:val="both"/>
        <w:rPr>
          <w:sz w:val="22"/>
          <w:szCs w:val="22"/>
          <w:lang w:eastAsia="en-GB"/>
        </w:rPr>
      </w:pPr>
    </w:p>
    <w:p w:rsidR="00A6385B" w:rsidRDefault="00A6385B" w:rsidP="007C1F24">
      <w:pPr>
        <w:pStyle w:val="ListParagraph"/>
        <w:numPr>
          <w:ilvl w:val="1"/>
          <w:numId w:val="25"/>
        </w:numPr>
        <w:spacing w:after="240" w:line="252" w:lineRule="auto"/>
        <w:ind w:left="426" w:hanging="426"/>
        <w:jc w:val="both"/>
        <w:rPr>
          <w:sz w:val="22"/>
          <w:szCs w:val="22"/>
          <w:lang w:eastAsia="en-GB"/>
        </w:rPr>
      </w:pPr>
      <w:r>
        <w:rPr>
          <w:sz w:val="22"/>
          <w:szCs w:val="22"/>
          <w:lang w:eastAsia="en-GB"/>
        </w:rPr>
        <w:t>This paper was discussed at the Responsibilities Working Group meeting on 9 November 2017 and provides a summary of the group’s activities and achievements. The Group also discussed three key questions on its future:</w:t>
      </w:r>
    </w:p>
    <w:p w:rsidR="00A6385B" w:rsidRDefault="00A6385B" w:rsidP="00A6385B">
      <w:pPr>
        <w:pStyle w:val="ListParagraph"/>
        <w:spacing w:after="240" w:line="252" w:lineRule="auto"/>
        <w:ind w:left="426"/>
        <w:jc w:val="both"/>
        <w:rPr>
          <w:sz w:val="22"/>
          <w:szCs w:val="22"/>
          <w:lang w:eastAsia="en-GB"/>
        </w:rPr>
      </w:pPr>
    </w:p>
    <w:p w:rsidR="00A6385B" w:rsidRPr="00A6385B" w:rsidRDefault="00634A3B" w:rsidP="00B12D55">
      <w:pPr>
        <w:pStyle w:val="ListParagraph"/>
        <w:numPr>
          <w:ilvl w:val="0"/>
          <w:numId w:val="32"/>
        </w:numPr>
        <w:rPr>
          <w:sz w:val="22"/>
          <w:szCs w:val="22"/>
          <w:lang w:eastAsia="en-GB"/>
        </w:rPr>
      </w:pPr>
      <w:r>
        <w:rPr>
          <w:sz w:val="22"/>
          <w:szCs w:val="22"/>
          <w:lang w:eastAsia="en-GB"/>
        </w:rPr>
        <w:t>Do</w:t>
      </w:r>
      <w:r w:rsidR="00A6385B" w:rsidRPr="00A6385B">
        <w:rPr>
          <w:sz w:val="22"/>
          <w:szCs w:val="22"/>
          <w:lang w:eastAsia="en-GB"/>
        </w:rPr>
        <w:t xml:space="preserve"> the group agree with the Steering Group’s proposal to close the working group, and </w:t>
      </w:r>
      <w:r w:rsidR="00A6385B">
        <w:rPr>
          <w:sz w:val="22"/>
          <w:szCs w:val="22"/>
          <w:lang w:eastAsia="en-GB"/>
        </w:rPr>
        <w:t>was</w:t>
      </w:r>
      <w:r w:rsidR="00A6385B" w:rsidRPr="00A6385B">
        <w:rPr>
          <w:sz w:val="22"/>
          <w:szCs w:val="22"/>
          <w:lang w:eastAsia="en-GB"/>
        </w:rPr>
        <w:t xml:space="preserve"> the group content to be called upon on an ad-hoc basis?</w:t>
      </w:r>
    </w:p>
    <w:p w:rsidR="00A6385B" w:rsidRPr="00A6385B" w:rsidRDefault="00A6385B" w:rsidP="00B12D55">
      <w:pPr>
        <w:pStyle w:val="ListParagraph"/>
        <w:numPr>
          <w:ilvl w:val="0"/>
          <w:numId w:val="32"/>
        </w:numPr>
        <w:rPr>
          <w:sz w:val="22"/>
          <w:szCs w:val="22"/>
          <w:lang w:eastAsia="en-GB"/>
        </w:rPr>
      </w:pPr>
      <w:r>
        <w:rPr>
          <w:sz w:val="22"/>
          <w:szCs w:val="22"/>
          <w:lang w:eastAsia="en-GB"/>
        </w:rPr>
        <w:t xml:space="preserve">What </w:t>
      </w:r>
      <w:r w:rsidRPr="00A6385B">
        <w:rPr>
          <w:sz w:val="22"/>
          <w:szCs w:val="22"/>
          <w:lang w:eastAsia="en-GB"/>
        </w:rPr>
        <w:t>is</w:t>
      </w:r>
      <w:r>
        <w:rPr>
          <w:sz w:val="22"/>
          <w:szCs w:val="22"/>
          <w:lang w:eastAsia="en-GB"/>
        </w:rPr>
        <w:t xml:space="preserve"> the </w:t>
      </w:r>
      <w:r w:rsidRPr="00A6385B">
        <w:rPr>
          <w:sz w:val="22"/>
          <w:szCs w:val="22"/>
          <w:lang w:eastAsia="en-GB"/>
        </w:rPr>
        <w:t xml:space="preserve">appropriate level of business rates retention to be reached through devolving responsibilities? I.e. is the current approximate 75% retention figure the maximum or should further responsibilities be devolved to go beyond this? </w:t>
      </w:r>
    </w:p>
    <w:p w:rsidR="00554ACA" w:rsidRDefault="00A6385B" w:rsidP="00B12D55">
      <w:pPr>
        <w:pStyle w:val="ListParagraph"/>
        <w:numPr>
          <w:ilvl w:val="0"/>
          <w:numId w:val="32"/>
        </w:numPr>
        <w:rPr>
          <w:sz w:val="22"/>
          <w:szCs w:val="22"/>
          <w:lang w:eastAsia="en-GB"/>
        </w:rPr>
      </w:pPr>
      <w:r w:rsidRPr="00A6385B">
        <w:rPr>
          <w:sz w:val="22"/>
          <w:szCs w:val="22"/>
          <w:lang w:eastAsia="en-GB"/>
        </w:rPr>
        <w:t xml:space="preserve">If further responsibilities should be devolved, does the group have suggestions as to what they should be? </w:t>
      </w:r>
    </w:p>
    <w:p w:rsidR="006A1915" w:rsidRPr="006A1915" w:rsidRDefault="006A1915" w:rsidP="006A1915">
      <w:pPr>
        <w:pStyle w:val="ListParagraph"/>
        <w:ind w:left="1146"/>
        <w:rPr>
          <w:sz w:val="22"/>
          <w:szCs w:val="22"/>
          <w:lang w:eastAsia="en-GB"/>
        </w:rPr>
      </w:pPr>
    </w:p>
    <w:p w:rsidR="0025501A" w:rsidRDefault="009B55B2" w:rsidP="007C1F24">
      <w:pPr>
        <w:pStyle w:val="ListParagraph"/>
        <w:numPr>
          <w:ilvl w:val="0"/>
          <w:numId w:val="25"/>
        </w:numPr>
        <w:spacing w:after="240" w:line="252" w:lineRule="auto"/>
        <w:ind w:left="426" w:hanging="426"/>
        <w:jc w:val="both"/>
        <w:rPr>
          <w:b/>
          <w:sz w:val="22"/>
          <w:szCs w:val="22"/>
        </w:rPr>
      </w:pPr>
      <w:r>
        <w:rPr>
          <w:b/>
          <w:sz w:val="22"/>
          <w:szCs w:val="22"/>
        </w:rPr>
        <w:t>Progress to date</w:t>
      </w:r>
    </w:p>
    <w:p w:rsidR="00554ACA" w:rsidRPr="007C1F24" w:rsidRDefault="00554ACA" w:rsidP="007C1F24">
      <w:pPr>
        <w:pStyle w:val="ListParagraph"/>
        <w:spacing w:after="240" w:line="252" w:lineRule="auto"/>
        <w:ind w:left="426"/>
        <w:jc w:val="both"/>
        <w:rPr>
          <w:b/>
          <w:sz w:val="22"/>
          <w:szCs w:val="22"/>
        </w:rPr>
      </w:pPr>
    </w:p>
    <w:p w:rsidR="0025501A" w:rsidRDefault="0025501A" w:rsidP="007C1F24">
      <w:pPr>
        <w:pStyle w:val="ListParagraph"/>
        <w:numPr>
          <w:ilvl w:val="1"/>
          <w:numId w:val="25"/>
        </w:numPr>
        <w:spacing w:after="240" w:line="252" w:lineRule="auto"/>
        <w:ind w:left="426" w:hanging="426"/>
        <w:jc w:val="both"/>
        <w:rPr>
          <w:sz w:val="22"/>
          <w:szCs w:val="22"/>
          <w:lang w:eastAsia="en-GB"/>
        </w:rPr>
      </w:pPr>
      <w:r>
        <w:rPr>
          <w:sz w:val="22"/>
          <w:szCs w:val="22"/>
          <w:lang w:eastAsia="en-GB"/>
        </w:rPr>
        <w:t>The Working</w:t>
      </w:r>
      <w:r w:rsidR="007C1F24">
        <w:rPr>
          <w:sz w:val="22"/>
          <w:szCs w:val="22"/>
          <w:lang w:eastAsia="en-GB"/>
        </w:rPr>
        <w:t xml:space="preserve"> Group was established in April 2016 with a remit to provide advice on</w:t>
      </w:r>
      <w:r w:rsidR="000E1E04">
        <w:rPr>
          <w:sz w:val="22"/>
          <w:szCs w:val="22"/>
          <w:lang w:eastAsia="en-GB"/>
        </w:rPr>
        <w:t xml:space="preserve"> a package or</w:t>
      </w:r>
      <w:r w:rsidR="007C1F24">
        <w:rPr>
          <w:sz w:val="22"/>
          <w:szCs w:val="22"/>
          <w:lang w:eastAsia="en-GB"/>
        </w:rPr>
        <w:t xml:space="preserve"> packages </w:t>
      </w:r>
      <w:r w:rsidR="000E1E04">
        <w:rPr>
          <w:sz w:val="22"/>
          <w:szCs w:val="22"/>
          <w:lang w:eastAsia="en-GB"/>
        </w:rPr>
        <w:t xml:space="preserve">of responsibilities that could be devolved to local government in implementing business rates retention. </w:t>
      </w:r>
      <w:r>
        <w:rPr>
          <w:sz w:val="22"/>
          <w:szCs w:val="22"/>
          <w:lang w:eastAsia="en-GB"/>
        </w:rPr>
        <w:t>It took a structured approach to the issue:</w:t>
      </w:r>
    </w:p>
    <w:p w:rsidR="0088703E" w:rsidRPr="007C1F24" w:rsidRDefault="004B5555" w:rsidP="007C1F24">
      <w:pPr>
        <w:spacing w:after="240" w:line="252" w:lineRule="auto"/>
        <w:ind w:left="426"/>
        <w:jc w:val="both"/>
        <w:rPr>
          <w:b/>
          <w:sz w:val="22"/>
          <w:szCs w:val="22"/>
          <w:lang w:eastAsia="en-GB"/>
        </w:rPr>
      </w:pPr>
      <w:r w:rsidRPr="007C1F24">
        <w:rPr>
          <w:b/>
          <w:sz w:val="22"/>
          <w:szCs w:val="22"/>
          <w:lang w:eastAsia="en-GB"/>
        </w:rPr>
        <w:t xml:space="preserve">Establishment of criteria for devolved responsibilities </w:t>
      </w:r>
    </w:p>
    <w:p w:rsidR="001504C6" w:rsidRDefault="00E500BF" w:rsidP="007C1F24">
      <w:pPr>
        <w:pStyle w:val="ListParagraph"/>
        <w:numPr>
          <w:ilvl w:val="1"/>
          <w:numId w:val="25"/>
        </w:numPr>
        <w:spacing w:after="240" w:line="252" w:lineRule="auto"/>
        <w:ind w:left="426" w:hanging="426"/>
        <w:jc w:val="both"/>
        <w:rPr>
          <w:sz w:val="22"/>
          <w:szCs w:val="22"/>
          <w:lang w:eastAsia="en-GB"/>
        </w:rPr>
      </w:pPr>
      <w:r w:rsidRPr="00B2735E">
        <w:rPr>
          <w:sz w:val="22"/>
          <w:szCs w:val="22"/>
          <w:lang w:eastAsia="en-GB"/>
        </w:rPr>
        <w:t xml:space="preserve">Before seeking to identify or debate particular candidates for devolution, </w:t>
      </w:r>
      <w:r w:rsidR="00911371" w:rsidRPr="00B2735E">
        <w:rPr>
          <w:sz w:val="22"/>
          <w:szCs w:val="22"/>
          <w:lang w:eastAsia="en-GB"/>
        </w:rPr>
        <w:t xml:space="preserve">the group established a set of guiding </w:t>
      </w:r>
      <w:r w:rsidR="0088703E" w:rsidRPr="00B2735E">
        <w:rPr>
          <w:sz w:val="22"/>
          <w:szCs w:val="22"/>
          <w:lang w:eastAsia="en-GB"/>
        </w:rPr>
        <w:t>criteria</w:t>
      </w:r>
      <w:r w:rsidR="00911371" w:rsidRPr="00B2735E">
        <w:rPr>
          <w:sz w:val="22"/>
          <w:szCs w:val="22"/>
          <w:lang w:eastAsia="en-GB"/>
        </w:rPr>
        <w:t xml:space="preserve"> to help inform decisions on the suitability of </w:t>
      </w:r>
      <w:r w:rsidR="00911371" w:rsidRPr="00B2735E">
        <w:rPr>
          <w:sz w:val="22"/>
          <w:szCs w:val="22"/>
          <w:lang w:eastAsia="en-GB"/>
        </w:rPr>
        <w:lastRenderedPageBreak/>
        <w:t xml:space="preserve">responsibilities to devolved to local government and funded through retained business rates. The </w:t>
      </w:r>
      <w:r w:rsidR="0088703E" w:rsidRPr="00B2735E">
        <w:rPr>
          <w:sz w:val="22"/>
          <w:szCs w:val="22"/>
          <w:lang w:eastAsia="en-GB"/>
        </w:rPr>
        <w:t>criteria established</w:t>
      </w:r>
      <w:r w:rsidR="00911371" w:rsidRPr="00B2735E">
        <w:rPr>
          <w:sz w:val="22"/>
          <w:szCs w:val="22"/>
          <w:lang w:eastAsia="en-GB"/>
        </w:rPr>
        <w:t xml:space="preserve"> that devolved responsibilities should</w:t>
      </w:r>
      <w:r w:rsidR="0088703E" w:rsidRPr="00B2735E">
        <w:rPr>
          <w:sz w:val="22"/>
          <w:szCs w:val="22"/>
          <w:lang w:eastAsia="en-GB"/>
        </w:rPr>
        <w:t>:</w:t>
      </w:r>
    </w:p>
    <w:p w:rsidR="005D373D" w:rsidRPr="00B2735E" w:rsidRDefault="005D373D" w:rsidP="00CE495B">
      <w:pPr>
        <w:pStyle w:val="ListParagraph"/>
        <w:numPr>
          <w:ilvl w:val="0"/>
          <w:numId w:val="4"/>
        </w:numPr>
        <w:spacing w:after="0" w:line="240" w:lineRule="auto"/>
        <w:rPr>
          <w:sz w:val="22"/>
          <w:szCs w:val="22"/>
          <w:lang w:eastAsia="en-GB"/>
        </w:rPr>
      </w:pPr>
      <w:r w:rsidRPr="00B2735E">
        <w:rPr>
          <w:sz w:val="22"/>
          <w:szCs w:val="22"/>
          <w:lang w:eastAsia="en-GB"/>
        </w:rPr>
        <w:t>Build on the strengths of local government;</w:t>
      </w:r>
    </w:p>
    <w:p w:rsidR="005D373D" w:rsidRPr="00B2735E" w:rsidRDefault="005D373D" w:rsidP="00CE495B">
      <w:pPr>
        <w:pStyle w:val="ListParagraph"/>
        <w:numPr>
          <w:ilvl w:val="0"/>
          <w:numId w:val="4"/>
        </w:numPr>
        <w:spacing w:after="0" w:line="240" w:lineRule="auto"/>
        <w:rPr>
          <w:sz w:val="22"/>
          <w:szCs w:val="22"/>
          <w:lang w:eastAsia="en-GB"/>
        </w:rPr>
      </w:pPr>
      <w:r w:rsidRPr="00B2735E">
        <w:rPr>
          <w:sz w:val="22"/>
          <w:szCs w:val="22"/>
          <w:lang w:eastAsia="en-GB"/>
        </w:rPr>
        <w:t>Support economic growth;</w:t>
      </w:r>
    </w:p>
    <w:p w:rsidR="005D373D" w:rsidRPr="00B2735E" w:rsidRDefault="005D373D" w:rsidP="00CE495B">
      <w:pPr>
        <w:pStyle w:val="ListParagraph"/>
        <w:numPr>
          <w:ilvl w:val="0"/>
          <w:numId w:val="4"/>
        </w:numPr>
        <w:spacing w:after="0" w:line="240" w:lineRule="auto"/>
        <w:rPr>
          <w:sz w:val="22"/>
          <w:szCs w:val="22"/>
          <w:lang w:eastAsia="en-GB"/>
        </w:rPr>
      </w:pPr>
      <w:r w:rsidRPr="00B2735E">
        <w:rPr>
          <w:sz w:val="22"/>
          <w:szCs w:val="22"/>
          <w:lang w:eastAsia="en-GB"/>
        </w:rPr>
        <w:t>Support improved outcomes for local people; and</w:t>
      </w:r>
    </w:p>
    <w:p w:rsidR="005D373D" w:rsidRDefault="005D373D" w:rsidP="00CE495B">
      <w:pPr>
        <w:pStyle w:val="ListParagraph"/>
        <w:numPr>
          <w:ilvl w:val="0"/>
          <w:numId w:val="4"/>
        </w:numPr>
        <w:spacing w:after="0" w:line="240" w:lineRule="auto"/>
        <w:rPr>
          <w:sz w:val="22"/>
          <w:szCs w:val="22"/>
          <w:lang w:eastAsia="en-GB"/>
        </w:rPr>
      </w:pPr>
      <w:r w:rsidRPr="00B2735E">
        <w:rPr>
          <w:sz w:val="22"/>
          <w:szCs w:val="22"/>
          <w:lang w:eastAsia="en-GB"/>
        </w:rPr>
        <w:t>Have consideration for the medium-long term financial impact on local government.</w:t>
      </w:r>
    </w:p>
    <w:p w:rsidR="00CE495B" w:rsidRPr="00B2735E" w:rsidRDefault="00CE495B" w:rsidP="00CE495B">
      <w:pPr>
        <w:pStyle w:val="ListParagraph"/>
        <w:spacing w:after="0" w:line="240" w:lineRule="auto"/>
        <w:ind w:left="1080"/>
        <w:rPr>
          <w:sz w:val="22"/>
          <w:szCs w:val="22"/>
          <w:lang w:eastAsia="en-GB"/>
        </w:rPr>
      </w:pPr>
    </w:p>
    <w:p w:rsidR="0025501A" w:rsidRDefault="005D373D" w:rsidP="007C1F24">
      <w:pPr>
        <w:pStyle w:val="ListParagraph"/>
        <w:numPr>
          <w:ilvl w:val="1"/>
          <w:numId w:val="25"/>
        </w:numPr>
        <w:spacing w:after="240" w:line="252" w:lineRule="auto"/>
        <w:ind w:left="426" w:hanging="426"/>
        <w:jc w:val="both"/>
        <w:rPr>
          <w:sz w:val="22"/>
          <w:szCs w:val="22"/>
          <w:lang w:eastAsia="en-GB"/>
        </w:rPr>
      </w:pPr>
      <w:r w:rsidRPr="00B2735E">
        <w:rPr>
          <w:sz w:val="22"/>
          <w:szCs w:val="22"/>
          <w:lang w:eastAsia="en-GB"/>
        </w:rPr>
        <w:t>It was not assumed that responsibilities proposed fo</w:t>
      </w:r>
      <w:r w:rsidR="00CE495B">
        <w:rPr>
          <w:sz w:val="22"/>
          <w:szCs w:val="22"/>
          <w:lang w:eastAsia="en-GB"/>
        </w:rPr>
        <w:t>r devolution should meet all criteria</w:t>
      </w:r>
      <w:r w:rsidRPr="00B2735E">
        <w:rPr>
          <w:sz w:val="22"/>
          <w:szCs w:val="22"/>
          <w:lang w:eastAsia="en-GB"/>
        </w:rPr>
        <w:t>, but instead the criteria should be used as guiding principles for devolution.</w:t>
      </w:r>
      <w:r w:rsidR="00BA7B6E" w:rsidRPr="00B2735E">
        <w:rPr>
          <w:sz w:val="22"/>
          <w:szCs w:val="22"/>
          <w:lang w:eastAsia="en-GB"/>
        </w:rPr>
        <w:t xml:space="preserve"> </w:t>
      </w:r>
    </w:p>
    <w:p w:rsidR="002145A1" w:rsidRDefault="002145A1" w:rsidP="007C1F24">
      <w:pPr>
        <w:pStyle w:val="ListParagraph"/>
        <w:spacing w:after="240" w:line="252" w:lineRule="auto"/>
        <w:ind w:left="426"/>
        <w:jc w:val="both"/>
        <w:rPr>
          <w:sz w:val="22"/>
          <w:szCs w:val="22"/>
          <w:lang w:eastAsia="en-GB"/>
        </w:rPr>
      </w:pPr>
    </w:p>
    <w:p w:rsidR="0025501A" w:rsidRPr="007C1F24" w:rsidRDefault="0025501A" w:rsidP="007C1F24">
      <w:pPr>
        <w:pStyle w:val="ListParagraph"/>
        <w:spacing w:after="240" w:line="252" w:lineRule="auto"/>
        <w:ind w:left="426"/>
        <w:jc w:val="both"/>
        <w:rPr>
          <w:sz w:val="22"/>
          <w:szCs w:val="22"/>
          <w:lang w:eastAsia="en-GB"/>
        </w:rPr>
      </w:pPr>
      <w:r>
        <w:rPr>
          <w:b/>
          <w:sz w:val="22"/>
          <w:szCs w:val="22"/>
          <w:lang w:eastAsia="en-GB"/>
        </w:rPr>
        <w:t>G</w:t>
      </w:r>
      <w:r w:rsidRPr="00F94A4D">
        <w:rPr>
          <w:b/>
          <w:sz w:val="22"/>
          <w:szCs w:val="22"/>
          <w:lang w:eastAsia="en-GB"/>
        </w:rPr>
        <w:t>uid</w:t>
      </w:r>
      <w:r>
        <w:rPr>
          <w:b/>
          <w:sz w:val="22"/>
          <w:szCs w:val="22"/>
          <w:lang w:eastAsia="en-GB"/>
        </w:rPr>
        <w:t>ing</w:t>
      </w:r>
      <w:r w:rsidRPr="00F94A4D">
        <w:rPr>
          <w:b/>
          <w:sz w:val="22"/>
          <w:szCs w:val="22"/>
          <w:lang w:eastAsia="en-GB"/>
        </w:rPr>
        <w:t xml:space="preserve"> decisions on those responsibilities confirmed for devolution</w:t>
      </w:r>
    </w:p>
    <w:p w:rsidR="002145A1" w:rsidRDefault="002145A1" w:rsidP="007C1F24">
      <w:pPr>
        <w:pStyle w:val="ListParagraph"/>
        <w:spacing w:after="240" w:line="252" w:lineRule="auto"/>
        <w:ind w:left="426"/>
        <w:jc w:val="both"/>
        <w:rPr>
          <w:sz w:val="22"/>
          <w:szCs w:val="22"/>
          <w:lang w:eastAsia="en-GB"/>
        </w:rPr>
      </w:pPr>
    </w:p>
    <w:p w:rsidR="005D373D" w:rsidRDefault="00BA7B6E" w:rsidP="000E1E04">
      <w:pPr>
        <w:pStyle w:val="ListParagraph"/>
        <w:numPr>
          <w:ilvl w:val="1"/>
          <w:numId w:val="25"/>
        </w:numPr>
        <w:spacing w:after="240" w:line="252" w:lineRule="auto"/>
        <w:ind w:left="426" w:hanging="426"/>
        <w:jc w:val="both"/>
        <w:rPr>
          <w:sz w:val="22"/>
          <w:szCs w:val="22"/>
          <w:lang w:eastAsia="en-GB"/>
        </w:rPr>
      </w:pPr>
      <w:r w:rsidRPr="00B2735E">
        <w:rPr>
          <w:sz w:val="22"/>
          <w:szCs w:val="22"/>
          <w:lang w:eastAsia="en-GB"/>
        </w:rPr>
        <w:t xml:space="preserve">The </w:t>
      </w:r>
      <w:r w:rsidR="00B33536">
        <w:rPr>
          <w:sz w:val="22"/>
          <w:szCs w:val="22"/>
          <w:lang w:eastAsia="en-GB"/>
        </w:rPr>
        <w:t xml:space="preserve">established </w:t>
      </w:r>
      <w:r w:rsidRPr="00B2735E">
        <w:rPr>
          <w:sz w:val="22"/>
          <w:szCs w:val="22"/>
          <w:lang w:eastAsia="en-GB"/>
        </w:rPr>
        <w:t xml:space="preserve">criteria </w:t>
      </w:r>
      <w:r w:rsidR="00B33536">
        <w:rPr>
          <w:sz w:val="22"/>
          <w:szCs w:val="22"/>
          <w:lang w:eastAsia="en-GB"/>
        </w:rPr>
        <w:t xml:space="preserve">then </w:t>
      </w:r>
      <w:r w:rsidR="00CE495B">
        <w:rPr>
          <w:sz w:val="22"/>
          <w:szCs w:val="22"/>
          <w:lang w:eastAsia="en-GB"/>
        </w:rPr>
        <w:t>formed the basis of a suitability</w:t>
      </w:r>
      <w:r w:rsidRPr="00B2735E">
        <w:rPr>
          <w:sz w:val="22"/>
          <w:szCs w:val="22"/>
          <w:lang w:eastAsia="en-GB"/>
        </w:rPr>
        <w:t xml:space="preserve"> assessment </w:t>
      </w:r>
      <w:r w:rsidR="00CE495B">
        <w:rPr>
          <w:sz w:val="22"/>
          <w:szCs w:val="22"/>
          <w:lang w:eastAsia="en-GB"/>
        </w:rPr>
        <w:t>for</w:t>
      </w:r>
      <w:r w:rsidRPr="00B2735E">
        <w:rPr>
          <w:sz w:val="22"/>
          <w:szCs w:val="22"/>
          <w:lang w:eastAsia="en-GB"/>
        </w:rPr>
        <w:t xml:space="preserve"> those responsibilities which were consulted upon in the Government’s July 2016 ‘Self Sufficient Local Government: 100% Business Rate Retention’ consultation.</w:t>
      </w:r>
      <w:r w:rsidR="000E1E04">
        <w:rPr>
          <w:sz w:val="22"/>
          <w:szCs w:val="22"/>
          <w:lang w:eastAsia="en-GB"/>
        </w:rPr>
        <w:t xml:space="preserve"> </w:t>
      </w:r>
      <w:r w:rsidR="0002393B">
        <w:rPr>
          <w:sz w:val="22"/>
          <w:szCs w:val="22"/>
          <w:lang w:eastAsia="en-GB"/>
        </w:rPr>
        <w:t xml:space="preserve">A full list of responsibilities the group considered can be found in </w:t>
      </w:r>
      <w:r w:rsidR="00525CD2">
        <w:rPr>
          <w:sz w:val="22"/>
          <w:szCs w:val="22"/>
          <w:lang w:eastAsia="en-GB"/>
        </w:rPr>
        <w:t>Annexes A and B.</w:t>
      </w:r>
    </w:p>
    <w:p w:rsidR="000E1E04" w:rsidRPr="0025501A" w:rsidRDefault="000E1E04" w:rsidP="000E1E04">
      <w:pPr>
        <w:pStyle w:val="ListParagraph"/>
        <w:spacing w:after="240" w:line="252" w:lineRule="auto"/>
        <w:ind w:left="426"/>
        <w:jc w:val="both"/>
        <w:rPr>
          <w:sz w:val="22"/>
          <w:szCs w:val="22"/>
          <w:lang w:eastAsia="en-GB"/>
        </w:rPr>
      </w:pPr>
    </w:p>
    <w:p w:rsidR="00F94A4D" w:rsidRPr="00F94A4D" w:rsidRDefault="00F94A4D" w:rsidP="007C1F24">
      <w:pPr>
        <w:pStyle w:val="ListParagraph"/>
        <w:numPr>
          <w:ilvl w:val="1"/>
          <w:numId w:val="25"/>
        </w:numPr>
        <w:spacing w:after="240" w:line="252" w:lineRule="auto"/>
        <w:ind w:left="426" w:hanging="426"/>
        <w:jc w:val="both"/>
        <w:rPr>
          <w:sz w:val="22"/>
          <w:szCs w:val="22"/>
          <w:lang w:eastAsia="en-GB"/>
        </w:rPr>
      </w:pPr>
      <w:r w:rsidRPr="00F94A4D">
        <w:rPr>
          <w:sz w:val="22"/>
          <w:szCs w:val="22"/>
          <w:lang w:eastAsia="en-GB"/>
        </w:rPr>
        <w:t xml:space="preserve">The Government’s response to the July 2016 consultation confirmed that the following responsibilities would be funded through retained business rates when the new system is introduced: Revenue Support Grant, Rural Services Delivery Grant, Public Health Grant and the GLA Transport Grant. The response also confirmed that Attendance Allowance would no longer be considered for devolution as part of the reforms to business rates; something which the Working Group had been clear on from the outset. The table below illustrates how those responsibilities confirmed for devolution meet the criteria established by the Working Group. </w:t>
      </w:r>
    </w:p>
    <w:p w:rsidR="00F94A4D" w:rsidRPr="00B2735E" w:rsidRDefault="00F94A4D" w:rsidP="00B2735E">
      <w:pPr>
        <w:rPr>
          <w:sz w:val="22"/>
          <w:szCs w:val="22"/>
          <w:lang w:eastAsia="en-GB"/>
        </w:rPr>
      </w:pPr>
    </w:p>
    <w:tbl>
      <w:tblPr>
        <w:tblStyle w:val="TableGrid"/>
        <w:tblpPr w:leftFromText="180" w:rightFromText="180" w:vertAnchor="text" w:horzAnchor="margin" w:tblpY="-127"/>
        <w:tblW w:w="10173" w:type="dxa"/>
        <w:tblLook w:val="04A0" w:firstRow="1" w:lastRow="0" w:firstColumn="1" w:lastColumn="0" w:noHBand="0" w:noVBand="1"/>
      </w:tblPr>
      <w:tblGrid>
        <w:gridCol w:w="1668"/>
        <w:gridCol w:w="1134"/>
        <w:gridCol w:w="1984"/>
        <w:gridCol w:w="1276"/>
        <w:gridCol w:w="1984"/>
        <w:gridCol w:w="2127"/>
      </w:tblGrid>
      <w:tr w:rsidR="00F94A4D" w:rsidTr="00F94A4D">
        <w:tc>
          <w:tcPr>
            <w:tcW w:w="1668" w:type="dxa"/>
          </w:tcPr>
          <w:p w:rsidR="00F94A4D" w:rsidRPr="002F149E" w:rsidRDefault="00F94A4D" w:rsidP="00F94A4D">
            <w:pPr>
              <w:rPr>
                <w:b/>
                <w:sz w:val="20"/>
                <w:szCs w:val="20"/>
              </w:rPr>
            </w:pPr>
          </w:p>
        </w:tc>
        <w:tc>
          <w:tcPr>
            <w:tcW w:w="1134" w:type="dxa"/>
          </w:tcPr>
          <w:p w:rsidR="00F94A4D" w:rsidRPr="002F149E" w:rsidRDefault="00F94A4D" w:rsidP="00F94A4D">
            <w:pPr>
              <w:jc w:val="center"/>
              <w:rPr>
                <w:sz w:val="20"/>
                <w:szCs w:val="20"/>
              </w:rPr>
            </w:pPr>
            <w:r>
              <w:rPr>
                <w:sz w:val="20"/>
                <w:szCs w:val="20"/>
              </w:rPr>
              <w:t>Expected value in 19/20</w:t>
            </w:r>
          </w:p>
        </w:tc>
        <w:tc>
          <w:tcPr>
            <w:tcW w:w="1984" w:type="dxa"/>
          </w:tcPr>
          <w:p w:rsidR="00F94A4D" w:rsidRPr="002F149E" w:rsidRDefault="00F94A4D" w:rsidP="00F94A4D">
            <w:pPr>
              <w:rPr>
                <w:sz w:val="20"/>
                <w:szCs w:val="20"/>
              </w:rPr>
            </w:pPr>
            <w:r w:rsidRPr="002F149E">
              <w:rPr>
                <w:sz w:val="20"/>
                <w:szCs w:val="20"/>
              </w:rPr>
              <w:t xml:space="preserve">Build on strengths of local government </w:t>
            </w:r>
          </w:p>
        </w:tc>
        <w:tc>
          <w:tcPr>
            <w:tcW w:w="1276" w:type="dxa"/>
          </w:tcPr>
          <w:p w:rsidR="00F94A4D" w:rsidRPr="002F149E" w:rsidRDefault="00F94A4D" w:rsidP="00F94A4D">
            <w:pPr>
              <w:rPr>
                <w:sz w:val="20"/>
                <w:szCs w:val="20"/>
              </w:rPr>
            </w:pPr>
            <w:r w:rsidRPr="002F149E">
              <w:rPr>
                <w:sz w:val="20"/>
                <w:szCs w:val="20"/>
              </w:rPr>
              <w:t>Supports economic growth</w:t>
            </w:r>
          </w:p>
        </w:tc>
        <w:tc>
          <w:tcPr>
            <w:tcW w:w="1984" w:type="dxa"/>
          </w:tcPr>
          <w:p w:rsidR="00F94A4D" w:rsidRPr="002F149E" w:rsidRDefault="00F94A4D" w:rsidP="00F94A4D">
            <w:pPr>
              <w:rPr>
                <w:sz w:val="20"/>
                <w:szCs w:val="20"/>
              </w:rPr>
            </w:pPr>
            <w:r w:rsidRPr="002F149E">
              <w:rPr>
                <w:sz w:val="20"/>
                <w:szCs w:val="20"/>
              </w:rPr>
              <w:t xml:space="preserve">Support improved outcomes for </w:t>
            </w:r>
            <w:r>
              <w:rPr>
                <w:sz w:val="20"/>
                <w:szCs w:val="20"/>
              </w:rPr>
              <w:t>local people</w:t>
            </w:r>
          </w:p>
        </w:tc>
        <w:tc>
          <w:tcPr>
            <w:tcW w:w="2127" w:type="dxa"/>
          </w:tcPr>
          <w:p w:rsidR="00F94A4D" w:rsidRPr="002F149E" w:rsidRDefault="00F94A4D" w:rsidP="00F94A4D">
            <w:pPr>
              <w:rPr>
                <w:sz w:val="20"/>
                <w:szCs w:val="20"/>
              </w:rPr>
            </w:pPr>
            <w:r>
              <w:rPr>
                <w:sz w:val="20"/>
                <w:szCs w:val="20"/>
              </w:rPr>
              <w:t>Consideration of future financial impact</w:t>
            </w:r>
          </w:p>
        </w:tc>
      </w:tr>
      <w:tr w:rsidR="00F94A4D" w:rsidTr="00F94A4D">
        <w:tc>
          <w:tcPr>
            <w:tcW w:w="1668" w:type="dxa"/>
          </w:tcPr>
          <w:p w:rsidR="00F94A4D" w:rsidRPr="002F149E" w:rsidRDefault="00F94A4D" w:rsidP="00F94A4D">
            <w:pPr>
              <w:rPr>
                <w:b/>
                <w:sz w:val="20"/>
                <w:szCs w:val="20"/>
              </w:rPr>
            </w:pPr>
            <w:r w:rsidRPr="002F149E">
              <w:rPr>
                <w:b/>
                <w:sz w:val="20"/>
                <w:szCs w:val="20"/>
              </w:rPr>
              <w:t>RSG</w:t>
            </w:r>
          </w:p>
        </w:tc>
        <w:tc>
          <w:tcPr>
            <w:tcW w:w="1134" w:type="dxa"/>
          </w:tcPr>
          <w:p w:rsidR="00F94A4D" w:rsidRPr="007F1BF8" w:rsidRDefault="00F94A4D" w:rsidP="00F94A4D">
            <w:pPr>
              <w:jc w:val="center"/>
              <w:rPr>
                <w:rFonts w:eastAsia="MS Gothic"/>
                <w:color w:val="333333"/>
                <w:sz w:val="22"/>
                <w:szCs w:val="22"/>
                <w:lang w:val="en"/>
              </w:rPr>
            </w:pPr>
            <w:r>
              <w:rPr>
                <w:rFonts w:eastAsia="MS Gothic"/>
                <w:color w:val="333333"/>
                <w:sz w:val="22"/>
                <w:szCs w:val="22"/>
                <w:lang w:val="en"/>
              </w:rPr>
              <w:t>£</w:t>
            </w:r>
            <w:r w:rsidRPr="007F1BF8">
              <w:rPr>
                <w:rFonts w:eastAsia="MS Gothic"/>
                <w:color w:val="333333"/>
                <w:sz w:val="22"/>
                <w:szCs w:val="22"/>
                <w:lang w:val="en"/>
              </w:rPr>
              <w:t>2.</w:t>
            </w:r>
            <w:r>
              <w:rPr>
                <w:rFonts w:eastAsia="MS Gothic"/>
                <w:color w:val="333333"/>
                <w:sz w:val="22"/>
                <w:szCs w:val="22"/>
                <w:lang w:val="en"/>
              </w:rPr>
              <w:t>3bn</w:t>
            </w:r>
          </w:p>
        </w:tc>
        <w:tc>
          <w:tcPr>
            <w:tcW w:w="1984" w:type="dxa"/>
          </w:tcPr>
          <w:p w:rsidR="00F94A4D" w:rsidRPr="00F22534" w:rsidRDefault="00F94A4D" w:rsidP="00F94A4D">
            <w:pPr>
              <w:jc w:val="center"/>
              <w:rPr>
                <w:rFonts w:ascii="Wingdings" w:hAnsi="Wingdings"/>
                <w:b/>
                <w:sz w:val="20"/>
                <w:szCs w:val="20"/>
              </w:rPr>
            </w:pPr>
            <w:r>
              <w:rPr>
                <w:rFonts w:ascii="MS Gothic" w:eastAsia="MS Gothic" w:hAnsi="MS Gothic" w:cs="MS Gothic" w:hint="eastAsia"/>
                <w:color w:val="333333"/>
                <w:lang w:val="en"/>
              </w:rPr>
              <w:t>✔</w:t>
            </w:r>
          </w:p>
        </w:tc>
        <w:tc>
          <w:tcPr>
            <w:tcW w:w="1276" w:type="dxa"/>
          </w:tcPr>
          <w:p w:rsidR="00F94A4D" w:rsidRPr="002F149E" w:rsidRDefault="00F94A4D" w:rsidP="00F94A4D">
            <w:pPr>
              <w:jc w:val="center"/>
              <w:rPr>
                <w:b/>
                <w:sz w:val="20"/>
                <w:szCs w:val="20"/>
              </w:rPr>
            </w:pPr>
          </w:p>
        </w:tc>
        <w:tc>
          <w:tcPr>
            <w:tcW w:w="1984" w:type="dxa"/>
          </w:tcPr>
          <w:p w:rsidR="00F94A4D" w:rsidRPr="002F149E" w:rsidRDefault="00F94A4D" w:rsidP="00F94A4D">
            <w:pPr>
              <w:jc w:val="center"/>
              <w:rPr>
                <w:b/>
                <w:sz w:val="20"/>
                <w:szCs w:val="20"/>
              </w:rPr>
            </w:pPr>
            <w:r w:rsidRPr="00F22534">
              <w:rPr>
                <w:rFonts w:ascii="MS Gothic" w:eastAsia="MS Gothic" w:hAnsi="MS Gothic" w:cs="MS Gothic" w:hint="eastAsia"/>
                <w:b/>
                <w:sz w:val="20"/>
                <w:szCs w:val="20"/>
                <w:lang w:val="en"/>
              </w:rPr>
              <w:t>✔</w:t>
            </w:r>
          </w:p>
        </w:tc>
        <w:tc>
          <w:tcPr>
            <w:tcW w:w="2127" w:type="dxa"/>
          </w:tcPr>
          <w:p w:rsidR="00F94A4D" w:rsidRPr="002F149E" w:rsidRDefault="00F94A4D" w:rsidP="00F94A4D">
            <w:pPr>
              <w:jc w:val="center"/>
              <w:rPr>
                <w:b/>
                <w:sz w:val="20"/>
                <w:szCs w:val="20"/>
              </w:rPr>
            </w:pPr>
            <w:r w:rsidRPr="00F22534">
              <w:rPr>
                <w:rFonts w:ascii="MS Gothic" w:eastAsia="MS Gothic" w:hAnsi="MS Gothic" w:cs="MS Gothic" w:hint="eastAsia"/>
                <w:b/>
                <w:sz w:val="20"/>
                <w:szCs w:val="20"/>
                <w:lang w:val="en"/>
              </w:rPr>
              <w:t>✔</w:t>
            </w:r>
          </w:p>
        </w:tc>
      </w:tr>
      <w:tr w:rsidR="00F94A4D" w:rsidTr="00F94A4D">
        <w:tc>
          <w:tcPr>
            <w:tcW w:w="1668" w:type="dxa"/>
          </w:tcPr>
          <w:p w:rsidR="00F94A4D" w:rsidRPr="002F149E" w:rsidRDefault="00F94A4D" w:rsidP="00F94A4D">
            <w:pPr>
              <w:rPr>
                <w:b/>
                <w:sz w:val="20"/>
                <w:szCs w:val="20"/>
              </w:rPr>
            </w:pPr>
            <w:r>
              <w:rPr>
                <w:b/>
                <w:sz w:val="20"/>
                <w:szCs w:val="20"/>
              </w:rPr>
              <w:t>RSD</w:t>
            </w:r>
            <w:r w:rsidRPr="002F149E">
              <w:rPr>
                <w:b/>
                <w:sz w:val="20"/>
                <w:szCs w:val="20"/>
              </w:rPr>
              <w:t>G</w:t>
            </w:r>
          </w:p>
        </w:tc>
        <w:tc>
          <w:tcPr>
            <w:tcW w:w="1134" w:type="dxa"/>
          </w:tcPr>
          <w:p w:rsidR="00F94A4D" w:rsidRPr="007F1BF8" w:rsidRDefault="00F94A4D" w:rsidP="00F94A4D">
            <w:pPr>
              <w:jc w:val="center"/>
              <w:rPr>
                <w:rFonts w:eastAsia="MS Gothic"/>
                <w:color w:val="333333"/>
                <w:sz w:val="22"/>
                <w:szCs w:val="22"/>
                <w:lang w:val="en"/>
              </w:rPr>
            </w:pPr>
            <w:r>
              <w:rPr>
                <w:rFonts w:eastAsia="MS Gothic"/>
                <w:color w:val="333333"/>
                <w:sz w:val="22"/>
                <w:szCs w:val="22"/>
                <w:lang w:val="en"/>
              </w:rPr>
              <w:t>£65m</w:t>
            </w:r>
          </w:p>
        </w:tc>
        <w:tc>
          <w:tcPr>
            <w:tcW w:w="1984" w:type="dxa"/>
          </w:tcPr>
          <w:p w:rsidR="00F94A4D" w:rsidRPr="002F149E" w:rsidRDefault="00F94A4D" w:rsidP="00F94A4D">
            <w:pPr>
              <w:jc w:val="center"/>
              <w:rPr>
                <w:b/>
                <w:sz w:val="20"/>
                <w:szCs w:val="20"/>
              </w:rPr>
            </w:pPr>
            <w:r>
              <w:rPr>
                <w:rFonts w:ascii="MS Gothic" w:eastAsia="MS Gothic" w:hAnsi="MS Gothic" w:cs="MS Gothic" w:hint="eastAsia"/>
                <w:color w:val="333333"/>
                <w:lang w:val="en"/>
              </w:rPr>
              <w:t>✔</w:t>
            </w:r>
          </w:p>
        </w:tc>
        <w:tc>
          <w:tcPr>
            <w:tcW w:w="1276" w:type="dxa"/>
          </w:tcPr>
          <w:p w:rsidR="00F94A4D" w:rsidRPr="002F149E" w:rsidRDefault="00F94A4D" w:rsidP="00F94A4D">
            <w:pPr>
              <w:jc w:val="center"/>
              <w:rPr>
                <w:b/>
                <w:sz w:val="20"/>
                <w:szCs w:val="20"/>
              </w:rPr>
            </w:pPr>
          </w:p>
        </w:tc>
        <w:tc>
          <w:tcPr>
            <w:tcW w:w="1984" w:type="dxa"/>
          </w:tcPr>
          <w:p w:rsidR="00F94A4D" w:rsidRPr="002F149E" w:rsidRDefault="00F94A4D" w:rsidP="00F94A4D">
            <w:pPr>
              <w:jc w:val="center"/>
              <w:rPr>
                <w:b/>
                <w:sz w:val="20"/>
                <w:szCs w:val="20"/>
              </w:rPr>
            </w:pPr>
            <w:r w:rsidRPr="00F22534">
              <w:rPr>
                <w:rFonts w:ascii="MS Gothic" w:eastAsia="MS Gothic" w:hAnsi="MS Gothic" w:cs="MS Gothic" w:hint="eastAsia"/>
                <w:b/>
                <w:sz w:val="20"/>
                <w:szCs w:val="20"/>
                <w:lang w:val="en"/>
              </w:rPr>
              <w:t>✔</w:t>
            </w:r>
          </w:p>
        </w:tc>
        <w:tc>
          <w:tcPr>
            <w:tcW w:w="2127" w:type="dxa"/>
          </w:tcPr>
          <w:p w:rsidR="00F94A4D" w:rsidRPr="002F149E" w:rsidRDefault="00F94A4D" w:rsidP="00F94A4D">
            <w:pPr>
              <w:jc w:val="center"/>
              <w:rPr>
                <w:b/>
                <w:sz w:val="20"/>
                <w:szCs w:val="20"/>
              </w:rPr>
            </w:pPr>
            <w:r w:rsidRPr="00F22534">
              <w:rPr>
                <w:rFonts w:ascii="MS Gothic" w:eastAsia="MS Gothic" w:hAnsi="MS Gothic" w:cs="MS Gothic" w:hint="eastAsia"/>
                <w:b/>
                <w:sz w:val="20"/>
                <w:szCs w:val="20"/>
                <w:lang w:val="en"/>
              </w:rPr>
              <w:t>✔</w:t>
            </w:r>
          </w:p>
        </w:tc>
      </w:tr>
      <w:tr w:rsidR="00F94A4D" w:rsidTr="00F94A4D">
        <w:tc>
          <w:tcPr>
            <w:tcW w:w="1668" w:type="dxa"/>
          </w:tcPr>
          <w:p w:rsidR="00F94A4D" w:rsidRPr="002F149E" w:rsidRDefault="00F94A4D" w:rsidP="00F94A4D">
            <w:pPr>
              <w:rPr>
                <w:b/>
                <w:sz w:val="20"/>
                <w:szCs w:val="20"/>
              </w:rPr>
            </w:pPr>
            <w:r w:rsidRPr="002F149E">
              <w:rPr>
                <w:b/>
                <w:sz w:val="20"/>
                <w:szCs w:val="20"/>
              </w:rPr>
              <w:t>GLA Transport Grant</w:t>
            </w:r>
          </w:p>
        </w:tc>
        <w:tc>
          <w:tcPr>
            <w:tcW w:w="1134" w:type="dxa"/>
          </w:tcPr>
          <w:p w:rsidR="00F94A4D" w:rsidRPr="007F1BF8" w:rsidRDefault="00F94A4D" w:rsidP="00F94A4D">
            <w:pPr>
              <w:jc w:val="center"/>
              <w:rPr>
                <w:rFonts w:eastAsia="MS Gothic"/>
                <w:sz w:val="22"/>
                <w:szCs w:val="22"/>
                <w:lang w:val="en"/>
              </w:rPr>
            </w:pPr>
            <w:r w:rsidRPr="007F1BF8">
              <w:rPr>
                <w:rFonts w:eastAsia="MS Gothic"/>
                <w:sz w:val="22"/>
                <w:szCs w:val="22"/>
                <w:lang w:val="en"/>
              </w:rPr>
              <w:t>£1bn</w:t>
            </w:r>
          </w:p>
        </w:tc>
        <w:tc>
          <w:tcPr>
            <w:tcW w:w="1984" w:type="dxa"/>
          </w:tcPr>
          <w:p w:rsidR="00F94A4D" w:rsidRPr="002F149E" w:rsidRDefault="00F94A4D" w:rsidP="00F94A4D">
            <w:pPr>
              <w:jc w:val="center"/>
              <w:rPr>
                <w:b/>
                <w:sz w:val="20"/>
                <w:szCs w:val="20"/>
              </w:rPr>
            </w:pPr>
            <w:r w:rsidRPr="00F22534">
              <w:rPr>
                <w:rFonts w:ascii="MS Gothic" w:eastAsia="MS Gothic" w:hAnsi="MS Gothic" w:cs="MS Gothic" w:hint="eastAsia"/>
                <w:b/>
                <w:sz w:val="20"/>
                <w:szCs w:val="20"/>
                <w:lang w:val="en"/>
              </w:rPr>
              <w:t>✔</w:t>
            </w:r>
          </w:p>
        </w:tc>
        <w:tc>
          <w:tcPr>
            <w:tcW w:w="1276" w:type="dxa"/>
          </w:tcPr>
          <w:p w:rsidR="00F94A4D" w:rsidRPr="002F149E" w:rsidRDefault="00F94A4D" w:rsidP="00F94A4D">
            <w:pPr>
              <w:jc w:val="center"/>
              <w:rPr>
                <w:b/>
                <w:sz w:val="20"/>
                <w:szCs w:val="20"/>
              </w:rPr>
            </w:pPr>
            <w:r>
              <w:rPr>
                <w:rFonts w:ascii="MS Gothic" w:eastAsia="MS Gothic" w:hAnsi="MS Gothic" w:cs="MS Gothic" w:hint="eastAsia"/>
                <w:color w:val="333333"/>
                <w:lang w:val="en"/>
              </w:rPr>
              <w:t>✔</w:t>
            </w:r>
          </w:p>
        </w:tc>
        <w:tc>
          <w:tcPr>
            <w:tcW w:w="1984" w:type="dxa"/>
          </w:tcPr>
          <w:p w:rsidR="00F94A4D" w:rsidRPr="002F149E" w:rsidRDefault="00F94A4D" w:rsidP="00F94A4D">
            <w:pPr>
              <w:jc w:val="center"/>
              <w:rPr>
                <w:b/>
                <w:sz w:val="20"/>
                <w:szCs w:val="20"/>
              </w:rPr>
            </w:pPr>
            <w:r w:rsidRPr="00F22534">
              <w:rPr>
                <w:rFonts w:ascii="MS Gothic" w:eastAsia="MS Gothic" w:hAnsi="MS Gothic" w:cs="MS Gothic" w:hint="eastAsia"/>
                <w:b/>
                <w:sz w:val="20"/>
                <w:szCs w:val="20"/>
                <w:lang w:val="en"/>
              </w:rPr>
              <w:t>✔</w:t>
            </w:r>
          </w:p>
        </w:tc>
        <w:tc>
          <w:tcPr>
            <w:tcW w:w="2127" w:type="dxa"/>
          </w:tcPr>
          <w:p w:rsidR="00F94A4D" w:rsidRPr="002F149E" w:rsidRDefault="00F94A4D" w:rsidP="00F94A4D">
            <w:pPr>
              <w:jc w:val="center"/>
              <w:rPr>
                <w:b/>
                <w:sz w:val="20"/>
                <w:szCs w:val="20"/>
              </w:rPr>
            </w:pPr>
            <w:r w:rsidRPr="00F22534">
              <w:rPr>
                <w:rFonts w:ascii="MS Gothic" w:eastAsia="MS Gothic" w:hAnsi="MS Gothic" w:cs="MS Gothic" w:hint="eastAsia"/>
                <w:b/>
                <w:sz w:val="20"/>
                <w:szCs w:val="20"/>
                <w:lang w:val="en"/>
              </w:rPr>
              <w:t>✔</w:t>
            </w:r>
          </w:p>
        </w:tc>
      </w:tr>
      <w:tr w:rsidR="00F94A4D" w:rsidTr="00F94A4D">
        <w:tc>
          <w:tcPr>
            <w:tcW w:w="1668" w:type="dxa"/>
          </w:tcPr>
          <w:p w:rsidR="00F94A4D" w:rsidRPr="002F149E" w:rsidRDefault="00F94A4D" w:rsidP="00F94A4D">
            <w:pPr>
              <w:rPr>
                <w:b/>
                <w:sz w:val="20"/>
                <w:szCs w:val="20"/>
              </w:rPr>
            </w:pPr>
            <w:r w:rsidRPr="002F149E">
              <w:rPr>
                <w:b/>
                <w:sz w:val="20"/>
                <w:szCs w:val="20"/>
              </w:rPr>
              <w:t>Public Health Grant</w:t>
            </w:r>
          </w:p>
        </w:tc>
        <w:tc>
          <w:tcPr>
            <w:tcW w:w="1134" w:type="dxa"/>
          </w:tcPr>
          <w:p w:rsidR="00F94A4D" w:rsidRPr="007F1BF8" w:rsidRDefault="00F94A4D" w:rsidP="00F94A4D">
            <w:pPr>
              <w:jc w:val="center"/>
              <w:rPr>
                <w:rFonts w:eastAsia="MS Gothic"/>
                <w:sz w:val="22"/>
                <w:szCs w:val="22"/>
                <w:lang w:val="en"/>
              </w:rPr>
            </w:pPr>
            <w:r w:rsidRPr="007F1BF8">
              <w:rPr>
                <w:rFonts w:eastAsia="MS Gothic"/>
                <w:sz w:val="22"/>
                <w:szCs w:val="22"/>
                <w:lang w:val="en"/>
              </w:rPr>
              <w:t>£3.1bn</w:t>
            </w:r>
          </w:p>
        </w:tc>
        <w:tc>
          <w:tcPr>
            <w:tcW w:w="1984" w:type="dxa"/>
          </w:tcPr>
          <w:p w:rsidR="00F94A4D" w:rsidRPr="002F149E" w:rsidRDefault="00F94A4D" w:rsidP="00F94A4D">
            <w:pPr>
              <w:jc w:val="center"/>
              <w:rPr>
                <w:b/>
                <w:sz w:val="20"/>
                <w:szCs w:val="20"/>
              </w:rPr>
            </w:pPr>
            <w:r w:rsidRPr="00F22534">
              <w:rPr>
                <w:rFonts w:ascii="MS Gothic" w:eastAsia="MS Gothic" w:hAnsi="MS Gothic" w:cs="MS Gothic" w:hint="eastAsia"/>
                <w:b/>
                <w:sz w:val="20"/>
                <w:szCs w:val="20"/>
                <w:lang w:val="en"/>
              </w:rPr>
              <w:t>✔</w:t>
            </w:r>
          </w:p>
        </w:tc>
        <w:tc>
          <w:tcPr>
            <w:tcW w:w="1276" w:type="dxa"/>
          </w:tcPr>
          <w:p w:rsidR="00F94A4D" w:rsidRPr="002F149E" w:rsidRDefault="00F94A4D" w:rsidP="00F94A4D">
            <w:pPr>
              <w:jc w:val="center"/>
              <w:rPr>
                <w:b/>
                <w:sz w:val="20"/>
                <w:szCs w:val="20"/>
              </w:rPr>
            </w:pPr>
          </w:p>
        </w:tc>
        <w:tc>
          <w:tcPr>
            <w:tcW w:w="1984" w:type="dxa"/>
          </w:tcPr>
          <w:p w:rsidR="00F94A4D" w:rsidRPr="002F149E" w:rsidRDefault="00F94A4D" w:rsidP="00F94A4D">
            <w:pPr>
              <w:jc w:val="center"/>
              <w:rPr>
                <w:b/>
                <w:sz w:val="20"/>
                <w:szCs w:val="20"/>
              </w:rPr>
            </w:pPr>
            <w:r w:rsidRPr="00F22534">
              <w:rPr>
                <w:rFonts w:ascii="MS Gothic" w:eastAsia="MS Gothic" w:hAnsi="MS Gothic" w:cs="MS Gothic" w:hint="eastAsia"/>
                <w:b/>
                <w:sz w:val="20"/>
                <w:szCs w:val="20"/>
                <w:lang w:val="en"/>
              </w:rPr>
              <w:t>✔</w:t>
            </w:r>
          </w:p>
        </w:tc>
        <w:tc>
          <w:tcPr>
            <w:tcW w:w="2127" w:type="dxa"/>
          </w:tcPr>
          <w:p w:rsidR="00F94A4D" w:rsidRPr="002F149E" w:rsidRDefault="00F94A4D" w:rsidP="00F94A4D">
            <w:pPr>
              <w:jc w:val="center"/>
              <w:rPr>
                <w:b/>
                <w:sz w:val="20"/>
                <w:szCs w:val="20"/>
              </w:rPr>
            </w:pPr>
            <w:r w:rsidRPr="00F03C5C">
              <w:rPr>
                <w:rFonts w:ascii="MS Gothic" w:eastAsia="MS Gothic" w:hAnsi="MS Gothic" w:cs="MS Gothic" w:hint="eastAsia"/>
                <w:b/>
                <w:sz w:val="20"/>
                <w:szCs w:val="20"/>
                <w:lang w:val="en"/>
              </w:rPr>
              <w:t>✔</w:t>
            </w:r>
          </w:p>
        </w:tc>
      </w:tr>
      <w:tr w:rsidR="00F94A4D" w:rsidTr="00F94A4D">
        <w:trPr>
          <w:gridAfter w:val="4"/>
          <w:wAfter w:w="7371" w:type="dxa"/>
        </w:trPr>
        <w:tc>
          <w:tcPr>
            <w:tcW w:w="1668" w:type="dxa"/>
          </w:tcPr>
          <w:p w:rsidR="00F94A4D" w:rsidRPr="002F149E" w:rsidRDefault="00F94A4D" w:rsidP="00F94A4D">
            <w:pPr>
              <w:rPr>
                <w:b/>
                <w:sz w:val="20"/>
                <w:szCs w:val="20"/>
              </w:rPr>
            </w:pPr>
            <w:r>
              <w:rPr>
                <w:b/>
                <w:sz w:val="20"/>
                <w:szCs w:val="20"/>
              </w:rPr>
              <w:t>Expected total value in 19/20</w:t>
            </w:r>
          </w:p>
        </w:tc>
        <w:tc>
          <w:tcPr>
            <w:tcW w:w="1134" w:type="dxa"/>
          </w:tcPr>
          <w:p w:rsidR="00F94A4D" w:rsidRPr="007F1BF8" w:rsidRDefault="00F94A4D" w:rsidP="00F94A4D">
            <w:pPr>
              <w:jc w:val="center"/>
              <w:rPr>
                <w:rFonts w:eastAsia="MS Gothic"/>
                <w:sz w:val="22"/>
                <w:szCs w:val="22"/>
                <w:lang w:val="en"/>
              </w:rPr>
            </w:pPr>
            <w:r>
              <w:rPr>
                <w:rFonts w:eastAsia="MS Gothic"/>
                <w:sz w:val="22"/>
                <w:szCs w:val="22"/>
                <w:lang w:val="en"/>
              </w:rPr>
              <w:t>£6.5bn</w:t>
            </w:r>
          </w:p>
        </w:tc>
      </w:tr>
    </w:tbl>
    <w:p w:rsidR="002145A1" w:rsidRPr="007C1F24" w:rsidRDefault="00B33536" w:rsidP="007C1F24">
      <w:pPr>
        <w:pStyle w:val="ListParagraph"/>
        <w:numPr>
          <w:ilvl w:val="1"/>
          <w:numId w:val="25"/>
        </w:numPr>
        <w:spacing w:after="240" w:line="252" w:lineRule="auto"/>
        <w:ind w:left="426" w:hanging="426"/>
        <w:jc w:val="both"/>
        <w:rPr>
          <w:sz w:val="22"/>
          <w:szCs w:val="22"/>
          <w:lang w:eastAsia="en-GB"/>
        </w:rPr>
      </w:pPr>
      <w:r w:rsidRPr="00B33536">
        <w:rPr>
          <w:sz w:val="22"/>
          <w:szCs w:val="22"/>
          <w:lang w:eastAsia="en-GB"/>
        </w:rPr>
        <w:t xml:space="preserve">The </w:t>
      </w:r>
      <w:r>
        <w:rPr>
          <w:sz w:val="22"/>
          <w:szCs w:val="22"/>
          <w:lang w:eastAsia="en-GB"/>
        </w:rPr>
        <w:t xml:space="preserve">expected value </w:t>
      </w:r>
      <w:r w:rsidR="00491A78">
        <w:rPr>
          <w:sz w:val="22"/>
          <w:szCs w:val="22"/>
          <w:lang w:eastAsia="en-GB"/>
        </w:rPr>
        <w:t xml:space="preserve">in 19/20 </w:t>
      </w:r>
      <w:r>
        <w:rPr>
          <w:sz w:val="22"/>
          <w:szCs w:val="22"/>
          <w:lang w:eastAsia="en-GB"/>
        </w:rPr>
        <w:t xml:space="preserve">of those </w:t>
      </w:r>
      <w:r w:rsidR="00630A66">
        <w:rPr>
          <w:sz w:val="22"/>
          <w:szCs w:val="22"/>
          <w:lang w:eastAsia="en-GB"/>
        </w:rPr>
        <w:t xml:space="preserve">responsibilities </w:t>
      </w:r>
      <w:r w:rsidR="00491A78">
        <w:rPr>
          <w:sz w:val="22"/>
          <w:szCs w:val="22"/>
          <w:lang w:eastAsia="en-GB"/>
        </w:rPr>
        <w:t xml:space="preserve">to be devolved is £6.5bn, which when </w:t>
      </w:r>
      <w:r w:rsidR="00D966F6">
        <w:rPr>
          <w:sz w:val="22"/>
          <w:szCs w:val="22"/>
          <w:lang w:eastAsia="en-GB"/>
        </w:rPr>
        <w:t xml:space="preserve">added to local government’s current 50% retention figure equates to approximately </w:t>
      </w:r>
      <w:r w:rsidR="00D966F6" w:rsidRPr="00737831">
        <w:rPr>
          <w:sz w:val="22"/>
          <w:szCs w:val="22"/>
          <w:lang w:eastAsia="en-GB"/>
        </w:rPr>
        <w:t xml:space="preserve">75% retention. </w:t>
      </w:r>
    </w:p>
    <w:p w:rsidR="00B2735E" w:rsidRPr="003B0B47" w:rsidRDefault="00737831" w:rsidP="007C1F24">
      <w:pPr>
        <w:spacing w:after="240" w:line="252" w:lineRule="auto"/>
        <w:ind w:left="426"/>
        <w:jc w:val="both"/>
        <w:rPr>
          <w:b/>
          <w:sz w:val="22"/>
          <w:szCs w:val="22"/>
          <w:lang w:eastAsia="en-GB"/>
        </w:rPr>
      </w:pPr>
      <w:r w:rsidRPr="003B0B47">
        <w:rPr>
          <w:b/>
          <w:sz w:val="22"/>
          <w:szCs w:val="22"/>
          <w:lang w:eastAsia="en-GB"/>
        </w:rPr>
        <w:t xml:space="preserve">Implementation of those responsibilities confirmed for devolution </w:t>
      </w:r>
    </w:p>
    <w:p w:rsidR="00014384" w:rsidRDefault="009938CD" w:rsidP="007C1F24">
      <w:pPr>
        <w:pStyle w:val="ListParagraph"/>
        <w:numPr>
          <w:ilvl w:val="1"/>
          <w:numId w:val="25"/>
        </w:numPr>
        <w:spacing w:after="240" w:line="252" w:lineRule="auto"/>
        <w:ind w:left="426" w:hanging="426"/>
        <w:jc w:val="both"/>
        <w:rPr>
          <w:sz w:val="22"/>
          <w:szCs w:val="22"/>
        </w:rPr>
      </w:pPr>
      <w:r>
        <w:rPr>
          <w:sz w:val="22"/>
          <w:szCs w:val="22"/>
        </w:rPr>
        <w:t>F</w:t>
      </w:r>
      <w:r w:rsidRPr="006D68D5">
        <w:rPr>
          <w:sz w:val="22"/>
          <w:szCs w:val="22"/>
        </w:rPr>
        <w:t xml:space="preserve">or </w:t>
      </w:r>
      <w:r w:rsidRPr="006D68D5">
        <w:rPr>
          <w:sz w:val="22"/>
          <w:szCs w:val="22"/>
          <w:lang w:eastAsia="en-GB"/>
        </w:rPr>
        <w:t>each</w:t>
      </w:r>
      <w:r w:rsidRPr="006D68D5">
        <w:rPr>
          <w:sz w:val="22"/>
          <w:szCs w:val="22"/>
        </w:rPr>
        <w:t xml:space="preserve"> of the devolution candidates</w:t>
      </w:r>
      <w:r>
        <w:rPr>
          <w:sz w:val="22"/>
          <w:szCs w:val="22"/>
        </w:rPr>
        <w:t xml:space="preserve"> included in the Government’s July 2016 consultation, the group began to </w:t>
      </w:r>
      <w:r w:rsidRPr="006D68D5">
        <w:rPr>
          <w:sz w:val="22"/>
          <w:szCs w:val="22"/>
        </w:rPr>
        <w:t>consider the practical steps that would need to be taken to devolve, or ‘roll-in’ the funding or responsibilit</w:t>
      </w:r>
      <w:r>
        <w:rPr>
          <w:sz w:val="22"/>
          <w:szCs w:val="22"/>
        </w:rPr>
        <w:t xml:space="preserve">y at </w:t>
      </w:r>
      <w:r w:rsidR="00C82AB6">
        <w:rPr>
          <w:sz w:val="22"/>
          <w:szCs w:val="22"/>
        </w:rPr>
        <w:t xml:space="preserve">the </w:t>
      </w:r>
      <w:r>
        <w:rPr>
          <w:sz w:val="22"/>
          <w:szCs w:val="22"/>
        </w:rPr>
        <w:t xml:space="preserve">introduction of the new business rates system. </w:t>
      </w:r>
      <w:r w:rsidR="00E41AA3">
        <w:rPr>
          <w:sz w:val="22"/>
          <w:szCs w:val="22"/>
        </w:rPr>
        <w:t>For those responsibilities confirmed to devolution the group identified the following:</w:t>
      </w:r>
    </w:p>
    <w:p w:rsidR="002145A1" w:rsidRDefault="002145A1" w:rsidP="007C1F24">
      <w:pPr>
        <w:pStyle w:val="ListParagraph"/>
        <w:spacing w:after="240" w:line="252" w:lineRule="auto"/>
        <w:ind w:left="426"/>
        <w:jc w:val="both"/>
        <w:rPr>
          <w:sz w:val="22"/>
          <w:szCs w:val="22"/>
        </w:rPr>
      </w:pPr>
    </w:p>
    <w:p w:rsidR="00240668" w:rsidRDefault="00240668" w:rsidP="00287600">
      <w:pPr>
        <w:pStyle w:val="ListParagraph"/>
        <w:numPr>
          <w:ilvl w:val="0"/>
          <w:numId w:val="14"/>
        </w:numPr>
        <w:spacing w:after="240" w:line="252" w:lineRule="auto"/>
        <w:ind w:left="360"/>
        <w:jc w:val="both"/>
        <w:rPr>
          <w:b/>
          <w:sz w:val="22"/>
          <w:szCs w:val="22"/>
        </w:rPr>
      </w:pPr>
      <w:r w:rsidRPr="00240668">
        <w:rPr>
          <w:b/>
          <w:sz w:val="22"/>
          <w:szCs w:val="22"/>
        </w:rPr>
        <w:lastRenderedPageBreak/>
        <w:t>RSG and RSDG</w:t>
      </w:r>
    </w:p>
    <w:p w:rsidR="001504C6" w:rsidRDefault="001504C6" w:rsidP="001504C6">
      <w:pPr>
        <w:pStyle w:val="ListParagraph"/>
        <w:spacing w:after="240" w:line="252" w:lineRule="auto"/>
        <w:ind w:left="360"/>
        <w:jc w:val="both"/>
        <w:rPr>
          <w:b/>
          <w:sz w:val="22"/>
          <w:szCs w:val="22"/>
        </w:rPr>
      </w:pPr>
    </w:p>
    <w:p w:rsidR="00240668" w:rsidRPr="00240668" w:rsidRDefault="00240668" w:rsidP="00287600">
      <w:pPr>
        <w:pStyle w:val="ListParagraph"/>
        <w:numPr>
          <w:ilvl w:val="0"/>
          <w:numId w:val="15"/>
        </w:numPr>
        <w:spacing w:after="240" w:line="252" w:lineRule="auto"/>
        <w:ind w:left="1080"/>
        <w:jc w:val="both"/>
        <w:rPr>
          <w:b/>
          <w:sz w:val="22"/>
          <w:szCs w:val="22"/>
        </w:rPr>
      </w:pPr>
      <w:r w:rsidRPr="00240668">
        <w:rPr>
          <w:sz w:val="22"/>
          <w:szCs w:val="22"/>
        </w:rPr>
        <w:t>The group noted the link to the Fair Funding Review in setting future distribution of RSG; some consideration will be required as to when the new formula will be decided and announced as this could impact upon decisions local government make in relation medium-term financial plans.</w:t>
      </w:r>
    </w:p>
    <w:p w:rsidR="00240668" w:rsidRPr="00240668" w:rsidRDefault="00240668" w:rsidP="00287600">
      <w:pPr>
        <w:pStyle w:val="ListParagraph"/>
        <w:numPr>
          <w:ilvl w:val="0"/>
          <w:numId w:val="15"/>
        </w:numPr>
        <w:spacing w:after="240" w:line="252" w:lineRule="auto"/>
        <w:ind w:left="1080"/>
        <w:jc w:val="both"/>
        <w:rPr>
          <w:b/>
          <w:sz w:val="22"/>
          <w:szCs w:val="22"/>
        </w:rPr>
      </w:pPr>
      <w:r w:rsidRPr="00240668">
        <w:rPr>
          <w:sz w:val="22"/>
          <w:szCs w:val="22"/>
          <w:lang w:eastAsia="en-GB"/>
        </w:rPr>
        <w:t>Similar to RSG, the group noted that new distribution formula for RSDG will form part of the Fair Funding Review. The definition of sparsity and how local authorities are ranked in relation to this will form an important part RSDG element of the Fair Funding Review.</w:t>
      </w:r>
    </w:p>
    <w:p w:rsidR="00240668" w:rsidRPr="00240668" w:rsidRDefault="00240668" w:rsidP="00287600">
      <w:pPr>
        <w:pStyle w:val="ListParagraph"/>
        <w:spacing w:after="240" w:line="252" w:lineRule="auto"/>
        <w:ind w:left="1080"/>
        <w:jc w:val="both"/>
        <w:rPr>
          <w:b/>
          <w:sz w:val="22"/>
          <w:szCs w:val="22"/>
        </w:rPr>
      </w:pPr>
      <w:r w:rsidRPr="00240668">
        <w:rPr>
          <w:sz w:val="22"/>
          <w:szCs w:val="22"/>
          <w:lang w:eastAsia="en-GB"/>
        </w:rPr>
        <w:t xml:space="preserve">  </w:t>
      </w:r>
    </w:p>
    <w:p w:rsidR="00240668" w:rsidRDefault="00240668" w:rsidP="00287600">
      <w:pPr>
        <w:pStyle w:val="ListParagraph"/>
        <w:numPr>
          <w:ilvl w:val="0"/>
          <w:numId w:val="14"/>
        </w:numPr>
        <w:spacing w:after="240" w:line="252" w:lineRule="auto"/>
        <w:ind w:left="360"/>
        <w:jc w:val="both"/>
        <w:rPr>
          <w:b/>
          <w:sz w:val="22"/>
          <w:szCs w:val="22"/>
        </w:rPr>
      </w:pPr>
      <w:r>
        <w:rPr>
          <w:b/>
          <w:sz w:val="22"/>
          <w:szCs w:val="22"/>
        </w:rPr>
        <w:t>Public Health Grant</w:t>
      </w:r>
    </w:p>
    <w:p w:rsidR="001504C6" w:rsidRDefault="001504C6" w:rsidP="001504C6">
      <w:pPr>
        <w:pStyle w:val="ListParagraph"/>
        <w:spacing w:after="240" w:line="252" w:lineRule="auto"/>
        <w:ind w:left="360"/>
        <w:jc w:val="both"/>
        <w:rPr>
          <w:b/>
          <w:sz w:val="22"/>
          <w:szCs w:val="22"/>
        </w:rPr>
      </w:pPr>
    </w:p>
    <w:p w:rsidR="00970F93" w:rsidRPr="00970F93" w:rsidRDefault="00970F93" w:rsidP="00287600">
      <w:pPr>
        <w:pStyle w:val="ListParagraph"/>
        <w:numPr>
          <w:ilvl w:val="0"/>
          <w:numId w:val="16"/>
        </w:numPr>
        <w:spacing w:after="240" w:line="252" w:lineRule="auto"/>
        <w:ind w:left="1080"/>
        <w:jc w:val="both"/>
        <w:rPr>
          <w:b/>
          <w:sz w:val="22"/>
          <w:szCs w:val="22"/>
        </w:rPr>
      </w:pPr>
      <w:r>
        <w:rPr>
          <w:sz w:val="22"/>
          <w:szCs w:val="22"/>
          <w:lang w:eastAsia="en-GB"/>
        </w:rPr>
        <w:t>The group identified a key</w:t>
      </w:r>
      <w:r w:rsidR="00240668" w:rsidRPr="00240668">
        <w:rPr>
          <w:sz w:val="22"/>
          <w:szCs w:val="22"/>
          <w:lang w:eastAsia="en-GB"/>
        </w:rPr>
        <w:t xml:space="preserve"> issue to consider in relation to the Public Health Grant will be the distribution mechanism. The allocation formula for this was consulted and revised in November 2015, although concerns have been raised over the suitability of the formula to local government.</w:t>
      </w:r>
      <w:r w:rsidR="00240668" w:rsidRPr="00240668">
        <w:rPr>
          <w:sz w:val="22"/>
          <w:szCs w:val="22"/>
        </w:rPr>
        <w:t xml:space="preserve"> </w:t>
      </w:r>
    </w:p>
    <w:p w:rsidR="00970F93" w:rsidRPr="00970F93" w:rsidRDefault="00240668" w:rsidP="00287600">
      <w:pPr>
        <w:pStyle w:val="ListParagraph"/>
        <w:numPr>
          <w:ilvl w:val="0"/>
          <w:numId w:val="16"/>
        </w:numPr>
        <w:spacing w:after="240" w:line="252" w:lineRule="auto"/>
        <w:ind w:left="1080"/>
        <w:jc w:val="both"/>
        <w:rPr>
          <w:sz w:val="22"/>
          <w:szCs w:val="22"/>
          <w:lang w:eastAsia="en-GB"/>
        </w:rPr>
      </w:pPr>
      <w:r w:rsidRPr="00970F93">
        <w:rPr>
          <w:sz w:val="22"/>
          <w:szCs w:val="22"/>
          <w:lang w:eastAsia="en-GB"/>
        </w:rPr>
        <w:t>A further issue concerns the proposed removal of the ringfence on the Public</w:t>
      </w:r>
      <w:r w:rsidRPr="00240668">
        <w:rPr>
          <w:sz w:val="22"/>
          <w:szCs w:val="22"/>
          <w:lang w:eastAsia="en-GB"/>
        </w:rPr>
        <w:t xml:space="preserve"> Health Grant. </w:t>
      </w:r>
      <w:r w:rsidR="00970F93">
        <w:rPr>
          <w:sz w:val="22"/>
          <w:szCs w:val="22"/>
          <w:lang w:eastAsia="en-GB"/>
        </w:rPr>
        <w:t>T</w:t>
      </w:r>
      <w:r w:rsidRPr="00240668">
        <w:rPr>
          <w:sz w:val="22"/>
          <w:szCs w:val="22"/>
          <w:lang w:eastAsia="en-GB"/>
        </w:rPr>
        <w:t xml:space="preserve">here are some concerns from the public health community as to how the new arrangements may work </w:t>
      </w:r>
      <w:r w:rsidR="00C82AB6">
        <w:rPr>
          <w:sz w:val="22"/>
          <w:szCs w:val="22"/>
          <w:lang w:eastAsia="en-GB"/>
        </w:rPr>
        <w:t xml:space="preserve">when </w:t>
      </w:r>
      <w:r w:rsidRPr="00240668">
        <w:rPr>
          <w:sz w:val="22"/>
          <w:szCs w:val="22"/>
          <w:lang w:eastAsia="en-GB"/>
        </w:rPr>
        <w:t>this financial transfer takes place</w:t>
      </w:r>
      <w:r w:rsidR="00970F93">
        <w:rPr>
          <w:sz w:val="22"/>
          <w:szCs w:val="22"/>
          <w:lang w:eastAsia="en-GB"/>
        </w:rPr>
        <w:t xml:space="preserve">. </w:t>
      </w:r>
      <w:r w:rsidR="00A359F2">
        <w:rPr>
          <w:sz w:val="22"/>
          <w:szCs w:val="22"/>
          <w:lang w:eastAsia="en-GB"/>
        </w:rPr>
        <w:t xml:space="preserve">The working group have always been clear that any grants which are devolved as part of the reforms to business rates should be un-ringfenced. </w:t>
      </w:r>
    </w:p>
    <w:p w:rsidR="00240668" w:rsidRDefault="00970F93" w:rsidP="00287600">
      <w:pPr>
        <w:pStyle w:val="ListParagraph"/>
        <w:numPr>
          <w:ilvl w:val="0"/>
          <w:numId w:val="16"/>
        </w:numPr>
        <w:spacing w:after="240" w:line="252" w:lineRule="auto"/>
        <w:ind w:left="1080"/>
        <w:jc w:val="both"/>
        <w:rPr>
          <w:sz w:val="22"/>
          <w:szCs w:val="22"/>
          <w:lang w:eastAsia="en-GB"/>
        </w:rPr>
      </w:pPr>
      <w:r w:rsidRPr="00970F93">
        <w:rPr>
          <w:sz w:val="22"/>
          <w:szCs w:val="22"/>
          <w:lang w:eastAsia="en-GB"/>
        </w:rPr>
        <w:t xml:space="preserve">It is important to recognise that whilst the removal of the ringfence will provide local government with greater flexibility in the delivery of their public health </w:t>
      </w:r>
      <w:r>
        <w:rPr>
          <w:sz w:val="22"/>
          <w:szCs w:val="22"/>
          <w:lang w:eastAsia="en-GB"/>
        </w:rPr>
        <w:t xml:space="preserve">functions, </w:t>
      </w:r>
      <w:r w:rsidRPr="00970F93">
        <w:rPr>
          <w:sz w:val="22"/>
          <w:szCs w:val="22"/>
          <w:lang w:eastAsia="en-GB"/>
        </w:rPr>
        <w:t xml:space="preserve">mandation will still be required to ensure that local authorities meet their statutory duties in relation to public health, with DH highlighting that this element of accountability is crucial. </w:t>
      </w:r>
      <w:r w:rsidR="00287600" w:rsidRPr="00287600">
        <w:rPr>
          <w:sz w:val="22"/>
          <w:szCs w:val="22"/>
          <w:lang w:eastAsia="en-GB"/>
        </w:rPr>
        <w:t>Consultation</w:t>
      </w:r>
      <w:r w:rsidRPr="00287600">
        <w:rPr>
          <w:sz w:val="22"/>
          <w:szCs w:val="22"/>
          <w:lang w:eastAsia="en-GB"/>
        </w:rPr>
        <w:t xml:space="preserve"> would be required before any additional public health functions could become mandatory.</w:t>
      </w:r>
    </w:p>
    <w:p w:rsidR="00A359F2" w:rsidRDefault="00A359F2" w:rsidP="00287600">
      <w:pPr>
        <w:pStyle w:val="ListParagraph"/>
        <w:numPr>
          <w:ilvl w:val="0"/>
          <w:numId w:val="16"/>
        </w:numPr>
        <w:spacing w:after="240" w:line="252" w:lineRule="auto"/>
        <w:ind w:left="1080"/>
        <w:jc w:val="both"/>
        <w:rPr>
          <w:sz w:val="22"/>
          <w:szCs w:val="22"/>
          <w:lang w:eastAsia="en-GB"/>
        </w:rPr>
      </w:pPr>
      <w:r>
        <w:rPr>
          <w:sz w:val="22"/>
          <w:szCs w:val="22"/>
          <w:lang w:eastAsia="en-GB"/>
        </w:rPr>
        <w:t>The group suggested that the NAO may have a role to play in determining the appropriate level of accountability required once grants have been devolved.</w:t>
      </w:r>
    </w:p>
    <w:p w:rsidR="00970F93" w:rsidRDefault="00970F93" w:rsidP="00970F93">
      <w:pPr>
        <w:pStyle w:val="ListParagraph"/>
        <w:spacing w:after="240" w:line="252" w:lineRule="auto"/>
        <w:ind w:left="1440"/>
        <w:jc w:val="both"/>
        <w:rPr>
          <w:sz w:val="22"/>
          <w:szCs w:val="22"/>
          <w:lang w:eastAsia="en-GB"/>
        </w:rPr>
      </w:pPr>
    </w:p>
    <w:p w:rsidR="00970F93" w:rsidRDefault="00970F93" w:rsidP="003B0B47">
      <w:pPr>
        <w:pStyle w:val="ListParagraph"/>
        <w:numPr>
          <w:ilvl w:val="0"/>
          <w:numId w:val="14"/>
        </w:numPr>
        <w:spacing w:after="240" w:line="252" w:lineRule="auto"/>
        <w:ind w:left="360"/>
        <w:jc w:val="both"/>
        <w:rPr>
          <w:b/>
          <w:sz w:val="22"/>
          <w:szCs w:val="22"/>
        </w:rPr>
      </w:pPr>
      <w:r>
        <w:rPr>
          <w:b/>
          <w:sz w:val="22"/>
          <w:szCs w:val="22"/>
        </w:rPr>
        <w:t>GLA Transport Grant</w:t>
      </w:r>
    </w:p>
    <w:p w:rsidR="001504C6" w:rsidRDefault="001504C6" w:rsidP="001504C6">
      <w:pPr>
        <w:pStyle w:val="ListParagraph"/>
        <w:spacing w:after="240" w:line="252" w:lineRule="auto"/>
        <w:ind w:left="360"/>
        <w:jc w:val="both"/>
        <w:rPr>
          <w:b/>
          <w:sz w:val="22"/>
          <w:szCs w:val="22"/>
        </w:rPr>
      </w:pPr>
    </w:p>
    <w:p w:rsidR="003B0B47" w:rsidRDefault="00287600" w:rsidP="003B0B47">
      <w:pPr>
        <w:pStyle w:val="ListParagraph"/>
        <w:numPr>
          <w:ilvl w:val="0"/>
          <w:numId w:val="17"/>
        </w:numPr>
        <w:spacing w:after="240" w:line="252" w:lineRule="auto"/>
        <w:ind w:left="1080"/>
        <w:jc w:val="both"/>
        <w:rPr>
          <w:sz w:val="22"/>
          <w:szCs w:val="22"/>
        </w:rPr>
      </w:pPr>
      <w:r w:rsidRPr="00287600">
        <w:rPr>
          <w:sz w:val="22"/>
          <w:szCs w:val="22"/>
        </w:rPr>
        <w:t>The group identified the key issue in relation to the GLA Transport Grant as being whether the grant will be treated as revenue or capital funding.</w:t>
      </w:r>
      <w:r>
        <w:rPr>
          <w:sz w:val="22"/>
          <w:szCs w:val="22"/>
        </w:rPr>
        <w:t xml:space="preserve"> </w:t>
      </w:r>
      <w:r w:rsidR="003B0B47" w:rsidRPr="00287600">
        <w:rPr>
          <w:sz w:val="22"/>
          <w:szCs w:val="22"/>
        </w:rPr>
        <w:t>The</w:t>
      </w:r>
      <w:r w:rsidRPr="00287600">
        <w:rPr>
          <w:sz w:val="22"/>
          <w:szCs w:val="22"/>
        </w:rPr>
        <w:t xml:space="preserve"> grant is classified as capital funding, which raises the question as to whether the grant will be devolved with a ringfence attached to it to ensure it is spent for capital purposes.</w:t>
      </w:r>
    </w:p>
    <w:p w:rsidR="001504C6" w:rsidRDefault="003B0B47" w:rsidP="001504C6">
      <w:pPr>
        <w:pStyle w:val="ListParagraph"/>
        <w:numPr>
          <w:ilvl w:val="0"/>
          <w:numId w:val="17"/>
        </w:numPr>
        <w:spacing w:after="240" w:line="252" w:lineRule="auto"/>
        <w:ind w:left="1080"/>
        <w:jc w:val="both"/>
        <w:rPr>
          <w:sz w:val="22"/>
          <w:szCs w:val="22"/>
        </w:rPr>
      </w:pPr>
      <w:r>
        <w:rPr>
          <w:sz w:val="22"/>
          <w:szCs w:val="22"/>
        </w:rPr>
        <w:t xml:space="preserve">However the </w:t>
      </w:r>
      <w:r w:rsidR="00287600">
        <w:rPr>
          <w:sz w:val="22"/>
          <w:szCs w:val="22"/>
        </w:rPr>
        <w:t>grant is currently devolv</w:t>
      </w:r>
      <w:r>
        <w:rPr>
          <w:sz w:val="22"/>
          <w:szCs w:val="22"/>
        </w:rPr>
        <w:t xml:space="preserve">ed as part of the BRR pilots, where DCLG, HMT and the GLA have worked together to ensure appropriate accountability arrangements are in place. </w:t>
      </w:r>
    </w:p>
    <w:p w:rsidR="00B850E9" w:rsidRPr="001A6D47" w:rsidRDefault="00B850E9" w:rsidP="001504C6">
      <w:pPr>
        <w:pStyle w:val="ListParagraph"/>
        <w:numPr>
          <w:ilvl w:val="0"/>
          <w:numId w:val="17"/>
        </w:numPr>
        <w:spacing w:after="240" w:line="252" w:lineRule="auto"/>
        <w:ind w:left="1080"/>
        <w:jc w:val="both"/>
        <w:rPr>
          <w:sz w:val="22"/>
          <w:szCs w:val="22"/>
        </w:rPr>
      </w:pPr>
      <w:r w:rsidRPr="001A6D47">
        <w:rPr>
          <w:sz w:val="22"/>
          <w:szCs w:val="22"/>
        </w:rPr>
        <w:t xml:space="preserve">Transport grants are also devolved as part of the Cornwall, Manchester and West of England pilots. </w:t>
      </w:r>
      <w:r w:rsidR="001A6D47" w:rsidRPr="001A6D47">
        <w:rPr>
          <w:sz w:val="22"/>
          <w:szCs w:val="22"/>
        </w:rPr>
        <w:t>There is a question as to how such grants should be treated when the new system is implemented</w:t>
      </w:r>
      <w:r w:rsidR="001A6D47">
        <w:rPr>
          <w:sz w:val="22"/>
          <w:szCs w:val="22"/>
        </w:rPr>
        <w:t>.</w:t>
      </w:r>
    </w:p>
    <w:p w:rsidR="001504C6" w:rsidRDefault="001504C6" w:rsidP="001504C6">
      <w:pPr>
        <w:pStyle w:val="ListParagraph"/>
        <w:spacing w:after="240" w:line="252" w:lineRule="auto"/>
        <w:ind w:left="1080"/>
        <w:jc w:val="both"/>
        <w:rPr>
          <w:sz w:val="22"/>
          <w:szCs w:val="22"/>
        </w:rPr>
      </w:pPr>
    </w:p>
    <w:p w:rsidR="001504C6" w:rsidRDefault="004D578B" w:rsidP="007C1F24">
      <w:pPr>
        <w:pStyle w:val="ListParagraph"/>
        <w:numPr>
          <w:ilvl w:val="0"/>
          <w:numId w:val="25"/>
        </w:numPr>
        <w:spacing w:after="240" w:line="252" w:lineRule="auto"/>
        <w:ind w:left="426" w:hanging="426"/>
        <w:jc w:val="both"/>
        <w:rPr>
          <w:b/>
          <w:sz w:val="22"/>
          <w:szCs w:val="22"/>
        </w:rPr>
      </w:pPr>
      <w:r>
        <w:rPr>
          <w:b/>
          <w:sz w:val="22"/>
          <w:szCs w:val="22"/>
        </w:rPr>
        <w:t>Discussion on key questions</w:t>
      </w:r>
    </w:p>
    <w:p w:rsidR="002145A1" w:rsidRDefault="002145A1" w:rsidP="007C1F24">
      <w:pPr>
        <w:pStyle w:val="ListParagraph"/>
        <w:spacing w:after="240" w:line="252" w:lineRule="auto"/>
        <w:ind w:left="426"/>
        <w:jc w:val="both"/>
        <w:rPr>
          <w:b/>
          <w:sz w:val="22"/>
          <w:szCs w:val="22"/>
        </w:rPr>
      </w:pPr>
    </w:p>
    <w:p w:rsidR="00554ACA" w:rsidRDefault="002145A1" w:rsidP="007C1F24">
      <w:pPr>
        <w:pStyle w:val="ListParagraph"/>
        <w:numPr>
          <w:ilvl w:val="1"/>
          <w:numId w:val="25"/>
        </w:numPr>
        <w:spacing w:after="240" w:line="252" w:lineRule="auto"/>
        <w:ind w:left="426" w:hanging="426"/>
        <w:jc w:val="both"/>
        <w:rPr>
          <w:sz w:val="22"/>
          <w:szCs w:val="22"/>
        </w:rPr>
      </w:pPr>
      <w:r>
        <w:rPr>
          <w:sz w:val="22"/>
          <w:szCs w:val="22"/>
          <w:lang w:eastAsia="en-GB"/>
        </w:rPr>
        <w:t xml:space="preserve">As set out in </w:t>
      </w:r>
      <w:r w:rsidR="004D578B">
        <w:rPr>
          <w:sz w:val="22"/>
          <w:szCs w:val="22"/>
          <w:lang w:eastAsia="en-GB"/>
        </w:rPr>
        <w:t>paragraph 2.6</w:t>
      </w:r>
      <w:r w:rsidR="00B4417F">
        <w:rPr>
          <w:sz w:val="22"/>
          <w:szCs w:val="22"/>
          <w:lang w:eastAsia="en-GB"/>
        </w:rPr>
        <w:t xml:space="preserve"> above, the additional grants identified to be roll</w:t>
      </w:r>
      <w:r w:rsidR="004E0DF4">
        <w:rPr>
          <w:sz w:val="22"/>
          <w:szCs w:val="22"/>
          <w:lang w:eastAsia="en-GB"/>
        </w:rPr>
        <w:t>e</w:t>
      </w:r>
      <w:r w:rsidR="00B4417F">
        <w:rPr>
          <w:sz w:val="22"/>
          <w:szCs w:val="22"/>
          <w:lang w:eastAsia="en-GB"/>
        </w:rPr>
        <w:t>d in</w:t>
      </w:r>
      <w:r w:rsidR="004E0DF4">
        <w:rPr>
          <w:sz w:val="22"/>
          <w:szCs w:val="22"/>
          <w:lang w:eastAsia="en-GB"/>
        </w:rPr>
        <w:t>, combined with the existing 50%,</w:t>
      </w:r>
      <w:r w:rsidR="00B4417F">
        <w:rPr>
          <w:sz w:val="22"/>
          <w:szCs w:val="22"/>
          <w:lang w:eastAsia="en-GB"/>
        </w:rPr>
        <w:t xml:space="preserve"> </w:t>
      </w:r>
      <w:r w:rsidR="004E0DF4">
        <w:rPr>
          <w:sz w:val="22"/>
          <w:szCs w:val="22"/>
          <w:lang w:eastAsia="en-GB"/>
        </w:rPr>
        <w:t xml:space="preserve">equates to approximately </w:t>
      </w:r>
      <w:r w:rsidR="004E0DF4" w:rsidRPr="00737831">
        <w:rPr>
          <w:sz w:val="22"/>
          <w:szCs w:val="22"/>
          <w:lang w:eastAsia="en-GB"/>
        </w:rPr>
        <w:t>75% retention</w:t>
      </w:r>
      <w:r w:rsidR="006522F7">
        <w:rPr>
          <w:sz w:val="22"/>
          <w:szCs w:val="22"/>
          <w:lang w:eastAsia="en-GB"/>
        </w:rPr>
        <w:t xml:space="preserve">, rather than 100%. </w:t>
      </w:r>
      <w:r w:rsidR="0037460B">
        <w:rPr>
          <w:sz w:val="22"/>
          <w:szCs w:val="22"/>
          <w:lang w:eastAsia="en-GB"/>
        </w:rPr>
        <w:t>The</w:t>
      </w:r>
      <w:r w:rsidR="0037460B">
        <w:rPr>
          <w:sz w:val="22"/>
          <w:szCs w:val="22"/>
        </w:rPr>
        <w:t xml:space="preserve"> Government’s position is that </w:t>
      </w:r>
      <w:r w:rsidR="004E0DF4">
        <w:rPr>
          <w:sz w:val="22"/>
          <w:szCs w:val="22"/>
        </w:rPr>
        <w:t xml:space="preserve">further </w:t>
      </w:r>
      <w:r w:rsidR="00C17767">
        <w:rPr>
          <w:sz w:val="22"/>
          <w:szCs w:val="22"/>
        </w:rPr>
        <w:t>increase of</w:t>
      </w:r>
      <w:r w:rsidR="0037460B">
        <w:rPr>
          <w:sz w:val="22"/>
          <w:szCs w:val="22"/>
        </w:rPr>
        <w:t xml:space="preserve"> local </w:t>
      </w:r>
      <w:r w:rsidR="00256628">
        <w:rPr>
          <w:sz w:val="22"/>
          <w:szCs w:val="22"/>
        </w:rPr>
        <w:t>government’s</w:t>
      </w:r>
      <w:r w:rsidR="0037460B">
        <w:rPr>
          <w:sz w:val="22"/>
          <w:szCs w:val="22"/>
        </w:rPr>
        <w:t xml:space="preserve"> retention of b</w:t>
      </w:r>
      <w:r w:rsidR="00256628">
        <w:rPr>
          <w:sz w:val="22"/>
          <w:szCs w:val="22"/>
        </w:rPr>
        <w:t>usiness rates will be achieved in a way which is fiscally neutral.</w:t>
      </w:r>
      <w:r w:rsidR="0037460B">
        <w:rPr>
          <w:sz w:val="22"/>
          <w:szCs w:val="22"/>
        </w:rPr>
        <w:t xml:space="preserve"> </w:t>
      </w:r>
      <w:r w:rsidR="000E1E41">
        <w:rPr>
          <w:sz w:val="22"/>
          <w:szCs w:val="22"/>
        </w:rPr>
        <w:t xml:space="preserve">The LGA have indicated that their preferred position is for existing local government funding </w:t>
      </w:r>
      <w:r w:rsidR="000E1E41">
        <w:rPr>
          <w:sz w:val="22"/>
          <w:szCs w:val="22"/>
        </w:rPr>
        <w:lastRenderedPageBreak/>
        <w:t xml:space="preserve">pressures to be taken account first before any new or existing responsibilities be transferred and funded through retained business rates, beyond those which have already been confirmed for devolution. </w:t>
      </w:r>
    </w:p>
    <w:p w:rsidR="00554ACA" w:rsidRDefault="00554ACA" w:rsidP="007C1F24">
      <w:pPr>
        <w:pStyle w:val="ListParagraph"/>
        <w:spacing w:after="240" w:line="252" w:lineRule="auto"/>
        <w:ind w:left="426"/>
        <w:jc w:val="both"/>
        <w:rPr>
          <w:sz w:val="22"/>
          <w:szCs w:val="22"/>
        </w:rPr>
      </w:pPr>
    </w:p>
    <w:p w:rsidR="00142D23" w:rsidRDefault="00256628" w:rsidP="004D578B">
      <w:pPr>
        <w:pStyle w:val="ListParagraph"/>
        <w:numPr>
          <w:ilvl w:val="1"/>
          <w:numId w:val="25"/>
        </w:numPr>
        <w:spacing w:after="240" w:line="252" w:lineRule="auto"/>
        <w:ind w:left="426" w:hanging="426"/>
        <w:jc w:val="both"/>
        <w:rPr>
          <w:sz w:val="22"/>
          <w:szCs w:val="22"/>
        </w:rPr>
      </w:pPr>
      <w:r w:rsidRPr="00634A3B">
        <w:rPr>
          <w:sz w:val="22"/>
          <w:szCs w:val="22"/>
        </w:rPr>
        <w:t>Taking such positions into account</w:t>
      </w:r>
      <w:r w:rsidR="00634A3B">
        <w:rPr>
          <w:sz w:val="22"/>
          <w:szCs w:val="22"/>
        </w:rPr>
        <w:t>, the group discussed the three questions set out in paragraph 1.2:</w:t>
      </w:r>
    </w:p>
    <w:p w:rsidR="007332EC" w:rsidRDefault="007332EC" w:rsidP="007332EC">
      <w:pPr>
        <w:pStyle w:val="ListParagraph"/>
        <w:spacing w:after="240" w:line="252" w:lineRule="auto"/>
        <w:ind w:left="426"/>
        <w:jc w:val="both"/>
        <w:rPr>
          <w:sz w:val="22"/>
          <w:szCs w:val="22"/>
        </w:rPr>
      </w:pPr>
    </w:p>
    <w:p w:rsidR="00634A3B" w:rsidRPr="007332EC" w:rsidRDefault="00634A3B" w:rsidP="007332EC">
      <w:pPr>
        <w:pStyle w:val="ListParagraph"/>
        <w:numPr>
          <w:ilvl w:val="0"/>
          <w:numId w:val="29"/>
        </w:numPr>
        <w:spacing w:after="240" w:line="252" w:lineRule="auto"/>
        <w:jc w:val="both"/>
        <w:rPr>
          <w:b/>
          <w:sz w:val="22"/>
          <w:szCs w:val="22"/>
        </w:rPr>
      </w:pPr>
      <w:r w:rsidRPr="007332EC">
        <w:rPr>
          <w:b/>
          <w:sz w:val="22"/>
          <w:szCs w:val="22"/>
        </w:rPr>
        <w:t>Do the group agree with the Steering Group’s proposal to close the working group, and was the group content to be called upon on an ad-hoc basis?</w:t>
      </w:r>
    </w:p>
    <w:p w:rsidR="00634A3B" w:rsidRDefault="00634A3B" w:rsidP="00634A3B">
      <w:pPr>
        <w:pStyle w:val="ListParagraph"/>
        <w:spacing w:after="240" w:line="252" w:lineRule="auto"/>
        <w:jc w:val="both"/>
        <w:rPr>
          <w:sz w:val="22"/>
          <w:szCs w:val="22"/>
        </w:rPr>
      </w:pPr>
    </w:p>
    <w:p w:rsidR="007332EC" w:rsidRDefault="007332EC" w:rsidP="007332EC">
      <w:pPr>
        <w:pStyle w:val="ListParagraph"/>
        <w:numPr>
          <w:ilvl w:val="0"/>
          <w:numId w:val="30"/>
        </w:numPr>
        <w:spacing w:after="240" w:line="252" w:lineRule="auto"/>
        <w:jc w:val="both"/>
        <w:rPr>
          <w:sz w:val="22"/>
          <w:szCs w:val="22"/>
        </w:rPr>
      </w:pPr>
      <w:r>
        <w:rPr>
          <w:sz w:val="22"/>
          <w:szCs w:val="22"/>
        </w:rPr>
        <w:t>The group agreed with the Steering Group’s proposal and suggested that the group be suspended until any potential future primary legislative slot is secured by the Government to implement 100% BRR. However in the meantime the group were content with being called up</w:t>
      </w:r>
      <w:r w:rsidR="004B05E0">
        <w:rPr>
          <w:sz w:val="22"/>
          <w:szCs w:val="22"/>
        </w:rPr>
        <w:t>on by the Steering Group on an ad-hoc basis as new areas of work arise.</w:t>
      </w:r>
    </w:p>
    <w:p w:rsidR="00A6385B" w:rsidRDefault="007332EC" w:rsidP="007332EC">
      <w:pPr>
        <w:numPr>
          <w:ilvl w:val="0"/>
          <w:numId w:val="29"/>
        </w:numPr>
        <w:spacing w:after="240" w:line="252" w:lineRule="auto"/>
        <w:jc w:val="both"/>
        <w:rPr>
          <w:b/>
          <w:sz w:val="22"/>
          <w:szCs w:val="22"/>
        </w:rPr>
      </w:pPr>
      <w:r w:rsidRPr="007332EC">
        <w:rPr>
          <w:b/>
          <w:sz w:val="22"/>
          <w:szCs w:val="22"/>
        </w:rPr>
        <w:t xml:space="preserve">What is the </w:t>
      </w:r>
      <w:r w:rsidR="00A6385B" w:rsidRPr="007332EC">
        <w:rPr>
          <w:b/>
          <w:sz w:val="22"/>
          <w:szCs w:val="22"/>
        </w:rPr>
        <w:t xml:space="preserve">appropriate level of business rates retention to be reached through devolving responsibilities? I.e. is the current approximate 75% retention figure the maximum or should further responsibilities be devolved to go beyond this? </w:t>
      </w:r>
    </w:p>
    <w:p w:rsidR="007332EC" w:rsidRPr="00AF3247" w:rsidRDefault="00AF3247" w:rsidP="00AF3247">
      <w:pPr>
        <w:pStyle w:val="ListParagraph"/>
        <w:numPr>
          <w:ilvl w:val="0"/>
          <w:numId w:val="30"/>
        </w:numPr>
        <w:spacing w:after="240" w:line="252" w:lineRule="auto"/>
        <w:jc w:val="both"/>
        <w:rPr>
          <w:b/>
          <w:sz w:val="22"/>
          <w:szCs w:val="22"/>
        </w:rPr>
      </w:pPr>
      <w:r>
        <w:rPr>
          <w:sz w:val="22"/>
          <w:szCs w:val="22"/>
        </w:rPr>
        <w:t xml:space="preserve">The group stated that they were not explicitly asking for 75% retention as they believed that 100% BRR should be the eventual position. </w:t>
      </w:r>
      <w:r w:rsidR="00402A9A">
        <w:rPr>
          <w:sz w:val="22"/>
          <w:szCs w:val="22"/>
        </w:rPr>
        <w:t>However given</w:t>
      </w:r>
      <w:r w:rsidR="000410E1" w:rsidRPr="00AF3247">
        <w:rPr>
          <w:sz w:val="22"/>
          <w:szCs w:val="22"/>
        </w:rPr>
        <w:t xml:space="preserve"> the differing positions of the Government and the LGA, </w:t>
      </w:r>
      <w:r w:rsidR="00402A9A">
        <w:rPr>
          <w:sz w:val="22"/>
          <w:szCs w:val="22"/>
        </w:rPr>
        <w:t xml:space="preserve">it was agreed that </w:t>
      </w:r>
      <w:r w:rsidR="000410E1" w:rsidRPr="00AF3247">
        <w:rPr>
          <w:sz w:val="22"/>
          <w:szCs w:val="22"/>
        </w:rPr>
        <w:t xml:space="preserve">the current approximate 75% retention figure was, at this time, the most appropriate level of BRR to be reached through devolving responsibilities. </w:t>
      </w:r>
    </w:p>
    <w:p w:rsidR="000410E1" w:rsidRPr="00AF3247" w:rsidRDefault="000410E1" w:rsidP="000410E1">
      <w:pPr>
        <w:pStyle w:val="ListParagraph"/>
        <w:numPr>
          <w:ilvl w:val="0"/>
          <w:numId w:val="30"/>
        </w:numPr>
        <w:spacing w:after="240" w:line="252" w:lineRule="auto"/>
        <w:jc w:val="both"/>
        <w:rPr>
          <w:b/>
          <w:sz w:val="22"/>
          <w:szCs w:val="22"/>
        </w:rPr>
      </w:pPr>
      <w:r>
        <w:rPr>
          <w:sz w:val="22"/>
          <w:szCs w:val="22"/>
        </w:rPr>
        <w:t xml:space="preserve">The group </w:t>
      </w:r>
      <w:r w:rsidR="00115C7D">
        <w:rPr>
          <w:sz w:val="22"/>
          <w:szCs w:val="22"/>
        </w:rPr>
        <w:t>highlig</w:t>
      </w:r>
      <w:r w:rsidR="00E069D2">
        <w:rPr>
          <w:sz w:val="22"/>
          <w:szCs w:val="22"/>
        </w:rPr>
        <w:t xml:space="preserve">hted that whilst they </w:t>
      </w:r>
      <w:r w:rsidR="00115C7D">
        <w:rPr>
          <w:sz w:val="22"/>
          <w:szCs w:val="22"/>
        </w:rPr>
        <w:t xml:space="preserve">were supportive of 75% BRR, they did not feel that this addressed financial sustainability issues in local government and supported the LGAs position that existing funding pressures should be </w:t>
      </w:r>
      <w:r w:rsidR="00811F9A">
        <w:rPr>
          <w:sz w:val="22"/>
          <w:szCs w:val="22"/>
        </w:rPr>
        <w:t>considered</w:t>
      </w:r>
      <w:r w:rsidR="00E069D2">
        <w:rPr>
          <w:sz w:val="22"/>
          <w:szCs w:val="22"/>
        </w:rPr>
        <w:t xml:space="preserve"> first before any further responsibilities are devolved. </w:t>
      </w:r>
    </w:p>
    <w:p w:rsidR="00AF3247" w:rsidRPr="00E069D2" w:rsidRDefault="00AF3247" w:rsidP="000410E1">
      <w:pPr>
        <w:pStyle w:val="ListParagraph"/>
        <w:numPr>
          <w:ilvl w:val="0"/>
          <w:numId w:val="30"/>
        </w:numPr>
        <w:spacing w:after="240" w:line="252" w:lineRule="auto"/>
        <w:jc w:val="both"/>
        <w:rPr>
          <w:b/>
          <w:sz w:val="22"/>
          <w:szCs w:val="22"/>
        </w:rPr>
      </w:pPr>
      <w:r>
        <w:rPr>
          <w:sz w:val="22"/>
          <w:szCs w:val="22"/>
        </w:rPr>
        <w:t xml:space="preserve">The group also discussed what 75% BRR would mean for the retention of growth in business rates. The group agreed it </w:t>
      </w:r>
      <w:r w:rsidR="00402A9A">
        <w:rPr>
          <w:sz w:val="22"/>
          <w:szCs w:val="22"/>
        </w:rPr>
        <w:t>would it would be sensible for retention of growth to at least match retention of business rates stock.</w:t>
      </w:r>
    </w:p>
    <w:p w:rsidR="00E069D2" w:rsidRPr="000410E1" w:rsidRDefault="00E069D2" w:rsidP="00E069D2">
      <w:pPr>
        <w:pStyle w:val="ListParagraph"/>
        <w:spacing w:after="240" w:line="252" w:lineRule="auto"/>
        <w:ind w:left="1440"/>
        <w:jc w:val="both"/>
        <w:rPr>
          <w:b/>
          <w:sz w:val="22"/>
          <w:szCs w:val="22"/>
        </w:rPr>
      </w:pPr>
    </w:p>
    <w:p w:rsidR="00E069D2" w:rsidRDefault="00E069D2" w:rsidP="00E069D2">
      <w:pPr>
        <w:pStyle w:val="ListParagraph"/>
        <w:numPr>
          <w:ilvl w:val="0"/>
          <w:numId w:val="29"/>
        </w:numPr>
        <w:rPr>
          <w:b/>
          <w:sz w:val="22"/>
          <w:szCs w:val="22"/>
        </w:rPr>
      </w:pPr>
      <w:r w:rsidRPr="00E069D2">
        <w:rPr>
          <w:b/>
          <w:sz w:val="22"/>
          <w:szCs w:val="22"/>
        </w:rPr>
        <w:t xml:space="preserve">If further responsibilities should be devolved, does the group have suggestions as to what they should be? </w:t>
      </w:r>
    </w:p>
    <w:p w:rsidR="00E069D2" w:rsidRPr="00E069D2" w:rsidRDefault="00E069D2" w:rsidP="00E069D2">
      <w:pPr>
        <w:pStyle w:val="ListParagraph"/>
        <w:rPr>
          <w:b/>
          <w:sz w:val="22"/>
          <w:szCs w:val="22"/>
        </w:rPr>
      </w:pPr>
    </w:p>
    <w:p w:rsidR="003733C6" w:rsidRDefault="003E1878" w:rsidP="003733C6">
      <w:pPr>
        <w:pStyle w:val="ListParagraph"/>
        <w:numPr>
          <w:ilvl w:val="0"/>
          <w:numId w:val="31"/>
        </w:numPr>
        <w:spacing w:after="240" w:line="252" w:lineRule="auto"/>
        <w:jc w:val="both"/>
        <w:rPr>
          <w:sz w:val="22"/>
          <w:szCs w:val="22"/>
        </w:rPr>
      </w:pPr>
      <w:r>
        <w:rPr>
          <w:sz w:val="22"/>
          <w:szCs w:val="22"/>
        </w:rPr>
        <w:t xml:space="preserve">The </w:t>
      </w:r>
      <w:r w:rsidR="00A359F2">
        <w:rPr>
          <w:sz w:val="22"/>
          <w:szCs w:val="22"/>
        </w:rPr>
        <w:t xml:space="preserve">group </w:t>
      </w:r>
      <w:r>
        <w:rPr>
          <w:sz w:val="22"/>
          <w:szCs w:val="22"/>
        </w:rPr>
        <w:t xml:space="preserve">reiterated that they believed existing funding pressures should be considered ahead of devolving further responsibilities. However the group did state a preference that </w:t>
      </w:r>
      <w:r w:rsidR="00666DE4">
        <w:rPr>
          <w:sz w:val="22"/>
          <w:szCs w:val="22"/>
        </w:rPr>
        <w:t>any further devolution of responsibilities should be focussed on those responsibilities linked to growth and skills e.g. transport related grants.</w:t>
      </w:r>
    </w:p>
    <w:p w:rsidR="00666DE4" w:rsidRPr="00666DE4" w:rsidRDefault="00666DE4" w:rsidP="00666DE4">
      <w:pPr>
        <w:pStyle w:val="ListParagraph"/>
        <w:spacing w:after="240" w:line="252" w:lineRule="auto"/>
        <w:ind w:left="1440"/>
        <w:jc w:val="both"/>
        <w:rPr>
          <w:sz w:val="22"/>
          <w:szCs w:val="22"/>
        </w:rPr>
      </w:pPr>
    </w:p>
    <w:p w:rsidR="003733C6" w:rsidRDefault="003733C6" w:rsidP="003733C6">
      <w:pPr>
        <w:spacing w:after="240" w:line="252" w:lineRule="auto"/>
        <w:jc w:val="both"/>
        <w:rPr>
          <w:sz w:val="22"/>
          <w:szCs w:val="22"/>
        </w:rPr>
      </w:pPr>
    </w:p>
    <w:p w:rsidR="003733C6" w:rsidRDefault="003733C6" w:rsidP="003733C6">
      <w:pPr>
        <w:spacing w:after="240" w:line="252" w:lineRule="auto"/>
        <w:jc w:val="both"/>
        <w:rPr>
          <w:sz w:val="22"/>
          <w:szCs w:val="22"/>
        </w:rPr>
      </w:pPr>
    </w:p>
    <w:p w:rsidR="003733C6" w:rsidRDefault="003733C6" w:rsidP="003733C6">
      <w:pPr>
        <w:spacing w:after="240" w:line="252" w:lineRule="auto"/>
        <w:jc w:val="both"/>
        <w:rPr>
          <w:sz w:val="22"/>
          <w:szCs w:val="22"/>
        </w:rPr>
      </w:pPr>
    </w:p>
    <w:p w:rsidR="003733C6" w:rsidRDefault="003733C6" w:rsidP="003733C6">
      <w:pPr>
        <w:spacing w:after="240" w:line="252" w:lineRule="auto"/>
        <w:jc w:val="both"/>
        <w:rPr>
          <w:sz w:val="22"/>
          <w:szCs w:val="22"/>
        </w:rPr>
      </w:pPr>
    </w:p>
    <w:p w:rsidR="003733C6" w:rsidRDefault="003733C6" w:rsidP="003733C6">
      <w:pPr>
        <w:spacing w:after="240" w:line="252" w:lineRule="auto"/>
        <w:jc w:val="both"/>
        <w:rPr>
          <w:sz w:val="22"/>
          <w:szCs w:val="22"/>
        </w:rPr>
      </w:pPr>
    </w:p>
    <w:p w:rsidR="003733C6" w:rsidRPr="00525CD2" w:rsidRDefault="0023016F" w:rsidP="003733C6">
      <w:pPr>
        <w:spacing w:after="240" w:line="252" w:lineRule="auto"/>
        <w:jc w:val="both"/>
        <w:rPr>
          <w:b/>
          <w:sz w:val="20"/>
          <w:szCs w:val="20"/>
        </w:rPr>
      </w:pPr>
      <w:r w:rsidRPr="00525CD2">
        <w:rPr>
          <w:b/>
          <w:sz w:val="20"/>
          <w:szCs w:val="20"/>
        </w:rPr>
        <w:lastRenderedPageBreak/>
        <w:t>Annex A- Summary of Grants/ Responsibilities identified as possible candidates by the working group</w:t>
      </w:r>
    </w:p>
    <w:tbl>
      <w:tblPr>
        <w:tblStyle w:val="TableGrid"/>
        <w:tblW w:w="0" w:type="auto"/>
        <w:tblLook w:val="04A0" w:firstRow="1" w:lastRow="0" w:firstColumn="1" w:lastColumn="0" w:noHBand="0" w:noVBand="1"/>
      </w:tblPr>
      <w:tblGrid>
        <w:gridCol w:w="3080"/>
        <w:gridCol w:w="3691"/>
        <w:gridCol w:w="2471"/>
      </w:tblGrid>
      <w:tr w:rsidR="002D4E02" w:rsidTr="000123E6">
        <w:trPr>
          <w:trHeight w:val="905"/>
        </w:trPr>
        <w:tc>
          <w:tcPr>
            <w:tcW w:w="3080" w:type="dxa"/>
          </w:tcPr>
          <w:p w:rsidR="002D4E02" w:rsidRPr="00451119" w:rsidRDefault="002D4E02" w:rsidP="002D4E02">
            <w:pPr>
              <w:spacing w:after="240" w:line="252" w:lineRule="auto"/>
              <w:jc w:val="center"/>
              <w:rPr>
                <w:b/>
                <w:sz w:val="18"/>
                <w:szCs w:val="18"/>
              </w:rPr>
            </w:pPr>
            <w:r w:rsidRPr="00451119">
              <w:rPr>
                <w:b/>
                <w:sz w:val="18"/>
                <w:szCs w:val="18"/>
              </w:rPr>
              <w:t>Grant</w:t>
            </w:r>
          </w:p>
        </w:tc>
        <w:tc>
          <w:tcPr>
            <w:tcW w:w="3691" w:type="dxa"/>
          </w:tcPr>
          <w:p w:rsidR="002D4E02" w:rsidRPr="00451119" w:rsidRDefault="002D4E02" w:rsidP="002D4E02">
            <w:pPr>
              <w:spacing w:after="240" w:line="252" w:lineRule="auto"/>
              <w:jc w:val="center"/>
              <w:rPr>
                <w:b/>
                <w:sz w:val="18"/>
                <w:szCs w:val="18"/>
              </w:rPr>
            </w:pPr>
            <w:r w:rsidRPr="00451119">
              <w:rPr>
                <w:b/>
                <w:sz w:val="18"/>
                <w:szCs w:val="18"/>
              </w:rPr>
              <w:t>Narrative</w:t>
            </w:r>
          </w:p>
        </w:tc>
        <w:tc>
          <w:tcPr>
            <w:tcW w:w="2471" w:type="dxa"/>
          </w:tcPr>
          <w:p w:rsidR="002D4E02" w:rsidRPr="00451119" w:rsidRDefault="002D4E02" w:rsidP="002D4E02">
            <w:pPr>
              <w:spacing w:after="240" w:line="252" w:lineRule="auto"/>
              <w:jc w:val="center"/>
              <w:rPr>
                <w:b/>
                <w:sz w:val="18"/>
                <w:szCs w:val="18"/>
              </w:rPr>
            </w:pPr>
            <w:r w:rsidRPr="00451119">
              <w:rPr>
                <w:b/>
                <w:sz w:val="18"/>
                <w:szCs w:val="18"/>
              </w:rPr>
              <w:t>Total for Transfer (</w:t>
            </w:r>
            <w:proofErr w:type="spellStart"/>
            <w:r w:rsidRPr="00451119">
              <w:rPr>
                <w:b/>
                <w:sz w:val="18"/>
                <w:szCs w:val="18"/>
              </w:rPr>
              <w:t>est</w:t>
            </w:r>
            <w:proofErr w:type="spellEnd"/>
            <w:r w:rsidRPr="00451119">
              <w:rPr>
                <w:b/>
                <w:sz w:val="18"/>
                <w:szCs w:val="18"/>
              </w:rPr>
              <w:t>) in 2019/20 (as of June 2016)       £million</w:t>
            </w:r>
          </w:p>
        </w:tc>
      </w:tr>
      <w:tr w:rsidR="002D4E02" w:rsidTr="000123E6">
        <w:tc>
          <w:tcPr>
            <w:tcW w:w="3080" w:type="dxa"/>
          </w:tcPr>
          <w:p w:rsidR="002D4E02" w:rsidRPr="00451119" w:rsidRDefault="002D4E02" w:rsidP="003733C6">
            <w:pPr>
              <w:spacing w:after="240" w:line="252" w:lineRule="auto"/>
              <w:jc w:val="both"/>
              <w:rPr>
                <w:sz w:val="18"/>
                <w:szCs w:val="18"/>
              </w:rPr>
            </w:pPr>
            <w:r w:rsidRPr="00451119">
              <w:rPr>
                <w:sz w:val="18"/>
                <w:szCs w:val="18"/>
              </w:rPr>
              <w:t>Revenue Support Grant</w:t>
            </w:r>
          </w:p>
        </w:tc>
        <w:tc>
          <w:tcPr>
            <w:tcW w:w="3691" w:type="dxa"/>
          </w:tcPr>
          <w:p w:rsidR="002D4E02" w:rsidRPr="00451119" w:rsidRDefault="00451119" w:rsidP="003733C6">
            <w:pPr>
              <w:spacing w:after="240" w:line="252" w:lineRule="auto"/>
              <w:jc w:val="both"/>
              <w:rPr>
                <w:sz w:val="18"/>
                <w:szCs w:val="18"/>
              </w:rPr>
            </w:pPr>
            <w:r w:rsidRPr="00451119">
              <w:rPr>
                <w:sz w:val="18"/>
                <w:szCs w:val="18"/>
              </w:rPr>
              <w:t>Item already announced</w:t>
            </w:r>
          </w:p>
        </w:tc>
        <w:tc>
          <w:tcPr>
            <w:tcW w:w="2471" w:type="dxa"/>
          </w:tcPr>
          <w:p w:rsidR="002D4E02" w:rsidRPr="00451119" w:rsidRDefault="000123E6" w:rsidP="000123E6">
            <w:pPr>
              <w:spacing w:after="240" w:line="252" w:lineRule="auto"/>
              <w:jc w:val="right"/>
              <w:rPr>
                <w:sz w:val="18"/>
                <w:szCs w:val="18"/>
              </w:rPr>
            </w:pPr>
            <w:r>
              <w:rPr>
                <w:sz w:val="18"/>
                <w:szCs w:val="18"/>
              </w:rPr>
              <w:t>2,284</w:t>
            </w:r>
          </w:p>
        </w:tc>
      </w:tr>
      <w:tr w:rsidR="002D4E02" w:rsidTr="000123E6">
        <w:tc>
          <w:tcPr>
            <w:tcW w:w="3080" w:type="dxa"/>
          </w:tcPr>
          <w:p w:rsidR="002D4E02" w:rsidRPr="00451119" w:rsidRDefault="002D4E02" w:rsidP="003733C6">
            <w:pPr>
              <w:spacing w:after="240" w:line="252" w:lineRule="auto"/>
              <w:jc w:val="both"/>
              <w:rPr>
                <w:sz w:val="18"/>
                <w:szCs w:val="18"/>
              </w:rPr>
            </w:pPr>
            <w:r w:rsidRPr="00451119">
              <w:rPr>
                <w:sz w:val="18"/>
                <w:szCs w:val="18"/>
              </w:rPr>
              <w:t>Transport for London Capital Grant</w:t>
            </w:r>
          </w:p>
        </w:tc>
        <w:tc>
          <w:tcPr>
            <w:tcW w:w="3691" w:type="dxa"/>
          </w:tcPr>
          <w:p w:rsidR="002D4E02" w:rsidRPr="00451119" w:rsidRDefault="00451119" w:rsidP="003733C6">
            <w:pPr>
              <w:spacing w:after="240" w:line="252" w:lineRule="auto"/>
              <w:jc w:val="both"/>
              <w:rPr>
                <w:sz w:val="18"/>
                <w:szCs w:val="18"/>
              </w:rPr>
            </w:pPr>
            <w:r w:rsidRPr="00451119">
              <w:rPr>
                <w:sz w:val="18"/>
                <w:szCs w:val="18"/>
              </w:rPr>
              <w:t xml:space="preserve">Item already announced </w:t>
            </w:r>
          </w:p>
        </w:tc>
        <w:tc>
          <w:tcPr>
            <w:tcW w:w="2471" w:type="dxa"/>
          </w:tcPr>
          <w:p w:rsidR="002D4E02" w:rsidRPr="00451119" w:rsidRDefault="000123E6" w:rsidP="000123E6">
            <w:pPr>
              <w:spacing w:after="240" w:line="252" w:lineRule="auto"/>
              <w:jc w:val="right"/>
              <w:rPr>
                <w:sz w:val="18"/>
                <w:szCs w:val="18"/>
              </w:rPr>
            </w:pPr>
            <w:r>
              <w:rPr>
                <w:sz w:val="18"/>
                <w:szCs w:val="18"/>
              </w:rPr>
              <w:t>993</w:t>
            </w:r>
          </w:p>
        </w:tc>
      </w:tr>
      <w:tr w:rsidR="002D4E02" w:rsidTr="000123E6">
        <w:tc>
          <w:tcPr>
            <w:tcW w:w="3080" w:type="dxa"/>
          </w:tcPr>
          <w:p w:rsidR="002D4E02" w:rsidRPr="00451119" w:rsidRDefault="002D4E02" w:rsidP="003733C6">
            <w:pPr>
              <w:spacing w:after="240" w:line="252" w:lineRule="auto"/>
              <w:jc w:val="both"/>
              <w:rPr>
                <w:sz w:val="18"/>
                <w:szCs w:val="18"/>
              </w:rPr>
            </w:pPr>
            <w:r w:rsidRPr="00451119">
              <w:rPr>
                <w:sz w:val="18"/>
                <w:szCs w:val="18"/>
              </w:rPr>
              <w:t>Rural Services Delivery Grant</w:t>
            </w:r>
          </w:p>
        </w:tc>
        <w:tc>
          <w:tcPr>
            <w:tcW w:w="3691" w:type="dxa"/>
          </w:tcPr>
          <w:p w:rsidR="002D4E02" w:rsidRPr="00451119" w:rsidRDefault="00451119" w:rsidP="003733C6">
            <w:pPr>
              <w:spacing w:after="240" w:line="252" w:lineRule="auto"/>
              <w:jc w:val="both"/>
              <w:rPr>
                <w:sz w:val="18"/>
                <w:szCs w:val="18"/>
              </w:rPr>
            </w:pPr>
            <w:r>
              <w:rPr>
                <w:sz w:val="18"/>
                <w:szCs w:val="18"/>
              </w:rPr>
              <w:t>Item already announced</w:t>
            </w:r>
          </w:p>
        </w:tc>
        <w:tc>
          <w:tcPr>
            <w:tcW w:w="2471" w:type="dxa"/>
          </w:tcPr>
          <w:p w:rsidR="002D4E02" w:rsidRPr="00451119" w:rsidRDefault="000123E6" w:rsidP="000123E6">
            <w:pPr>
              <w:spacing w:after="240" w:line="252" w:lineRule="auto"/>
              <w:jc w:val="right"/>
              <w:rPr>
                <w:sz w:val="18"/>
                <w:szCs w:val="18"/>
              </w:rPr>
            </w:pPr>
            <w:r>
              <w:rPr>
                <w:sz w:val="18"/>
                <w:szCs w:val="18"/>
              </w:rPr>
              <w:t>65</w:t>
            </w:r>
          </w:p>
        </w:tc>
      </w:tr>
      <w:tr w:rsidR="002D4E02" w:rsidTr="000123E6">
        <w:tc>
          <w:tcPr>
            <w:tcW w:w="3080" w:type="dxa"/>
          </w:tcPr>
          <w:p w:rsidR="002D4E02" w:rsidRPr="00451119" w:rsidRDefault="002D4E02" w:rsidP="003733C6">
            <w:pPr>
              <w:spacing w:after="240" w:line="252" w:lineRule="auto"/>
              <w:jc w:val="both"/>
              <w:rPr>
                <w:sz w:val="18"/>
                <w:szCs w:val="18"/>
              </w:rPr>
            </w:pPr>
            <w:r w:rsidRPr="00451119">
              <w:rPr>
                <w:sz w:val="18"/>
                <w:szCs w:val="18"/>
              </w:rPr>
              <w:t>City of London offset</w:t>
            </w:r>
          </w:p>
        </w:tc>
        <w:tc>
          <w:tcPr>
            <w:tcW w:w="3691" w:type="dxa"/>
          </w:tcPr>
          <w:p w:rsidR="002D4E02" w:rsidRPr="00451119" w:rsidRDefault="00451119" w:rsidP="003733C6">
            <w:pPr>
              <w:spacing w:after="240" w:line="252" w:lineRule="auto"/>
              <w:jc w:val="both"/>
              <w:rPr>
                <w:sz w:val="18"/>
                <w:szCs w:val="18"/>
              </w:rPr>
            </w:pPr>
            <w:r>
              <w:rPr>
                <w:sz w:val="18"/>
                <w:szCs w:val="18"/>
              </w:rPr>
              <w:t xml:space="preserve">Item already announced </w:t>
            </w:r>
          </w:p>
        </w:tc>
        <w:tc>
          <w:tcPr>
            <w:tcW w:w="2471" w:type="dxa"/>
          </w:tcPr>
          <w:p w:rsidR="002D4E02" w:rsidRPr="00451119" w:rsidRDefault="000123E6" w:rsidP="000123E6">
            <w:pPr>
              <w:spacing w:after="240" w:line="252" w:lineRule="auto"/>
              <w:jc w:val="right"/>
              <w:rPr>
                <w:sz w:val="18"/>
                <w:szCs w:val="18"/>
              </w:rPr>
            </w:pPr>
            <w:r>
              <w:rPr>
                <w:sz w:val="18"/>
                <w:szCs w:val="18"/>
              </w:rPr>
              <w:t>11</w:t>
            </w:r>
          </w:p>
        </w:tc>
      </w:tr>
      <w:tr w:rsidR="002D4E02" w:rsidTr="000123E6">
        <w:tc>
          <w:tcPr>
            <w:tcW w:w="3080" w:type="dxa"/>
          </w:tcPr>
          <w:p w:rsidR="002D4E02" w:rsidRPr="00451119" w:rsidRDefault="002D4E02" w:rsidP="003733C6">
            <w:pPr>
              <w:spacing w:after="240" w:line="252" w:lineRule="auto"/>
              <w:jc w:val="both"/>
              <w:rPr>
                <w:sz w:val="18"/>
                <w:szCs w:val="18"/>
              </w:rPr>
            </w:pPr>
            <w:r w:rsidRPr="00451119">
              <w:rPr>
                <w:sz w:val="18"/>
                <w:szCs w:val="18"/>
              </w:rPr>
              <w:t xml:space="preserve">Highways Maintenance Grant </w:t>
            </w:r>
          </w:p>
        </w:tc>
        <w:tc>
          <w:tcPr>
            <w:tcW w:w="3691" w:type="dxa"/>
          </w:tcPr>
          <w:p w:rsidR="002D4E02" w:rsidRPr="00451119" w:rsidRDefault="00451119" w:rsidP="003733C6">
            <w:pPr>
              <w:spacing w:after="240" w:line="252" w:lineRule="auto"/>
              <w:jc w:val="both"/>
              <w:rPr>
                <w:sz w:val="18"/>
                <w:szCs w:val="18"/>
              </w:rPr>
            </w:pPr>
            <w:r>
              <w:rPr>
                <w:sz w:val="18"/>
                <w:szCs w:val="18"/>
              </w:rPr>
              <w:t>Assessed by working group as possible to transfer</w:t>
            </w:r>
          </w:p>
        </w:tc>
        <w:tc>
          <w:tcPr>
            <w:tcW w:w="2471" w:type="dxa"/>
          </w:tcPr>
          <w:p w:rsidR="002D4E02" w:rsidRPr="00451119" w:rsidRDefault="000123E6" w:rsidP="000123E6">
            <w:pPr>
              <w:spacing w:after="240" w:line="252" w:lineRule="auto"/>
              <w:jc w:val="right"/>
              <w:rPr>
                <w:sz w:val="18"/>
                <w:szCs w:val="18"/>
              </w:rPr>
            </w:pPr>
            <w:r>
              <w:rPr>
                <w:sz w:val="18"/>
                <w:szCs w:val="18"/>
              </w:rPr>
              <w:t>725</w:t>
            </w:r>
          </w:p>
        </w:tc>
      </w:tr>
      <w:tr w:rsidR="00451119" w:rsidTr="000123E6">
        <w:tc>
          <w:tcPr>
            <w:tcW w:w="3080" w:type="dxa"/>
          </w:tcPr>
          <w:p w:rsidR="00451119" w:rsidRPr="00451119" w:rsidRDefault="00451119" w:rsidP="003733C6">
            <w:pPr>
              <w:spacing w:after="240" w:line="252" w:lineRule="auto"/>
              <w:jc w:val="both"/>
              <w:rPr>
                <w:sz w:val="18"/>
                <w:szCs w:val="18"/>
              </w:rPr>
            </w:pPr>
            <w:r w:rsidRPr="00451119">
              <w:rPr>
                <w:sz w:val="18"/>
                <w:szCs w:val="18"/>
              </w:rPr>
              <w:t>Integrated Transport Block</w:t>
            </w:r>
          </w:p>
        </w:tc>
        <w:tc>
          <w:tcPr>
            <w:tcW w:w="3691" w:type="dxa"/>
          </w:tcPr>
          <w:p w:rsidR="00451119" w:rsidRDefault="00451119">
            <w:r w:rsidRPr="00A92BA3">
              <w:rPr>
                <w:sz w:val="18"/>
                <w:szCs w:val="18"/>
              </w:rPr>
              <w:t>Assessed by working group as possible to transfer</w:t>
            </w:r>
          </w:p>
        </w:tc>
        <w:tc>
          <w:tcPr>
            <w:tcW w:w="2471" w:type="dxa"/>
          </w:tcPr>
          <w:p w:rsidR="00451119" w:rsidRPr="00451119" w:rsidRDefault="000123E6" w:rsidP="000123E6">
            <w:pPr>
              <w:spacing w:after="240" w:line="252" w:lineRule="auto"/>
              <w:jc w:val="right"/>
              <w:rPr>
                <w:sz w:val="18"/>
                <w:szCs w:val="18"/>
              </w:rPr>
            </w:pPr>
            <w:r>
              <w:rPr>
                <w:sz w:val="18"/>
                <w:szCs w:val="18"/>
              </w:rPr>
              <w:t>250</w:t>
            </w:r>
          </w:p>
        </w:tc>
      </w:tr>
      <w:tr w:rsidR="00451119" w:rsidTr="000123E6">
        <w:tc>
          <w:tcPr>
            <w:tcW w:w="3080" w:type="dxa"/>
          </w:tcPr>
          <w:p w:rsidR="00451119" w:rsidRPr="00451119" w:rsidRDefault="00451119" w:rsidP="003733C6">
            <w:pPr>
              <w:spacing w:after="240" w:line="252" w:lineRule="auto"/>
              <w:jc w:val="both"/>
              <w:rPr>
                <w:sz w:val="18"/>
                <w:szCs w:val="18"/>
              </w:rPr>
            </w:pPr>
            <w:r w:rsidRPr="00451119">
              <w:rPr>
                <w:sz w:val="18"/>
                <w:szCs w:val="18"/>
              </w:rPr>
              <w:t xml:space="preserve">Highways Maintenance efficiency element  </w:t>
            </w:r>
          </w:p>
        </w:tc>
        <w:tc>
          <w:tcPr>
            <w:tcW w:w="3691" w:type="dxa"/>
          </w:tcPr>
          <w:p w:rsidR="00451119" w:rsidRDefault="00451119">
            <w:r w:rsidRPr="00A92BA3">
              <w:rPr>
                <w:sz w:val="18"/>
                <w:szCs w:val="18"/>
              </w:rPr>
              <w:t>Assessed by working group as possible to transfer</w:t>
            </w:r>
          </w:p>
        </w:tc>
        <w:tc>
          <w:tcPr>
            <w:tcW w:w="2471" w:type="dxa"/>
          </w:tcPr>
          <w:p w:rsidR="00451119" w:rsidRPr="00451119" w:rsidRDefault="000123E6" w:rsidP="000123E6">
            <w:pPr>
              <w:spacing w:after="240" w:line="252" w:lineRule="auto"/>
              <w:jc w:val="right"/>
              <w:rPr>
                <w:sz w:val="18"/>
                <w:szCs w:val="18"/>
              </w:rPr>
            </w:pPr>
            <w:r>
              <w:rPr>
                <w:sz w:val="18"/>
                <w:szCs w:val="18"/>
              </w:rPr>
              <w:t>151</w:t>
            </w:r>
          </w:p>
        </w:tc>
      </w:tr>
      <w:tr w:rsidR="00451119" w:rsidTr="000123E6">
        <w:tc>
          <w:tcPr>
            <w:tcW w:w="3080" w:type="dxa"/>
          </w:tcPr>
          <w:p w:rsidR="00451119" w:rsidRPr="00451119" w:rsidRDefault="00451119" w:rsidP="003733C6">
            <w:pPr>
              <w:spacing w:after="240" w:line="252" w:lineRule="auto"/>
              <w:jc w:val="both"/>
              <w:rPr>
                <w:sz w:val="18"/>
                <w:szCs w:val="18"/>
              </w:rPr>
            </w:pPr>
            <w:r w:rsidRPr="00451119">
              <w:rPr>
                <w:sz w:val="18"/>
                <w:szCs w:val="18"/>
              </w:rPr>
              <w:t>Housing Benefit Admin Subsidy</w:t>
            </w:r>
          </w:p>
        </w:tc>
        <w:tc>
          <w:tcPr>
            <w:tcW w:w="3691" w:type="dxa"/>
          </w:tcPr>
          <w:p w:rsidR="00451119" w:rsidRDefault="00451119">
            <w:r w:rsidRPr="00A92BA3">
              <w:rPr>
                <w:sz w:val="18"/>
                <w:szCs w:val="18"/>
              </w:rPr>
              <w:t>Assessed by working group as possible to transfer</w:t>
            </w:r>
          </w:p>
        </w:tc>
        <w:tc>
          <w:tcPr>
            <w:tcW w:w="2471" w:type="dxa"/>
          </w:tcPr>
          <w:p w:rsidR="00451119" w:rsidRPr="00451119" w:rsidRDefault="000123E6" w:rsidP="000123E6">
            <w:pPr>
              <w:spacing w:after="240" w:line="252" w:lineRule="auto"/>
              <w:jc w:val="right"/>
              <w:rPr>
                <w:sz w:val="18"/>
                <w:szCs w:val="18"/>
              </w:rPr>
            </w:pPr>
            <w:r>
              <w:rPr>
                <w:sz w:val="18"/>
                <w:szCs w:val="18"/>
              </w:rPr>
              <w:t>150</w:t>
            </w:r>
          </w:p>
        </w:tc>
      </w:tr>
      <w:tr w:rsidR="00451119" w:rsidTr="000123E6">
        <w:tc>
          <w:tcPr>
            <w:tcW w:w="3080" w:type="dxa"/>
          </w:tcPr>
          <w:p w:rsidR="00451119" w:rsidRPr="00451119" w:rsidRDefault="00451119" w:rsidP="003733C6">
            <w:pPr>
              <w:spacing w:after="240" w:line="252" w:lineRule="auto"/>
              <w:jc w:val="both"/>
              <w:rPr>
                <w:sz w:val="18"/>
                <w:szCs w:val="18"/>
              </w:rPr>
            </w:pPr>
            <w:r w:rsidRPr="00451119">
              <w:rPr>
                <w:sz w:val="18"/>
                <w:szCs w:val="18"/>
              </w:rPr>
              <w:t>Local Council Tax Support Admin Subsidy</w:t>
            </w:r>
          </w:p>
        </w:tc>
        <w:tc>
          <w:tcPr>
            <w:tcW w:w="3691" w:type="dxa"/>
          </w:tcPr>
          <w:p w:rsidR="00451119" w:rsidRDefault="00451119">
            <w:r w:rsidRPr="00A92BA3">
              <w:rPr>
                <w:sz w:val="18"/>
                <w:szCs w:val="18"/>
              </w:rPr>
              <w:t>Assessed by working group as possible to transfer</w:t>
            </w:r>
          </w:p>
        </w:tc>
        <w:tc>
          <w:tcPr>
            <w:tcW w:w="2471" w:type="dxa"/>
          </w:tcPr>
          <w:p w:rsidR="00451119" w:rsidRPr="00451119" w:rsidRDefault="000123E6" w:rsidP="000123E6">
            <w:pPr>
              <w:spacing w:after="240" w:line="252" w:lineRule="auto"/>
              <w:jc w:val="right"/>
              <w:rPr>
                <w:sz w:val="18"/>
                <w:szCs w:val="18"/>
              </w:rPr>
            </w:pPr>
            <w:r>
              <w:rPr>
                <w:sz w:val="18"/>
                <w:szCs w:val="18"/>
              </w:rPr>
              <w:t>77</w:t>
            </w:r>
          </w:p>
        </w:tc>
      </w:tr>
      <w:tr w:rsidR="00451119" w:rsidTr="000123E6">
        <w:tc>
          <w:tcPr>
            <w:tcW w:w="3080" w:type="dxa"/>
          </w:tcPr>
          <w:p w:rsidR="00451119" w:rsidRPr="00451119" w:rsidRDefault="00451119" w:rsidP="003733C6">
            <w:pPr>
              <w:spacing w:after="240" w:line="252" w:lineRule="auto"/>
              <w:jc w:val="both"/>
              <w:rPr>
                <w:sz w:val="18"/>
                <w:szCs w:val="18"/>
              </w:rPr>
            </w:pPr>
            <w:r w:rsidRPr="00451119">
              <w:rPr>
                <w:sz w:val="18"/>
                <w:szCs w:val="18"/>
              </w:rPr>
              <w:t>Public Health Grant</w:t>
            </w:r>
          </w:p>
        </w:tc>
        <w:tc>
          <w:tcPr>
            <w:tcW w:w="3691" w:type="dxa"/>
          </w:tcPr>
          <w:p w:rsidR="00451119" w:rsidRDefault="00451119">
            <w:r w:rsidRPr="00A92BA3">
              <w:rPr>
                <w:sz w:val="18"/>
                <w:szCs w:val="18"/>
              </w:rPr>
              <w:t>Assessed by working group as possible to transfer</w:t>
            </w:r>
          </w:p>
        </w:tc>
        <w:tc>
          <w:tcPr>
            <w:tcW w:w="2471" w:type="dxa"/>
          </w:tcPr>
          <w:p w:rsidR="00451119" w:rsidRPr="00451119" w:rsidRDefault="000123E6" w:rsidP="000123E6">
            <w:pPr>
              <w:spacing w:after="240" w:line="252" w:lineRule="auto"/>
              <w:jc w:val="right"/>
              <w:rPr>
                <w:sz w:val="18"/>
                <w:szCs w:val="18"/>
              </w:rPr>
            </w:pPr>
            <w:r>
              <w:rPr>
                <w:sz w:val="18"/>
                <w:szCs w:val="18"/>
              </w:rPr>
              <w:t>3,134</w:t>
            </w:r>
          </w:p>
        </w:tc>
      </w:tr>
      <w:tr w:rsidR="00451119" w:rsidTr="000123E6">
        <w:tc>
          <w:tcPr>
            <w:tcW w:w="3080" w:type="dxa"/>
          </w:tcPr>
          <w:p w:rsidR="00451119" w:rsidRPr="00451119" w:rsidRDefault="00451119" w:rsidP="003733C6">
            <w:pPr>
              <w:spacing w:after="240" w:line="252" w:lineRule="auto"/>
              <w:jc w:val="both"/>
              <w:rPr>
                <w:sz w:val="18"/>
                <w:szCs w:val="18"/>
              </w:rPr>
            </w:pPr>
            <w:r w:rsidRPr="00451119">
              <w:rPr>
                <w:sz w:val="18"/>
                <w:szCs w:val="18"/>
              </w:rPr>
              <w:t>Improved Better Care Fund</w:t>
            </w:r>
          </w:p>
        </w:tc>
        <w:tc>
          <w:tcPr>
            <w:tcW w:w="3691" w:type="dxa"/>
          </w:tcPr>
          <w:p w:rsidR="00451119" w:rsidRDefault="00451119">
            <w:r w:rsidRPr="00A92BA3">
              <w:rPr>
                <w:sz w:val="18"/>
                <w:szCs w:val="18"/>
              </w:rPr>
              <w:t>Assessed by working group as possible to transfer</w:t>
            </w:r>
          </w:p>
        </w:tc>
        <w:tc>
          <w:tcPr>
            <w:tcW w:w="2471" w:type="dxa"/>
          </w:tcPr>
          <w:p w:rsidR="00451119" w:rsidRPr="00451119" w:rsidRDefault="000123E6" w:rsidP="000123E6">
            <w:pPr>
              <w:spacing w:after="240" w:line="252" w:lineRule="auto"/>
              <w:jc w:val="right"/>
              <w:rPr>
                <w:sz w:val="18"/>
                <w:szCs w:val="18"/>
              </w:rPr>
            </w:pPr>
            <w:r>
              <w:rPr>
                <w:sz w:val="18"/>
                <w:szCs w:val="18"/>
              </w:rPr>
              <w:t>1,500</w:t>
            </w:r>
          </w:p>
        </w:tc>
      </w:tr>
      <w:tr w:rsidR="00451119" w:rsidTr="000123E6">
        <w:tc>
          <w:tcPr>
            <w:tcW w:w="3080" w:type="dxa"/>
          </w:tcPr>
          <w:p w:rsidR="00451119" w:rsidRPr="00451119" w:rsidRDefault="00451119" w:rsidP="003733C6">
            <w:pPr>
              <w:spacing w:after="240" w:line="252" w:lineRule="auto"/>
              <w:jc w:val="both"/>
              <w:rPr>
                <w:sz w:val="18"/>
                <w:szCs w:val="18"/>
              </w:rPr>
            </w:pPr>
            <w:r w:rsidRPr="00451119">
              <w:rPr>
                <w:sz w:val="18"/>
                <w:szCs w:val="18"/>
              </w:rPr>
              <w:t>Independent Living Fund</w:t>
            </w:r>
          </w:p>
        </w:tc>
        <w:tc>
          <w:tcPr>
            <w:tcW w:w="3691" w:type="dxa"/>
          </w:tcPr>
          <w:p w:rsidR="00451119" w:rsidRDefault="00451119">
            <w:r w:rsidRPr="00A92BA3">
              <w:rPr>
                <w:sz w:val="18"/>
                <w:szCs w:val="18"/>
              </w:rPr>
              <w:t>Assessed by working group as possible to transfer</w:t>
            </w:r>
          </w:p>
        </w:tc>
        <w:tc>
          <w:tcPr>
            <w:tcW w:w="2471" w:type="dxa"/>
          </w:tcPr>
          <w:p w:rsidR="00451119" w:rsidRPr="00451119" w:rsidRDefault="000123E6" w:rsidP="000123E6">
            <w:pPr>
              <w:spacing w:after="240" w:line="252" w:lineRule="auto"/>
              <w:jc w:val="right"/>
              <w:rPr>
                <w:sz w:val="18"/>
                <w:szCs w:val="18"/>
              </w:rPr>
            </w:pPr>
            <w:r>
              <w:rPr>
                <w:sz w:val="18"/>
                <w:szCs w:val="18"/>
              </w:rPr>
              <w:t>160</w:t>
            </w:r>
          </w:p>
        </w:tc>
      </w:tr>
      <w:tr w:rsidR="002D4E02" w:rsidTr="000123E6">
        <w:tc>
          <w:tcPr>
            <w:tcW w:w="3080" w:type="dxa"/>
          </w:tcPr>
          <w:p w:rsidR="002D4E02" w:rsidRPr="00451119" w:rsidRDefault="002D4E02" w:rsidP="003733C6">
            <w:pPr>
              <w:spacing w:after="240" w:line="252" w:lineRule="auto"/>
              <w:jc w:val="both"/>
              <w:rPr>
                <w:sz w:val="18"/>
                <w:szCs w:val="18"/>
              </w:rPr>
            </w:pPr>
            <w:r w:rsidRPr="00451119">
              <w:rPr>
                <w:sz w:val="18"/>
                <w:szCs w:val="18"/>
              </w:rPr>
              <w:t>Dedicated Schools Grant, Early Years Block</w:t>
            </w:r>
          </w:p>
        </w:tc>
        <w:tc>
          <w:tcPr>
            <w:tcW w:w="3691" w:type="dxa"/>
          </w:tcPr>
          <w:p w:rsidR="002D4E02" w:rsidRPr="00451119" w:rsidRDefault="00451119" w:rsidP="003733C6">
            <w:pPr>
              <w:spacing w:after="240" w:line="252" w:lineRule="auto"/>
              <w:jc w:val="both"/>
              <w:rPr>
                <w:sz w:val="18"/>
                <w:szCs w:val="18"/>
              </w:rPr>
            </w:pPr>
            <w:r>
              <w:rPr>
                <w:sz w:val="18"/>
                <w:szCs w:val="18"/>
              </w:rPr>
              <w:t xml:space="preserve">Grant considered where transfer would have to be accompanied by significant changes such as additional local discretion or where the fit with the criteria is less obvious </w:t>
            </w:r>
          </w:p>
        </w:tc>
        <w:tc>
          <w:tcPr>
            <w:tcW w:w="2471" w:type="dxa"/>
          </w:tcPr>
          <w:p w:rsidR="002D4E02" w:rsidRPr="00451119" w:rsidRDefault="000123E6" w:rsidP="000123E6">
            <w:pPr>
              <w:spacing w:after="240" w:line="252" w:lineRule="auto"/>
              <w:jc w:val="right"/>
              <w:rPr>
                <w:sz w:val="18"/>
                <w:szCs w:val="18"/>
              </w:rPr>
            </w:pPr>
            <w:r>
              <w:rPr>
                <w:sz w:val="18"/>
                <w:szCs w:val="18"/>
              </w:rPr>
              <w:t>2,700</w:t>
            </w:r>
          </w:p>
        </w:tc>
      </w:tr>
      <w:tr w:rsidR="002D4E02" w:rsidTr="000123E6">
        <w:tc>
          <w:tcPr>
            <w:tcW w:w="3080" w:type="dxa"/>
          </w:tcPr>
          <w:p w:rsidR="002D4E02" w:rsidRPr="00451119" w:rsidRDefault="00451119" w:rsidP="003733C6">
            <w:pPr>
              <w:spacing w:after="240" w:line="252" w:lineRule="auto"/>
              <w:jc w:val="both"/>
              <w:rPr>
                <w:sz w:val="18"/>
                <w:szCs w:val="18"/>
              </w:rPr>
            </w:pPr>
            <w:r w:rsidRPr="00451119">
              <w:rPr>
                <w:sz w:val="18"/>
                <w:szCs w:val="18"/>
              </w:rPr>
              <w:t xml:space="preserve">Existing Better Care Fund </w:t>
            </w:r>
          </w:p>
        </w:tc>
        <w:tc>
          <w:tcPr>
            <w:tcW w:w="3691" w:type="dxa"/>
          </w:tcPr>
          <w:p w:rsidR="002D4E02" w:rsidRPr="00451119" w:rsidRDefault="00451119" w:rsidP="003733C6">
            <w:pPr>
              <w:spacing w:after="240" w:line="252" w:lineRule="auto"/>
              <w:jc w:val="both"/>
              <w:rPr>
                <w:sz w:val="18"/>
                <w:szCs w:val="18"/>
              </w:rPr>
            </w:pPr>
            <w:r w:rsidRPr="00451119">
              <w:rPr>
                <w:sz w:val="18"/>
                <w:szCs w:val="18"/>
              </w:rPr>
              <w:t>Grant considered where transfer would have to be accompanied by significant changes such as additional local discretion or where the fit with the criteria is less obvious</w:t>
            </w:r>
          </w:p>
        </w:tc>
        <w:tc>
          <w:tcPr>
            <w:tcW w:w="2471" w:type="dxa"/>
          </w:tcPr>
          <w:p w:rsidR="002D4E02" w:rsidRPr="00451119" w:rsidRDefault="000123E6" w:rsidP="000123E6">
            <w:pPr>
              <w:spacing w:after="240" w:line="252" w:lineRule="auto"/>
              <w:jc w:val="right"/>
              <w:rPr>
                <w:sz w:val="18"/>
                <w:szCs w:val="18"/>
              </w:rPr>
            </w:pPr>
            <w:r>
              <w:rPr>
                <w:sz w:val="18"/>
                <w:szCs w:val="18"/>
              </w:rPr>
              <w:t>3,800</w:t>
            </w:r>
          </w:p>
        </w:tc>
      </w:tr>
      <w:tr w:rsidR="00451119" w:rsidTr="000123E6">
        <w:tc>
          <w:tcPr>
            <w:tcW w:w="3080" w:type="dxa"/>
          </w:tcPr>
          <w:p w:rsidR="00451119" w:rsidRPr="00451119" w:rsidRDefault="00451119" w:rsidP="003733C6">
            <w:pPr>
              <w:spacing w:after="240" w:line="252" w:lineRule="auto"/>
              <w:jc w:val="both"/>
              <w:rPr>
                <w:sz w:val="18"/>
                <w:szCs w:val="18"/>
              </w:rPr>
            </w:pPr>
            <w:r w:rsidRPr="00451119">
              <w:rPr>
                <w:sz w:val="18"/>
                <w:szCs w:val="18"/>
              </w:rPr>
              <w:t>Skills</w:t>
            </w:r>
          </w:p>
        </w:tc>
        <w:tc>
          <w:tcPr>
            <w:tcW w:w="3691" w:type="dxa"/>
          </w:tcPr>
          <w:p w:rsidR="00451119" w:rsidRPr="00451119" w:rsidRDefault="00451119" w:rsidP="003733C6">
            <w:pPr>
              <w:spacing w:after="240" w:line="252" w:lineRule="auto"/>
              <w:jc w:val="both"/>
              <w:rPr>
                <w:sz w:val="18"/>
                <w:szCs w:val="18"/>
              </w:rPr>
            </w:pPr>
            <w:r>
              <w:rPr>
                <w:sz w:val="18"/>
                <w:szCs w:val="18"/>
              </w:rPr>
              <w:t>New responsibilities outcome areas assessed by working group as possible to transfer</w:t>
            </w:r>
          </w:p>
        </w:tc>
        <w:tc>
          <w:tcPr>
            <w:tcW w:w="2471" w:type="dxa"/>
          </w:tcPr>
          <w:p w:rsidR="00451119" w:rsidRPr="00451119" w:rsidRDefault="000123E6" w:rsidP="000123E6">
            <w:pPr>
              <w:spacing w:after="240" w:line="252" w:lineRule="auto"/>
              <w:jc w:val="right"/>
              <w:rPr>
                <w:sz w:val="18"/>
                <w:szCs w:val="18"/>
              </w:rPr>
            </w:pPr>
            <w:r>
              <w:rPr>
                <w:sz w:val="18"/>
                <w:szCs w:val="18"/>
              </w:rPr>
              <w:t>2,000 (</w:t>
            </w:r>
            <w:r w:rsidR="0023016F">
              <w:rPr>
                <w:sz w:val="18"/>
                <w:szCs w:val="18"/>
              </w:rPr>
              <w:t xml:space="preserve">ballpark figure, </w:t>
            </w:r>
            <w:r>
              <w:rPr>
                <w:sz w:val="18"/>
                <w:szCs w:val="18"/>
              </w:rPr>
              <w:t>minimum</w:t>
            </w:r>
            <w:r w:rsidR="0023016F">
              <w:rPr>
                <w:sz w:val="18"/>
                <w:szCs w:val="18"/>
              </w:rPr>
              <w:t xml:space="preserve"> amount</w:t>
            </w:r>
            <w:r>
              <w:rPr>
                <w:sz w:val="18"/>
                <w:szCs w:val="18"/>
              </w:rPr>
              <w:t>)</w:t>
            </w:r>
          </w:p>
        </w:tc>
      </w:tr>
      <w:tr w:rsidR="00451119" w:rsidTr="000123E6">
        <w:tc>
          <w:tcPr>
            <w:tcW w:w="3080" w:type="dxa"/>
          </w:tcPr>
          <w:p w:rsidR="00451119" w:rsidRPr="00451119" w:rsidRDefault="00451119" w:rsidP="003733C6">
            <w:pPr>
              <w:spacing w:after="240" w:line="252" w:lineRule="auto"/>
              <w:jc w:val="both"/>
              <w:rPr>
                <w:sz w:val="18"/>
                <w:szCs w:val="18"/>
              </w:rPr>
            </w:pPr>
            <w:r w:rsidRPr="00451119">
              <w:rPr>
                <w:sz w:val="18"/>
                <w:szCs w:val="18"/>
              </w:rPr>
              <w:t>Welfare</w:t>
            </w:r>
          </w:p>
        </w:tc>
        <w:tc>
          <w:tcPr>
            <w:tcW w:w="3691" w:type="dxa"/>
          </w:tcPr>
          <w:p w:rsidR="00451119" w:rsidRPr="00451119" w:rsidRDefault="00451119" w:rsidP="003733C6">
            <w:pPr>
              <w:spacing w:after="240" w:line="252" w:lineRule="auto"/>
              <w:jc w:val="both"/>
              <w:rPr>
                <w:sz w:val="18"/>
                <w:szCs w:val="18"/>
              </w:rPr>
            </w:pPr>
            <w:r w:rsidRPr="00451119">
              <w:rPr>
                <w:sz w:val="18"/>
                <w:szCs w:val="18"/>
              </w:rPr>
              <w:t>New responsibilities outcome areas assessed by working group as possible to transfer</w:t>
            </w:r>
          </w:p>
        </w:tc>
        <w:tc>
          <w:tcPr>
            <w:tcW w:w="2471" w:type="dxa"/>
          </w:tcPr>
          <w:p w:rsidR="00451119" w:rsidRPr="00451119" w:rsidRDefault="000123E6" w:rsidP="000123E6">
            <w:pPr>
              <w:spacing w:after="240" w:line="252" w:lineRule="auto"/>
              <w:jc w:val="right"/>
              <w:rPr>
                <w:sz w:val="18"/>
                <w:szCs w:val="18"/>
              </w:rPr>
            </w:pPr>
            <w:r>
              <w:rPr>
                <w:sz w:val="18"/>
                <w:szCs w:val="18"/>
              </w:rPr>
              <w:t xml:space="preserve">60 </w:t>
            </w:r>
            <w:r w:rsidR="0023016F" w:rsidRPr="0023016F">
              <w:rPr>
                <w:sz w:val="18"/>
                <w:szCs w:val="18"/>
              </w:rPr>
              <w:t>(ballpark figure, minimum amount)</w:t>
            </w:r>
          </w:p>
        </w:tc>
      </w:tr>
      <w:tr w:rsidR="000123E6" w:rsidTr="000123E6">
        <w:tc>
          <w:tcPr>
            <w:tcW w:w="3080" w:type="dxa"/>
          </w:tcPr>
          <w:p w:rsidR="000123E6" w:rsidRPr="00451119" w:rsidRDefault="000123E6" w:rsidP="003733C6">
            <w:pPr>
              <w:spacing w:after="240" w:line="252" w:lineRule="auto"/>
              <w:jc w:val="both"/>
              <w:rPr>
                <w:sz w:val="18"/>
                <w:szCs w:val="18"/>
              </w:rPr>
            </w:pPr>
            <w:r w:rsidRPr="00451119">
              <w:rPr>
                <w:sz w:val="18"/>
                <w:szCs w:val="18"/>
              </w:rPr>
              <w:t>Older people and disabled people</w:t>
            </w:r>
          </w:p>
        </w:tc>
        <w:tc>
          <w:tcPr>
            <w:tcW w:w="3691" w:type="dxa"/>
          </w:tcPr>
          <w:p w:rsidR="000123E6" w:rsidRDefault="000123E6">
            <w:r w:rsidRPr="00DB28D9">
              <w:rPr>
                <w:sz w:val="18"/>
                <w:szCs w:val="18"/>
              </w:rPr>
              <w:t>New responsibilities outcome areas assessed by working group as possible to transfer</w:t>
            </w:r>
          </w:p>
        </w:tc>
        <w:tc>
          <w:tcPr>
            <w:tcW w:w="2471" w:type="dxa"/>
          </w:tcPr>
          <w:p w:rsidR="000123E6" w:rsidRPr="00451119" w:rsidRDefault="000123E6" w:rsidP="000123E6">
            <w:pPr>
              <w:spacing w:after="240" w:line="252" w:lineRule="auto"/>
              <w:jc w:val="right"/>
              <w:rPr>
                <w:sz w:val="18"/>
                <w:szCs w:val="18"/>
              </w:rPr>
            </w:pPr>
            <w:r>
              <w:rPr>
                <w:sz w:val="18"/>
                <w:szCs w:val="18"/>
              </w:rPr>
              <w:t>Nil</w:t>
            </w:r>
          </w:p>
        </w:tc>
      </w:tr>
      <w:tr w:rsidR="000123E6" w:rsidTr="000123E6">
        <w:tc>
          <w:tcPr>
            <w:tcW w:w="3080" w:type="dxa"/>
          </w:tcPr>
          <w:p w:rsidR="000123E6" w:rsidRPr="00451119" w:rsidRDefault="000123E6" w:rsidP="003733C6">
            <w:pPr>
              <w:spacing w:after="240" w:line="252" w:lineRule="auto"/>
              <w:jc w:val="both"/>
              <w:rPr>
                <w:sz w:val="18"/>
                <w:szCs w:val="18"/>
              </w:rPr>
            </w:pPr>
            <w:r w:rsidRPr="00451119">
              <w:rPr>
                <w:sz w:val="18"/>
                <w:szCs w:val="18"/>
              </w:rPr>
              <w:t>Improving communities</w:t>
            </w:r>
          </w:p>
        </w:tc>
        <w:tc>
          <w:tcPr>
            <w:tcW w:w="3691" w:type="dxa"/>
          </w:tcPr>
          <w:p w:rsidR="000123E6" w:rsidRDefault="000123E6">
            <w:r w:rsidRPr="00DB28D9">
              <w:rPr>
                <w:sz w:val="18"/>
                <w:szCs w:val="18"/>
              </w:rPr>
              <w:t>New responsibilities outcome areas assessed by working group as possible to transfer</w:t>
            </w:r>
          </w:p>
        </w:tc>
        <w:tc>
          <w:tcPr>
            <w:tcW w:w="2471" w:type="dxa"/>
          </w:tcPr>
          <w:p w:rsidR="000123E6" w:rsidRPr="00451119" w:rsidRDefault="000123E6" w:rsidP="000123E6">
            <w:pPr>
              <w:spacing w:after="240" w:line="252" w:lineRule="auto"/>
              <w:jc w:val="right"/>
              <w:rPr>
                <w:sz w:val="18"/>
                <w:szCs w:val="18"/>
              </w:rPr>
            </w:pPr>
            <w:r>
              <w:rPr>
                <w:sz w:val="18"/>
                <w:szCs w:val="18"/>
              </w:rPr>
              <w:t xml:space="preserve">100 </w:t>
            </w:r>
            <w:r w:rsidR="0023016F" w:rsidRPr="0023016F">
              <w:rPr>
                <w:sz w:val="18"/>
                <w:szCs w:val="18"/>
              </w:rPr>
              <w:t>(ballpark figure, minimum amount)</w:t>
            </w:r>
          </w:p>
        </w:tc>
      </w:tr>
      <w:tr w:rsidR="00451119" w:rsidTr="000123E6">
        <w:tc>
          <w:tcPr>
            <w:tcW w:w="3080" w:type="dxa"/>
          </w:tcPr>
          <w:p w:rsidR="00451119" w:rsidRPr="00451119" w:rsidRDefault="00451119" w:rsidP="003733C6">
            <w:pPr>
              <w:spacing w:after="240" w:line="252" w:lineRule="auto"/>
              <w:jc w:val="both"/>
              <w:rPr>
                <w:sz w:val="18"/>
                <w:szCs w:val="18"/>
              </w:rPr>
            </w:pPr>
            <w:r w:rsidRPr="00451119">
              <w:rPr>
                <w:sz w:val="18"/>
                <w:szCs w:val="18"/>
              </w:rPr>
              <w:lastRenderedPageBreak/>
              <w:t>Youth Justice (and other justice areas, and also troubled families). Figure is Youth Justice alone.</w:t>
            </w:r>
          </w:p>
        </w:tc>
        <w:tc>
          <w:tcPr>
            <w:tcW w:w="3691" w:type="dxa"/>
          </w:tcPr>
          <w:p w:rsidR="00451119" w:rsidRPr="00451119" w:rsidRDefault="000123E6" w:rsidP="003733C6">
            <w:pPr>
              <w:spacing w:after="240" w:line="252" w:lineRule="auto"/>
              <w:jc w:val="both"/>
              <w:rPr>
                <w:sz w:val="18"/>
                <w:szCs w:val="18"/>
              </w:rPr>
            </w:pPr>
            <w:r>
              <w:rPr>
                <w:sz w:val="18"/>
                <w:szCs w:val="18"/>
              </w:rPr>
              <w:t xml:space="preserve">New responsibilities for other individual areas assessed by working group as possible to transfer  </w:t>
            </w:r>
          </w:p>
        </w:tc>
        <w:tc>
          <w:tcPr>
            <w:tcW w:w="2471" w:type="dxa"/>
          </w:tcPr>
          <w:p w:rsidR="00451119" w:rsidRPr="00451119" w:rsidRDefault="000123E6" w:rsidP="000123E6">
            <w:pPr>
              <w:spacing w:after="240" w:line="252" w:lineRule="auto"/>
              <w:jc w:val="right"/>
              <w:rPr>
                <w:sz w:val="18"/>
                <w:szCs w:val="18"/>
              </w:rPr>
            </w:pPr>
            <w:r>
              <w:rPr>
                <w:sz w:val="18"/>
                <w:szCs w:val="18"/>
              </w:rPr>
              <w:t>230 (minimum)</w:t>
            </w:r>
          </w:p>
        </w:tc>
      </w:tr>
      <w:tr w:rsidR="000123E6" w:rsidTr="000123E6">
        <w:tc>
          <w:tcPr>
            <w:tcW w:w="3080" w:type="dxa"/>
          </w:tcPr>
          <w:p w:rsidR="000123E6" w:rsidRPr="00451119" w:rsidRDefault="000123E6" w:rsidP="003733C6">
            <w:pPr>
              <w:spacing w:after="240" w:line="252" w:lineRule="auto"/>
              <w:jc w:val="both"/>
              <w:rPr>
                <w:sz w:val="18"/>
                <w:szCs w:val="18"/>
              </w:rPr>
            </w:pPr>
            <w:r w:rsidRPr="00451119">
              <w:rPr>
                <w:sz w:val="18"/>
                <w:szCs w:val="18"/>
              </w:rPr>
              <w:t>Affordable Housing</w:t>
            </w:r>
          </w:p>
        </w:tc>
        <w:tc>
          <w:tcPr>
            <w:tcW w:w="3691" w:type="dxa"/>
          </w:tcPr>
          <w:p w:rsidR="000123E6" w:rsidRDefault="000123E6">
            <w:r w:rsidRPr="00214E01">
              <w:rPr>
                <w:sz w:val="18"/>
                <w:szCs w:val="18"/>
              </w:rPr>
              <w:t xml:space="preserve">New responsibilities for other individual areas assessed by working group as possible to transfer  </w:t>
            </w:r>
          </w:p>
        </w:tc>
        <w:tc>
          <w:tcPr>
            <w:tcW w:w="2471" w:type="dxa"/>
          </w:tcPr>
          <w:p w:rsidR="000123E6" w:rsidRPr="00451119" w:rsidRDefault="000123E6" w:rsidP="000123E6">
            <w:pPr>
              <w:spacing w:after="240" w:line="252" w:lineRule="auto"/>
              <w:jc w:val="right"/>
              <w:rPr>
                <w:sz w:val="18"/>
                <w:szCs w:val="18"/>
              </w:rPr>
            </w:pPr>
            <w:r>
              <w:rPr>
                <w:sz w:val="18"/>
                <w:szCs w:val="18"/>
              </w:rPr>
              <w:t>?</w:t>
            </w:r>
          </w:p>
        </w:tc>
      </w:tr>
      <w:tr w:rsidR="000123E6" w:rsidTr="000123E6">
        <w:tc>
          <w:tcPr>
            <w:tcW w:w="3080" w:type="dxa"/>
          </w:tcPr>
          <w:p w:rsidR="000123E6" w:rsidRPr="00451119" w:rsidRDefault="000123E6" w:rsidP="003733C6">
            <w:pPr>
              <w:spacing w:after="240" w:line="252" w:lineRule="auto"/>
              <w:jc w:val="both"/>
              <w:rPr>
                <w:sz w:val="18"/>
                <w:szCs w:val="18"/>
              </w:rPr>
            </w:pPr>
            <w:r w:rsidRPr="00451119">
              <w:rPr>
                <w:sz w:val="18"/>
                <w:szCs w:val="18"/>
              </w:rPr>
              <w:t>Bus Services Operators Grant</w:t>
            </w:r>
          </w:p>
        </w:tc>
        <w:tc>
          <w:tcPr>
            <w:tcW w:w="3691" w:type="dxa"/>
          </w:tcPr>
          <w:p w:rsidR="000123E6" w:rsidRDefault="000123E6">
            <w:r w:rsidRPr="00214E01">
              <w:rPr>
                <w:sz w:val="18"/>
                <w:szCs w:val="18"/>
              </w:rPr>
              <w:t xml:space="preserve">New responsibilities for other individual areas assessed by working group as possible to transfer  </w:t>
            </w:r>
          </w:p>
        </w:tc>
        <w:tc>
          <w:tcPr>
            <w:tcW w:w="2471" w:type="dxa"/>
          </w:tcPr>
          <w:p w:rsidR="000123E6" w:rsidRPr="00451119" w:rsidRDefault="000123E6" w:rsidP="000123E6">
            <w:pPr>
              <w:spacing w:after="240" w:line="252" w:lineRule="auto"/>
              <w:jc w:val="right"/>
              <w:rPr>
                <w:sz w:val="18"/>
                <w:szCs w:val="18"/>
              </w:rPr>
            </w:pPr>
            <w:r>
              <w:rPr>
                <w:sz w:val="18"/>
                <w:szCs w:val="18"/>
              </w:rPr>
              <w:t>250</w:t>
            </w:r>
          </w:p>
        </w:tc>
      </w:tr>
      <w:tr w:rsidR="000123E6" w:rsidTr="000123E6">
        <w:tc>
          <w:tcPr>
            <w:tcW w:w="3080" w:type="dxa"/>
          </w:tcPr>
          <w:p w:rsidR="000123E6" w:rsidRPr="00451119" w:rsidRDefault="000123E6" w:rsidP="003733C6">
            <w:pPr>
              <w:spacing w:after="240" w:line="252" w:lineRule="auto"/>
              <w:jc w:val="both"/>
              <w:rPr>
                <w:sz w:val="18"/>
                <w:szCs w:val="18"/>
              </w:rPr>
            </w:pPr>
            <w:r w:rsidRPr="00451119">
              <w:rPr>
                <w:sz w:val="18"/>
                <w:szCs w:val="18"/>
              </w:rPr>
              <w:t>Valuation Services</w:t>
            </w:r>
          </w:p>
        </w:tc>
        <w:tc>
          <w:tcPr>
            <w:tcW w:w="3691" w:type="dxa"/>
          </w:tcPr>
          <w:p w:rsidR="000123E6" w:rsidRDefault="000123E6">
            <w:r w:rsidRPr="00214E01">
              <w:rPr>
                <w:sz w:val="18"/>
                <w:szCs w:val="18"/>
              </w:rPr>
              <w:t xml:space="preserve">New responsibilities for other individual areas assessed by working group as possible to transfer  </w:t>
            </w:r>
          </w:p>
        </w:tc>
        <w:tc>
          <w:tcPr>
            <w:tcW w:w="2471" w:type="dxa"/>
          </w:tcPr>
          <w:p w:rsidR="000123E6" w:rsidRPr="00451119" w:rsidRDefault="000123E6" w:rsidP="000123E6">
            <w:pPr>
              <w:spacing w:after="240" w:line="252" w:lineRule="auto"/>
              <w:jc w:val="right"/>
              <w:rPr>
                <w:sz w:val="18"/>
                <w:szCs w:val="18"/>
              </w:rPr>
            </w:pPr>
            <w:r>
              <w:rPr>
                <w:sz w:val="18"/>
                <w:szCs w:val="18"/>
              </w:rPr>
              <w:t>?</w:t>
            </w:r>
          </w:p>
        </w:tc>
      </w:tr>
      <w:tr w:rsidR="000123E6" w:rsidTr="000123E6">
        <w:tc>
          <w:tcPr>
            <w:tcW w:w="3080" w:type="dxa"/>
          </w:tcPr>
          <w:p w:rsidR="000123E6" w:rsidRPr="00451119" w:rsidRDefault="000123E6" w:rsidP="003733C6">
            <w:pPr>
              <w:spacing w:after="240" w:line="252" w:lineRule="auto"/>
              <w:jc w:val="both"/>
              <w:rPr>
                <w:sz w:val="18"/>
                <w:szCs w:val="18"/>
              </w:rPr>
            </w:pPr>
            <w:r w:rsidRPr="00451119">
              <w:rPr>
                <w:sz w:val="18"/>
                <w:szCs w:val="18"/>
              </w:rPr>
              <w:t xml:space="preserve">One Public Estate opportunities </w:t>
            </w:r>
          </w:p>
        </w:tc>
        <w:tc>
          <w:tcPr>
            <w:tcW w:w="3691" w:type="dxa"/>
          </w:tcPr>
          <w:p w:rsidR="000123E6" w:rsidRDefault="000123E6">
            <w:r w:rsidRPr="00214E01">
              <w:rPr>
                <w:sz w:val="18"/>
                <w:szCs w:val="18"/>
              </w:rPr>
              <w:t xml:space="preserve">New responsibilities for other individual areas assessed by working group as possible to transfer  </w:t>
            </w:r>
          </w:p>
        </w:tc>
        <w:tc>
          <w:tcPr>
            <w:tcW w:w="2471" w:type="dxa"/>
          </w:tcPr>
          <w:p w:rsidR="000123E6" w:rsidRPr="00451119" w:rsidRDefault="000123E6" w:rsidP="000123E6">
            <w:pPr>
              <w:spacing w:after="240" w:line="252" w:lineRule="auto"/>
              <w:jc w:val="right"/>
              <w:rPr>
                <w:sz w:val="18"/>
                <w:szCs w:val="18"/>
              </w:rPr>
            </w:pPr>
            <w:r>
              <w:rPr>
                <w:sz w:val="18"/>
                <w:szCs w:val="18"/>
              </w:rPr>
              <w:t>/</w:t>
            </w:r>
          </w:p>
        </w:tc>
      </w:tr>
      <w:tr w:rsidR="000123E6" w:rsidTr="000123E6">
        <w:tc>
          <w:tcPr>
            <w:tcW w:w="3080" w:type="dxa"/>
          </w:tcPr>
          <w:p w:rsidR="000123E6" w:rsidRPr="00451119" w:rsidRDefault="000123E6" w:rsidP="003733C6">
            <w:pPr>
              <w:spacing w:after="240" w:line="252" w:lineRule="auto"/>
              <w:jc w:val="both"/>
              <w:rPr>
                <w:sz w:val="18"/>
                <w:szCs w:val="18"/>
              </w:rPr>
            </w:pPr>
          </w:p>
        </w:tc>
        <w:tc>
          <w:tcPr>
            <w:tcW w:w="3691" w:type="dxa"/>
          </w:tcPr>
          <w:p w:rsidR="000123E6" w:rsidRPr="000123E6" w:rsidRDefault="000123E6">
            <w:pPr>
              <w:rPr>
                <w:b/>
                <w:sz w:val="18"/>
                <w:szCs w:val="18"/>
              </w:rPr>
            </w:pPr>
            <w:r w:rsidRPr="000123E6">
              <w:rPr>
                <w:b/>
                <w:sz w:val="18"/>
                <w:szCs w:val="18"/>
              </w:rPr>
              <w:t xml:space="preserve">TOTAL (where identified) </w:t>
            </w:r>
          </w:p>
        </w:tc>
        <w:tc>
          <w:tcPr>
            <w:tcW w:w="2471" w:type="dxa"/>
          </w:tcPr>
          <w:p w:rsidR="000123E6" w:rsidRPr="000123E6" w:rsidRDefault="000123E6" w:rsidP="000123E6">
            <w:pPr>
              <w:spacing w:after="240" w:line="252" w:lineRule="auto"/>
              <w:jc w:val="right"/>
              <w:rPr>
                <w:b/>
                <w:sz w:val="18"/>
                <w:szCs w:val="18"/>
              </w:rPr>
            </w:pPr>
            <w:r w:rsidRPr="000123E6">
              <w:rPr>
                <w:b/>
                <w:sz w:val="18"/>
                <w:szCs w:val="18"/>
              </w:rPr>
              <w:t>18,680</w:t>
            </w:r>
          </w:p>
        </w:tc>
      </w:tr>
    </w:tbl>
    <w:p w:rsidR="008C2E0B" w:rsidRDefault="008C2E0B" w:rsidP="003733C6">
      <w:pPr>
        <w:spacing w:after="240" w:line="252" w:lineRule="auto"/>
        <w:jc w:val="both"/>
        <w:rPr>
          <w:b/>
          <w:sz w:val="22"/>
          <w:szCs w:val="22"/>
        </w:rPr>
        <w:sectPr w:rsidR="008C2E0B">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p>
    <w:p w:rsidR="00D32C4D" w:rsidRPr="00525CD2" w:rsidRDefault="00023366" w:rsidP="00D32C4D">
      <w:pPr>
        <w:spacing w:after="240" w:line="252" w:lineRule="auto"/>
        <w:jc w:val="both"/>
        <w:rPr>
          <w:b/>
          <w:sz w:val="20"/>
          <w:szCs w:val="20"/>
        </w:rPr>
      </w:pPr>
      <w:r w:rsidRPr="00525CD2">
        <w:rPr>
          <w:b/>
          <w:sz w:val="20"/>
          <w:szCs w:val="20"/>
        </w:rPr>
        <w:lastRenderedPageBreak/>
        <w:t xml:space="preserve">Annex </w:t>
      </w:r>
      <w:r w:rsidR="00525CD2" w:rsidRPr="00525CD2">
        <w:rPr>
          <w:b/>
          <w:sz w:val="20"/>
          <w:szCs w:val="20"/>
        </w:rPr>
        <w:t>B</w:t>
      </w:r>
      <w:r w:rsidR="003733C6" w:rsidRPr="00525CD2">
        <w:rPr>
          <w:b/>
          <w:sz w:val="20"/>
          <w:szCs w:val="20"/>
        </w:rPr>
        <w:t xml:space="preserve">- </w:t>
      </w:r>
      <w:r w:rsidR="00F76EDA" w:rsidRPr="00525CD2">
        <w:rPr>
          <w:b/>
          <w:sz w:val="20"/>
          <w:szCs w:val="20"/>
        </w:rPr>
        <w:t>Section 31 Grants considered by the working group valued at over £30million</w:t>
      </w:r>
      <w:r w:rsidR="00525CD2" w:rsidRPr="00525CD2">
        <w:rPr>
          <w:b/>
          <w:sz w:val="20"/>
          <w:szCs w:val="20"/>
        </w:rPr>
        <w:t xml:space="preserve"> (may be some crossover with candidates at Annex </w:t>
      </w:r>
      <w:r w:rsidR="00F76EDA" w:rsidRPr="00525CD2">
        <w:rPr>
          <w:b/>
          <w:sz w:val="20"/>
          <w:szCs w:val="20"/>
        </w:rPr>
        <w:t xml:space="preserve"> </w:t>
      </w:r>
      <w:r w:rsidR="00525CD2" w:rsidRPr="00525CD2">
        <w:rPr>
          <w:b/>
          <w:sz w:val="20"/>
          <w:szCs w:val="20"/>
        </w:rPr>
        <w:t>A)</w:t>
      </w:r>
    </w:p>
    <w:p w:rsidR="00D32C4D" w:rsidRPr="00D32C4D" w:rsidRDefault="00D32C4D" w:rsidP="00D32C4D">
      <w:pPr>
        <w:spacing w:after="240" w:line="252" w:lineRule="auto"/>
        <w:jc w:val="both"/>
        <w:rPr>
          <w:b/>
          <w:sz w:val="18"/>
          <w:szCs w:val="18"/>
        </w:rPr>
      </w:pPr>
      <w:r w:rsidRPr="006035B4">
        <w:rPr>
          <w:sz w:val="18"/>
          <w:szCs w:val="18"/>
          <w:u w:val="single"/>
        </w:rPr>
        <w:t>Financial Year 2016-17</w:t>
      </w:r>
    </w:p>
    <w:tbl>
      <w:tblPr>
        <w:tblStyle w:val="TableGrid"/>
        <w:tblW w:w="12333" w:type="dxa"/>
        <w:tblInd w:w="108" w:type="dxa"/>
        <w:tblLayout w:type="fixed"/>
        <w:tblLook w:val="04A0" w:firstRow="1" w:lastRow="0" w:firstColumn="1" w:lastColumn="0" w:noHBand="0" w:noVBand="1"/>
      </w:tblPr>
      <w:tblGrid>
        <w:gridCol w:w="7513"/>
        <w:gridCol w:w="2977"/>
        <w:gridCol w:w="1843"/>
      </w:tblGrid>
      <w:tr w:rsidR="00D32C4D" w:rsidTr="002465D1">
        <w:trPr>
          <w:trHeight w:val="282"/>
        </w:trPr>
        <w:tc>
          <w:tcPr>
            <w:tcW w:w="7513" w:type="dxa"/>
          </w:tcPr>
          <w:p w:rsidR="00D32C4D" w:rsidRPr="00E73291" w:rsidRDefault="00D32C4D" w:rsidP="002465D1">
            <w:pPr>
              <w:rPr>
                <w:b/>
                <w:sz w:val="18"/>
                <w:szCs w:val="18"/>
              </w:rPr>
            </w:pPr>
            <w:r w:rsidRPr="00E73291">
              <w:rPr>
                <w:b/>
                <w:sz w:val="18"/>
                <w:szCs w:val="18"/>
              </w:rPr>
              <w:t xml:space="preserve">Grant name </w:t>
            </w:r>
          </w:p>
        </w:tc>
        <w:tc>
          <w:tcPr>
            <w:tcW w:w="2977" w:type="dxa"/>
          </w:tcPr>
          <w:p w:rsidR="00D32C4D" w:rsidRPr="00E73291" w:rsidRDefault="00D32C4D" w:rsidP="002465D1">
            <w:pPr>
              <w:rPr>
                <w:b/>
                <w:sz w:val="18"/>
                <w:szCs w:val="18"/>
              </w:rPr>
            </w:pPr>
            <w:r w:rsidRPr="00E73291">
              <w:rPr>
                <w:b/>
                <w:sz w:val="18"/>
                <w:szCs w:val="18"/>
              </w:rPr>
              <w:t>Total amount</w:t>
            </w:r>
          </w:p>
        </w:tc>
        <w:tc>
          <w:tcPr>
            <w:tcW w:w="1843" w:type="dxa"/>
          </w:tcPr>
          <w:p w:rsidR="00D32C4D" w:rsidRPr="00E73291" w:rsidRDefault="00D32C4D" w:rsidP="002465D1">
            <w:pPr>
              <w:rPr>
                <w:b/>
                <w:sz w:val="18"/>
                <w:szCs w:val="18"/>
              </w:rPr>
            </w:pPr>
            <w:r w:rsidRPr="00E73291">
              <w:rPr>
                <w:b/>
                <w:sz w:val="18"/>
                <w:szCs w:val="18"/>
              </w:rPr>
              <w:t>Capital/ Revenue</w:t>
            </w:r>
          </w:p>
        </w:tc>
      </w:tr>
      <w:tr w:rsidR="00D32C4D" w:rsidTr="002465D1">
        <w:trPr>
          <w:trHeight w:val="242"/>
        </w:trPr>
        <w:tc>
          <w:tcPr>
            <w:tcW w:w="7513" w:type="dxa"/>
          </w:tcPr>
          <w:p w:rsidR="00D32C4D" w:rsidRPr="00E73291" w:rsidRDefault="00D32C4D" w:rsidP="002465D1">
            <w:pPr>
              <w:rPr>
                <w:sz w:val="18"/>
                <w:szCs w:val="18"/>
              </w:rPr>
            </w:pPr>
            <w:r w:rsidRPr="00E73291">
              <w:rPr>
                <w:sz w:val="18"/>
                <w:szCs w:val="18"/>
              </w:rPr>
              <w:t xml:space="preserve">Public Health ringfenced grant determination </w:t>
            </w:r>
          </w:p>
        </w:tc>
        <w:tc>
          <w:tcPr>
            <w:tcW w:w="2977" w:type="dxa"/>
          </w:tcPr>
          <w:p w:rsidR="00D32C4D" w:rsidRPr="00E73291" w:rsidRDefault="00D32C4D" w:rsidP="002465D1">
            <w:pPr>
              <w:rPr>
                <w:sz w:val="18"/>
                <w:szCs w:val="18"/>
              </w:rPr>
            </w:pPr>
            <w:r w:rsidRPr="008E2B6E">
              <w:rPr>
                <w:sz w:val="18"/>
                <w:szCs w:val="18"/>
              </w:rPr>
              <w:t>£3,000,000,000- £3,500,000,000</w:t>
            </w:r>
          </w:p>
        </w:tc>
        <w:tc>
          <w:tcPr>
            <w:tcW w:w="1843" w:type="dxa"/>
          </w:tcPr>
          <w:p w:rsidR="00D32C4D" w:rsidRPr="00E73291" w:rsidRDefault="00D32C4D" w:rsidP="002465D1">
            <w:pPr>
              <w:rPr>
                <w:sz w:val="18"/>
                <w:szCs w:val="18"/>
              </w:rPr>
            </w:pPr>
            <w:r w:rsidRPr="00E73291">
              <w:rPr>
                <w:sz w:val="18"/>
                <w:szCs w:val="18"/>
              </w:rPr>
              <w:t>Revenue</w:t>
            </w:r>
          </w:p>
        </w:tc>
      </w:tr>
      <w:tr w:rsidR="00D32C4D" w:rsidTr="002465D1">
        <w:trPr>
          <w:trHeight w:val="256"/>
        </w:trPr>
        <w:tc>
          <w:tcPr>
            <w:tcW w:w="7513" w:type="dxa"/>
          </w:tcPr>
          <w:p w:rsidR="00D32C4D" w:rsidRPr="00E73291" w:rsidRDefault="00D32C4D" w:rsidP="002465D1">
            <w:pPr>
              <w:rPr>
                <w:sz w:val="18"/>
                <w:szCs w:val="18"/>
              </w:rPr>
            </w:pPr>
            <w:r w:rsidRPr="00E73291">
              <w:rPr>
                <w:sz w:val="18"/>
                <w:szCs w:val="18"/>
              </w:rPr>
              <w:t>The New Homes Bonus Scheme</w:t>
            </w:r>
          </w:p>
        </w:tc>
        <w:tc>
          <w:tcPr>
            <w:tcW w:w="2977" w:type="dxa"/>
          </w:tcPr>
          <w:p w:rsidR="00D32C4D" w:rsidRPr="00E73291" w:rsidRDefault="00D32C4D" w:rsidP="002465D1">
            <w:pPr>
              <w:rPr>
                <w:sz w:val="18"/>
                <w:szCs w:val="18"/>
              </w:rPr>
            </w:pPr>
            <w:r>
              <w:rPr>
                <w:sz w:val="18"/>
                <w:szCs w:val="18"/>
              </w:rPr>
              <w:t>£1,000,000,001- £1,500,000,000</w:t>
            </w:r>
          </w:p>
        </w:tc>
        <w:tc>
          <w:tcPr>
            <w:tcW w:w="1843" w:type="dxa"/>
          </w:tcPr>
          <w:p w:rsidR="00D32C4D" w:rsidRPr="00E73291" w:rsidRDefault="00D32C4D" w:rsidP="002465D1">
            <w:pPr>
              <w:rPr>
                <w:sz w:val="18"/>
                <w:szCs w:val="18"/>
              </w:rPr>
            </w:pPr>
            <w:r w:rsidRPr="00E73291">
              <w:rPr>
                <w:sz w:val="18"/>
                <w:szCs w:val="18"/>
              </w:rPr>
              <w:t>Revenue</w:t>
            </w:r>
          </w:p>
        </w:tc>
      </w:tr>
      <w:tr w:rsidR="00D32C4D" w:rsidTr="002465D1">
        <w:trPr>
          <w:trHeight w:val="242"/>
        </w:trPr>
        <w:tc>
          <w:tcPr>
            <w:tcW w:w="7513" w:type="dxa"/>
          </w:tcPr>
          <w:p w:rsidR="00D32C4D" w:rsidRPr="00E73291" w:rsidRDefault="00D32C4D" w:rsidP="002465D1">
            <w:pPr>
              <w:rPr>
                <w:sz w:val="18"/>
                <w:szCs w:val="18"/>
              </w:rPr>
            </w:pPr>
            <w:r w:rsidRPr="00E73291">
              <w:rPr>
                <w:sz w:val="18"/>
                <w:szCs w:val="18"/>
              </w:rPr>
              <w:t>Education Services Grant determination</w:t>
            </w:r>
          </w:p>
        </w:tc>
        <w:tc>
          <w:tcPr>
            <w:tcW w:w="2977" w:type="dxa"/>
          </w:tcPr>
          <w:p w:rsidR="00D32C4D" w:rsidRPr="00E73291" w:rsidRDefault="00D32C4D" w:rsidP="002465D1">
            <w:pPr>
              <w:rPr>
                <w:sz w:val="18"/>
                <w:szCs w:val="18"/>
              </w:rPr>
            </w:pPr>
            <w:r w:rsidRPr="00E73291">
              <w:rPr>
                <w:sz w:val="18"/>
                <w:szCs w:val="18"/>
              </w:rPr>
              <w:t>£</w:t>
            </w:r>
            <w:r>
              <w:rPr>
                <w:sz w:val="18"/>
                <w:szCs w:val="18"/>
              </w:rPr>
              <w:t>500,000,001- £1,000,000,000</w:t>
            </w:r>
          </w:p>
        </w:tc>
        <w:tc>
          <w:tcPr>
            <w:tcW w:w="1843" w:type="dxa"/>
          </w:tcPr>
          <w:p w:rsidR="00D32C4D" w:rsidRPr="00E73291" w:rsidRDefault="00D32C4D" w:rsidP="002465D1">
            <w:pPr>
              <w:rPr>
                <w:sz w:val="18"/>
                <w:szCs w:val="18"/>
              </w:rPr>
            </w:pPr>
            <w:r w:rsidRPr="00E73291">
              <w:rPr>
                <w:sz w:val="18"/>
                <w:szCs w:val="18"/>
              </w:rPr>
              <w:t>Revenue</w:t>
            </w:r>
          </w:p>
        </w:tc>
      </w:tr>
      <w:tr w:rsidR="00D32C4D" w:rsidTr="002465D1">
        <w:trPr>
          <w:trHeight w:val="256"/>
        </w:trPr>
        <w:tc>
          <w:tcPr>
            <w:tcW w:w="7513" w:type="dxa"/>
          </w:tcPr>
          <w:p w:rsidR="00D32C4D" w:rsidRPr="00E73291" w:rsidRDefault="00D32C4D" w:rsidP="002465D1">
            <w:pPr>
              <w:rPr>
                <w:sz w:val="18"/>
                <w:szCs w:val="18"/>
              </w:rPr>
            </w:pPr>
            <w:r w:rsidRPr="00E73291">
              <w:rPr>
                <w:sz w:val="18"/>
                <w:szCs w:val="18"/>
              </w:rPr>
              <w:t>Business rates aut</w:t>
            </w:r>
            <w:r>
              <w:rPr>
                <w:sz w:val="18"/>
                <w:szCs w:val="18"/>
              </w:rPr>
              <w:t xml:space="preserve">umn statement reimbursement </w:t>
            </w:r>
          </w:p>
        </w:tc>
        <w:tc>
          <w:tcPr>
            <w:tcW w:w="2977" w:type="dxa"/>
          </w:tcPr>
          <w:p w:rsidR="00D32C4D" w:rsidRPr="00E73291" w:rsidRDefault="00D32C4D" w:rsidP="002465D1">
            <w:pPr>
              <w:rPr>
                <w:sz w:val="18"/>
                <w:szCs w:val="18"/>
              </w:rPr>
            </w:pPr>
            <w:r w:rsidRPr="00E73291">
              <w:rPr>
                <w:sz w:val="18"/>
                <w:szCs w:val="18"/>
              </w:rPr>
              <w:t>£4</w:t>
            </w:r>
            <w:r>
              <w:rPr>
                <w:sz w:val="18"/>
                <w:szCs w:val="18"/>
              </w:rPr>
              <w:t>00,000,000- £500,000,000</w:t>
            </w:r>
          </w:p>
        </w:tc>
        <w:tc>
          <w:tcPr>
            <w:tcW w:w="1843" w:type="dxa"/>
          </w:tcPr>
          <w:p w:rsidR="00D32C4D" w:rsidRPr="00E73291" w:rsidRDefault="00D32C4D" w:rsidP="002465D1">
            <w:pPr>
              <w:rPr>
                <w:sz w:val="18"/>
                <w:szCs w:val="18"/>
              </w:rPr>
            </w:pPr>
            <w:r w:rsidRPr="00E73291">
              <w:rPr>
                <w:sz w:val="18"/>
                <w:szCs w:val="18"/>
              </w:rPr>
              <w:t>Revenue</w:t>
            </w:r>
          </w:p>
        </w:tc>
      </w:tr>
      <w:tr w:rsidR="00D32C4D" w:rsidTr="002465D1">
        <w:trPr>
          <w:trHeight w:val="242"/>
        </w:trPr>
        <w:tc>
          <w:tcPr>
            <w:tcW w:w="7513" w:type="dxa"/>
          </w:tcPr>
          <w:p w:rsidR="00D32C4D" w:rsidRPr="00E73291" w:rsidRDefault="00D32C4D" w:rsidP="002465D1">
            <w:pPr>
              <w:rPr>
                <w:sz w:val="18"/>
                <w:szCs w:val="18"/>
              </w:rPr>
            </w:pPr>
            <w:r w:rsidRPr="00E73291">
              <w:rPr>
                <w:sz w:val="18"/>
                <w:szCs w:val="18"/>
              </w:rPr>
              <w:t>Independent Living Fund</w:t>
            </w:r>
          </w:p>
        </w:tc>
        <w:tc>
          <w:tcPr>
            <w:tcW w:w="2977" w:type="dxa"/>
          </w:tcPr>
          <w:p w:rsidR="00D32C4D" w:rsidRPr="00E73291" w:rsidRDefault="00D32C4D" w:rsidP="002465D1">
            <w:pPr>
              <w:rPr>
                <w:sz w:val="18"/>
                <w:szCs w:val="18"/>
              </w:rPr>
            </w:pPr>
            <w:r w:rsidRPr="001D3DB1">
              <w:rPr>
                <w:sz w:val="18"/>
                <w:szCs w:val="18"/>
              </w:rPr>
              <w:t>£100,000,001- £200,000,000</w:t>
            </w:r>
          </w:p>
        </w:tc>
        <w:tc>
          <w:tcPr>
            <w:tcW w:w="1843" w:type="dxa"/>
          </w:tcPr>
          <w:p w:rsidR="00D32C4D" w:rsidRPr="00E73291" w:rsidRDefault="00D32C4D" w:rsidP="002465D1">
            <w:pPr>
              <w:rPr>
                <w:sz w:val="18"/>
                <w:szCs w:val="18"/>
              </w:rPr>
            </w:pPr>
            <w:r w:rsidRPr="00E73291">
              <w:rPr>
                <w:sz w:val="18"/>
                <w:szCs w:val="18"/>
              </w:rPr>
              <w:t>Revenue</w:t>
            </w:r>
          </w:p>
        </w:tc>
      </w:tr>
      <w:tr w:rsidR="00D32C4D" w:rsidTr="002465D1">
        <w:trPr>
          <w:trHeight w:val="256"/>
        </w:trPr>
        <w:tc>
          <w:tcPr>
            <w:tcW w:w="7513" w:type="dxa"/>
          </w:tcPr>
          <w:p w:rsidR="00D32C4D" w:rsidRPr="00E73291" w:rsidRDefault="00D32C4D" w:rsidP="002465D1">
            <w:pPr>
              <w:rPr>
                <w:sz w:val="18"/>
                <w:szCs w:val="18"/>
              </w:rPr>
            </w:pPr>
            <w:r w:rsidRPr="00E73291">
              <w:rPr>
                <w:sz w:val="18"/>
                <w:szCs w:val="18"/>
              </w:rPr>
              <w:t>Troubled Families</w:t>
            </w:r>
          </w:p>
        </w:tc>
        <w:tc>
          <w:tcPr>
            <w:tcW w:w="2977" w:type="dxa"/>
          </w:tcPr>
          <w:p w:rsidR="00D32C4D" w:rsidRPr="00E73291" w:rsidRDefault="00D32C4D" w:rsidP="002465D1">
            <w:pPr>
              <w:rPr>
                <w:sz w:val="18"/>
                <w:szCs w:val="18"/>
              </w:rPr>
            </w:pPr>
            <w:r w:rsidRPr="001D3DB1">
              <w:rPr>
                <w:sz w:val="18"/>
                <w:szCs w:val="18"/>
              </w:rPr>
              <w:t>£100,000,001- £200,000,000</w:t>
            </w:r>
          </w:p>
        </w:tc>
        <w:tc>
          <w:tcPr>
            <w:tcW w:w="1843" w:type="dxa"/>
          </w:tcPr>
          <w:p w:rsidR="00D32C4D" w:rsidRPr="00E73291" w:rsidRDefault="00D32C4D" w:rsidP="002465D1">
            <w:pPr>
              <w:rPr>
                <w:sz w:val="18"/>
                <w:szCs w:val="18"/>
              </w:rPr>
            </w:pPr>
            <w:r w:rsidRPr="00E73291">
              <w:rPr>
                <w:sz w:val="18"/>
                <w:szCs w:val="18"/>
              </w:rPr>
              <w:t>Revenue</w:t>
            </w:r>
          </w:p>
        </w:tc>
      </w:tr>
      <w:tr w:rsidR="00D32C4D" w:rsidTr="002465D1">
        <w:trPr>
          <w:trHeight w:val="256"/>
        </w:trPr>
        <w:tc>
          <w:tcPr>
            <w:tcW w:w="7513" w:type="dxa"/>
          </w:tcPr>
          <w:p w:rsidR="00D32C4D" w:rsidRPr="00E73291" w:rsidRDefault="00D32C4D" w:rsidP="002465D1">
            <w:pPr>
              <w:rPr>
                <w:sz w:val="18"/>
                <w:szCs w:val="18"/>
              </w:rPr>
            </w:pPr>
            <w:r w:rsidRPr="00E73291">
              <w:rPr>
                <w:sz w:val="18"/>
                <w:szCs w:val="18"/>
              </w:rPr>
              <w:t>Local Council Tax Support Admin grant</w:t>
            </w:r>
          </w:p>
        </w:tc>
        <w:tc>
          <w:tcPr>
            <w:tcW w:w="2977" w:type="dxa"/>
          </w:tcPr>
          <w:p w:rsidR="00D32C4D" w:rsidRPr="00E73291" w:rsidRDefault="00D32C4D" w:rsidP="002465D1">
            <w:pPr>
              <w:rPr>
                <w:sz w:val="18"/>
                <w:szCs w:val="18"/>
              </w:rPr>
            </w:pPr>
            <w:r w:rsidRPr="001D3DB1">
              <w:rPr>
                <w:sz w:val="18"/>
                <w:szCs w:val="18"/>
              </w:rPr>
              <w:t>£50,000,001- £100,000,000</w:t>
            </w:r>
          </w:p>
        </w:tc>
        <w:tc>
          <w:tcPr>
            <w:tcW w:w="1843" w:type="dxa"/>
          </w:tcPr>
          <w:p w:rsidR="00D32C4D" w:rsidRPr="00E73291" w:rsidRDefault="00D32C4D" w:rsidP="002465D1">
            <w:pPr>
              <w:rPr>
                <w:sz w:val="18"/>
                <w:szCs w:val="18"/>
              </w:rPr>
            </w:pPr>
            <w:r w:rsidRPr="00E73291">
              <w:rPr>
                <w:sz w:val="18"/>
                <w:szCs w:val="18"/>
              </w:rPr>
              <w:t>Revenue</w:t>
            </w:r>
          </w:p>
        </w:tc>
      </w:tr>
      <w:tr w:rsidR="00D32C4D" w:rsidTr="002465D1">
        <w:trPr>
          <w:trHeight w:val="256"/>
        </w:trPr>
        <w:tc>
          <w:tcPr>
            <w:tcW w:w="7513" w:type="dxa"/>
          </w:tcPr>
          <w:p w:rsidR="00D32C4D" w:rsidRPr="00E73291" w:rsidRDefault="00D32C4D" w:rsidP="002465D1">
            <w:pPr>
              <w:rPr>
                <w:sz w:val="18"/>
                <w:szCs w:val="18"/>
              </w:rPr>
            </w:pPr>
            <w:r w:rsidRPr="00E73291">
              <w:rPr>
                <w:sz w:val="18"/>
                <w:szCs w:val="18"/>
              </w:rPr>
              <w:t xml:space="preserve">Community Housing Fund determination </w:t>
            </w:r>
          </w:p>
        </w:tc>
        <w:tc>
          <w:tcPr>
            <w:tcW w:w="2977" w:type="dxa"/>
          </w:tcPr>
          <w:p w:rsidR="00D32C4D" w:rsidRPr="00E73291" w:rsidRDefault="00D32C4D" w:rsidP="002465D1">
            <w:pPr>
              <w:rPr>
                <w:sz w:val="18"/>
                <w:szCs w:val="18"/>
              </w:rPr>
            </w:pPr>
            <w:r w:rsidRPr="001D3DB1">
              <w:rPr>
                <w:sz w:val="18"/>
                <w:szCs w:val="18"/>
              </w:rPr>
              <w:t>£50,000,001- £100,000,000</w:t>
            </w:r>
          </w:p>
        </w:tc>
        <w:tc>
          <w:tcPr>
            <w:tcW w:w="1843" w:type="dxa"/>
          </w:tcPr>
          <w:p w:rsidR="00D32C4D" w:rsidRPr="00E73291" w:rsidRDefault="00D32C4D" w:rsidP="002465D1">
            <w:pPr>
              <w:rPr>
                <w:sz w:val="18"/>
                <w:szCs w:val="18"/>
              </w:rPr>
            </w:pPr>
            <w:r w:rsidRPr="00E73291">
              <w:rPr>
                <w:sz w:val="18"/>
                <w:szCs w:val="18"/>
              </w:rPr>
              <w:t>Revenue</w:t>
            </w:r>
          </w:p>
        </w:tc>
      </w:tr>
      <w:tr w:rsidR="00D32C4D" w:rsidTr="002465D1">
        <w:trPr>
          <w:trHeight w:val="256"/>
        </w:trPr>
        <w:tc>
          <w:tcPr>
            <w:tcW w:w="7513" w:type="dxa"/>
          </w:tcPr>
          <w:p w:rsidR="00D32C4D" w:rsidRPr="00E73291" w:rsidRDefault="00D32C4D" w:rsidP="002465D1">
            <w:pPr>
              <w:rPr>
                <w:sz w:val="18"/>
                <w:szCs w:val="18"/>
              </w:rPr>
            </w:pPr>
            <w:r w:rsidRPr="00E73291">
              <w:rPr>
                <w:sz w:val="18"/>
                <w:szCs w:val="18"/>
              </w:rPr>
              <w:t>Local authority bus services subsidy</w:t>
            </w:r>
          </w:p>
        </w:tc>
        <w:tc>
          <w:tcPr>
            <w:tcW w:w="2977" w:type="dxa"/>
          </w:tcPr>
          <w:p w:rsidR="00D32C4D" w:rsidRPr="00E73291" w:rsidRDefault="00D32C4D" w:rsidP="002465D1">
            <w:pPr>
              <w:rPr>
                <w:sz w:val="18"/>
                <w:szCs w:val="18"/>
              </w:rPr>
            </w:pPr>
            <w:r w:rsidRPr="001D3DB1">
              <w:rPr>
                <w:sz w:val="18"/>
                <w:szCs w:val="18"/>
              </w:rPr>
              <w:t>£30,000,000- £50,000,000</w:t>
            </w:r>
          </w:p>
        </w:tc>
        <w:tc>
          <w:tcPr>
            <w:tcW w:w="1843" w:type="dxa"/>
          </w:tcPr>
          <w:p w:rsidR="00D32C4D" w:rsidRPr="00E73291" w:rsidRDefault="00D32C4D" w:rsidP="002465D1">
            <w:pPr>
              <w:rPr>
                <w:sz w:val="18"/>
                <w:szCs w:val="18"/>
              </w:rPr>
            </w:pPr>
            <w:r w:rsidRPr="00E73291">
              <w:rPr>
                <w:sz w:val="18"/>
                <w:szCs w:val="18"/>
              </w:rPr>
              <w:t>Revenue</w:t>
            </w:r>
          </w:p>
        </w:tc>
      </w:tr>
      <w:tr w:rsidR="00D32C4D" w:rsidTr="002465D1">
        <w:trPr>
          <w:trHeight w:val="256"/>
        </w:trPr>
        <w:tc>
          <w:tcPr>
            <w:tcW w:w="7513" w:type="dxa"/>
          </w:tcPr>
          <w:p w:rsidR="00D32C4D" w:rsidRPr="00E73291" w:rsidRDefault="00D32C4D" w:rsidP="002465D1">
            <w:pPr>
              <w:rPr>
                <w:sz w:val="18"/>
                <w:szCs w:val="18"/>
              </w:rPr>
            </w:pPr>
            <w:r w:rsidRPr="00E73291">
              <w:rPr>
                <w:sz w:val="18"/>
                <w:szCs w:val="18"/>
              </w:rPr>
              <w:t>West Midlands Combined Authority- Investment Fund</w:t>
            </w:r>
          </w:p>
        </w:tc>
        <w:tc>
          <w:tcPr>
            <w:tcW w:w="2977" w:type="dxa"/>
          </w:tcPr>
          <w:p w:rsidR="00D32C4D" w:rsidRPr="00E73291" w:rsidRDefault="00D32C4D" w:rsidP="002465D1">
            <w:pPr>
              <w:rPr>
                <w:sz w:val="18"/>
                <w:szCs w:val="18"/>
              </w:rPr>
            </w:pPr>
            <w:r w:rsidRPr="001D3DB1">
              <w:rPr>
                <w:sz w:val="18"/>
                <w:szCs w:val="18"/>
              </w:rPr>
              <w:t>£30,000,000- £50,000,000</w:t>
            </w:r>
          </w:p>
        </w:tc>
        <w:tc>
          <w:tcPr>
            <w:tcW w:w="1843" w:type="dxa"/>
          </w:tcPr>
          <w:p w:rsidR="00D32C4D" w:rsidRPr="00E73291" w:rsidRDefault="00D32C4D" w:rsidP="002465D1">
            <w:pPr>
              <w:rPr>
                <w:sz w:val="18"/>
                <w:szCs w:val="18"/>
              </w:rPr>
            </w:pPr>
            <w:r w:rsidRPr="00E73291">
              <w:rPr>
                <w:sz w:val="18"/>
                <w:szCs w:val="18"/>
              </w:rPr>
              <w:t>Revenue</w:t>
            </w:r>
          </w:p>
        </w:tc>
      </w:tr>
      <w:tr w:rsidR="00D32C4D" w:rsidTr="002465D1">
        <w:trPr>
          <w:trHeight w:val="256"/>
        </w:trPr>
        <w:tc>
          <w:tcPr>
            <w:tcW w:w="7513" w:type="dxa"/>
          </w:tcPr>
          <w:p w:rsidR="00D32C4D" w:rsidRPr="00E73291" w:rsidRDefault="00D32C4D" w:rsidP="002465D1">
            <w:pPr>
              <w:rPr>
                <w:sz w:val="18"/>
                <w:szCs w:val="18"/>
              </w:rPr>
            </w:pPr>
            <w:r w:rsidRPr="00E73291">
              <w:rPr>
                <w:sz w:val="18"/>
                <w:szCs w:val="18"/>
              </w:rPr>
              <w:t xml:space="preserve">Local Reform and Community Voices </w:t>
            </w:r>
          </w:p>
        </w:tc>
        <w:tc>
          <w:tcPr>
            <w:tcW w:w="2977" w:type="dxa"/>
          </w:tcPr>
          <w:p w:rsidR="00D32C4D" w:rsidRPr="00E73291" w:rsidRDefault="00D32C4D" w:rsidP="002465D1">
            <w:pPr>
              <w:rPr>
                <w:sz w:val="18"/>
                <w:szCs w:val="18"/>
              </w:rPr>
            </w:pPr>
            <w:r w:rsidRPr="001D3DB1">
              <w:rPr>
                <w:sz w:val="18"/>
                <w:szCs w:val="18"/>
              </w:rPr>
              <w:t>£30,000,000- £50,000,000</w:t>
            </w:r>
          </w:p>
        </w:tc>
        <w:tc>
          <w:tcPr>
            <w:tcW w:w="1843" w:type="dxa"/>
          </w:tcPr>
          <w:p w:rsidR="00D32C4D" w:rsidRPr="00E73291" w:rsidRDefault="00D32C4D" w:rsidP="002465D1">
            <w:pPr>
              <w:rPr>
                <w:sz w:val="18"/>
                <w:szCs w:val="18"/>
              </w:rPr>
            </w:pPr>
            <w:r w:rsidRPr="00E73291">
              <w:rPr>
                <w:sz w:val="18"/>
                <w:szCs w:val="18"/>
              </w:rPr>
              <w:t>Revenue</w:t>
            </w:r>
          </w:p>
        </w:tc>
      </w:tr>
    </w:tbl>
    <w:p w:rsidR="00D32C4D" w:rsidRDefault="00D32C4D" w:rsidP="00D32C4D">
      <w:pPr>
        <w:contextualSpacing/>
        <w:rPr>
          <w:sz w:val="22"/>
          <w:szCs w:val="22"/>
          <w:u w:val="single"/>
        </w:rPr>
      </w:pPr>
    </w:p>
    <w:p w:rsidR="00D32C4D" w:rsidRDefault="00D32C4D" w:rsidP="00D32C4D">
      <w:pPr>
        <w:contextualSpacing/>
        <w:rPr>
          <w:sz w:val="18"/>
          <w:szCs w:val="18"/>
          <w:u w:val="single"/>
        </w:rPr>
      </w:pPr>
      <w:r w:rsidRPr="006035B4">
        <w:rPr>
          <w:sz w:val="18"/>
          <w:szCs w:val="18"/>
          <w:u w:val="single"/>
        </w:rPr>
        <w:t>Financial Year 2015-16</w:t>
      </w:r>
    </w:p>
    <w:p w:rsidR="00D32C4D" w:rsidRPr="006035B4" w:rsidRDefault="00D32C4D" w:rsidP="00D32C4D">
      <w:pPr>
        <w:contextualSpacing/>
        <w:rPr>
          <w:sz w:val="18"/>
          <w:szCs w:val="18"/>
          <w:u w:val="single"/>
        </w:rPr>
      </w:pPr>
    </w:p>
    <w:tbl>
      <w:tblPr>
        <w:tblStyle w:val="TableGrid"/>
        <w:tblW w:w="12333" w:type="dxa"/>
        <w:tblInd w:w="108" w:type="dxa"/>
        <w:tblLayout w:type="fixed"/>
        <w:tblLook w:val="04A0" w:firstRow="1" w:lastRow="0" w:firstColumn="1" w:lastColumn="0" w:noHBand="0" w:noVBand="1"/>
      </w:tblPr>
      <w:tblGrid>
        <w:gridCol w:w="7513"/>
        <w:gridCol w:w="2977"/>
        <w:gridCol w:w="1843"/>
      </w:tblGrid>
      <w:tr w:rsidR="00D32C4D" w:rsidTr="002465D1">
        <w:trPr>
          <w:trHeight w:val="282"/>
        </w:trPr>
        <w:tc>
          <w:tcPr>
            <w:tcW w:w="7513" w:type="dxa"/>
          </w:tcPr>
          <w:p w:rsidR="00D32C4D" w:rsidRPr="00E73291" w:rsidRDefault="00D32C4D" w:rsidP="002465D1">
            <w:pPr>
              <w:rPr>
                <w:b/>
                <w:sz w:val="18"/>
                <w:szCs w:val="18"/>
              </w:rPr>
            </w:pPr>
            <w:r w:rsidRPr="00E73291">
              <w:rPr>
                <w:b/>
                <w:sz w:val="18"/>
                <w:szCs w:val="18"/>
              </w:rPr>
              <w:t xml:space="preserve">Grant name </w:t>
            </w:r>
          </w:p>
        </w:tc>
        <w:tc>
          <w:tcPr>
            <w:tcW w:w="2977" w:type="dxa"/>
          </w:tcPr>
          <w:p w:rsidR="00D32C4D" w:rsidRPr="00E73291" w:rsidRDefault="00D32C4D" w:rsidP="002465D1">
            <w:pPr>
              <w:rPr>
                <w:b/>
                <w:sz w:val="18"/>
                <w:szCs w:val="18"/>
              </w:rPr>
            </w:pPr>
            <w:r w:rsidRPr="00E73291">
              <w:rPr>
                <w:b/>
                <w:sz w:val="18"/>
                <w:szCs w:val="18"/>
              </w:rPr>
              <w:t>Total amount</w:t>
            </w:r>
          </w:p>
        </w:tc>
        <w:tc>
          <w:tcPr>
            <w:tcW w:w="1843" w:type="dxa"/>
          </w:tcPr>
          <w:p w:rsidR="00D32C4D" w:rsidRPr="00E73291" w:rsidRDefault="00D32C4D" w:rsidP="002465D1">
            <w:pPr>
              <w:rPr>
                <w:b/>
                <w:sz w:val="18"/>
                <w:szCs w:val="18"/>
              </w:rPr>
            </w:pPr>
            <w:r w:rsidRPr="00E73291">
              <w:rPr>
                <w:b/>
                <w:sz w:val="18"/>
                <w:szCs w:val="18"/>
              </w:rPr>
              <w:t>Capital/ Revenue</w:t>
            </w:r>
          </w:p>
        </w:tc>
      </w:tr>
      <w:tr w:rsidR="00D32C4D" w:rsidTr="002465D1">
        <w:trPr>
          <w:trHeight w:val="241"/>
        </w:trPr>
        <w:tc>
          <w:tcPr>
            <w:tcW w:w="7513" w:type="dxa"/>
          </w:tcPr>
          <w:p w:rsidR="00D32C4D" w:rsidRPr="00E73291" w:rsidRDefault="00D32C4D" w:rsidP="002465D1">
            <w:pPr>
              <w:rPr>
                <w:sz w:val="18"/>
                <w:szCs w:val="18"/>
              </w:rPr>
            </w:pPr>
            <w:r w:rsidRPr="00E73291">
              <w:rPr>
                <w:sz w:val="18"/>
                <w:szCs w:val="18"/>
              </w:rPr>
              <w:t xml:space="preserve">Public Health ringfenced grant determination </w:t>
            </w:r>
          </w:p>
        </w:tc>
        <w:tc>
          <w:tcPr>
            <w:tcW w:w="2977" w:type="dxa"/>
          </w:tcPr>
          <w:p w:rsidR="00D32C4D" w:rsidRPr="00E73291" w:rsidRDefault="00D32C4D" w:rsidP="002465D1">
            <w:pPr>
              <w:rPr>
                <w:sz w:val="18"/>
                <w:szCs w:val="18"/>
              </w:rPr>
            </w:pPr>
            <w:r>
              <w:rPr>
                <w:sz w:val="18"/>
                <w:szCs w:val="18"/>
              </w:rPr>
              <w:t>£3,000,000,000- £3,500,000,000</w:t>
            </w:r>
          </w:p>
        </w:tc>
        <w:tc>
          <w:tcPr>
            <w:tcW w:w="1843" w:type="dxa"/>
          </w:tcPr>
          <w:p w:rsidR="00D32C4D" w:rsidRPr="00E73291" w:rsidRDefault="00D32C4D" w:rsidP="002465D1">
            <w:pPr>
              <w:rPr>
                <w:sz w:val="18"/>
                <w:szCs w:val="18"/>
              </w:rPr>
            </w:pPr>
            <w:r>
              <w:rPr>
                <w:sz w:val="18"/>
                <w:szCs w:val="18"/>
              </w:rPr>
              <w:t>Revenue</w:t>
            </w:r>
          </w:p>
        </w:tc>
      </w:tr>
      <w:tr w:rsidR="00D32C4D" w:rsidTr="002465D1">
        <w:trPr>
          <w:trHeight w:val="256"/>
        </w:trPr>
        <w:tc>
          <w:tcPr>
            <w:tcW w:w="7513" w:type="dxa"/>
          </w:tcPr>
          <w:p w:rsidR="00D32C4D" w:rsidRPr="00E73291" w:rsidRDefault="00D32C4D" w:rsidP="002465D1">
            <w:pPr>
              <w:rPr>
                <w:sz w:val="18"/>
                <w:szCs w:val="18"/>
              </w:rPr>
            </w:pPr>
            <w:r w:rsidRPr="00E73291">
              <w:rPr>
                <w:sz w:val="18"/>
                <w:szCs w:val="18"/>
              </w:rPr>
              <w:t>Education Services Grant determination</w:t>
            </w:r>
          </w:p>
        </w:tc>
        <w:tc>
          <w:tcPr>
            <w:tcW w:w="2977" w:type="dxa"/>
          </w:tcPr>
          <w:p w:rsidR="00D32C4D" w:rsidRPr="00E73291" w:rsidRDefault="00D32C4D" w:rsidP="002465D1">
            <w:pPr>
              <w:rPr>
                <w:sz w:val="18"/>
                <w:szCs w:val="18"/>
              </w:rPr>
            </w:pPr>
            <w:r w:rsidRPr="00E73291">
              <w:rPr>
                <w:sz w:val="18"/>
                <w:szCs w:val="18"/>
              </w:rPr>
              <w:t>£1,00</w:t>
            </w:r>
            <w:r>
              <w:rPr>
                <w:sz w:val="18"/>
                <w:szCs w:val="18"/>
              </w:rPr>
              <w:t>0,000,000- £1,500,000,000</w:t>
            </w:r>
          </w:p>
        </w:tc>
        <w:tc>
          <w:tcPr>
            <w:tcW w:w="1843" w:type="dxa"/>
          </w:tcPr>
          <w:p w:rsidR="00D32C4D" w:rsidRPr="00E73291" w:rsidRDefault="00D32C4D" w:rsidP="002465D1">
            <w:pPr>
              <w:rPr>
                <w:sz w:val="18"/>
                <w:szCs w:val="18"/>
              </w:rPr>
            </w:pPr>
            <w:r w:rsidRPr="00E73291">
              <w:rPr>
                <w:sz w:val="18"/>
                <w:szCs w:val="18"/>
              </w:rPr>
              <w:t>Revenue</w:t>
            </w:r>
          </w:p>
        </w:tc>
      </w:tr>
      <w:tr w:rsidR="00D32C4D" w:rsidTr="002465D1">
        <w:trPr>
          <w:trHeight w:val="242"/>
        </w:trPr>
        <w:tc>
          <w:tcPr>
            <w:tcW w:w="7513" w:type="dxa"/>
          </w:tcPr>
          <w:p w:rsidR="00D32C4D" w:rsidRPr="00E73291" w:rsidRDefault="00D32C4D" w:rsidP="002465D1">
            <w:pPr>
              <w:rPr>
                <w:sz w:val="18"/>
                <w:szCs w:val="18"/>
              </w:rPr>
            </w:pPr>
            <w:r w:rsidRPr="00E73291">
              <w:rPr>
                <w:sz w:val="18"/>
                <w:szCs w:val="18"/>
              </w:rPr>
              <w:t xml:space="preserve">Adult Social Care implementation </w:t>
            </w:r>
          </w:p>
        </w:tc>
        <w:tc>
          <w:tcPr>
            <w:tcW w:w="2977" w:type="dxa"/>
          </w:tcPr>
          <w:p w:rsidR="00D32C4D" w:rsidRPr="00E73291" w:rsidRDefault="00D32C4D" w:rsidP="002465D1">
            <w:pPr>
              <w:rPr>
                <w:sz w:val="18"/>
                <w:szCs w:val="18"/>
              </w:rPr>
            </w:pPr>
            <w:r>
              <w:rPr>
                <w:sz w:val="18"/>
                <w:szCs w:val="18"/>
              </w:rPr>
              <w:t>£200,000,001- £300,000,000</w:t>
            </w:r>
            <w:r w:rsidRPr="00E73291">
              <w:rPr>
                <w:sz w:val="18"/>
                <w:szCs w:val="18"/>
              </w:rPr>
              <w:t xml:space="preserve"> </w:t>
            </w:r>
          </w:p>
        </w:tc>
        <w:tc>
          <w:tcPr>
            <w:tcW w:w="1843" w:type="dxa"/>
          </w:tcPr>
          <w:p w:rsidR="00D32C4D" w:rsidRPr="00E73291" w:rsidRDefault="00D32C4D" w:rsidP="002465D1">
            <w:pPr>
              <w:rPr>
                <w:sz w:val="18"/>
                <w:szCs w:val="18"/>
              </w:rPr>
            </w:pPr>
            <w:r w:rsidRPr="00E73291">
              <w:rPr>
                <w:sz w:val="18"/>
                <w:szCs w:val="18"/>
              </w:rPr>
              <w:t>Revenue</w:t>
            </w:r>
          </w:p>
        </w:tc>
      </w:tr>
      <w:tr w:rsidR="00D32C4D" w:rsidTr="002465D1">
        <w:trPr>
          <w:trHeight w:val="242"/>
        </w:trPr>
        <w:tc>
          <w:tcPr>
            <w:tcW w:w="7513" w:type="dxa"/>
          </w:tcPr>
          <w:p w:rsidR="00D32C4D" w:rsidRPr="00E73291" w:rsidRDefault="00D32C4D" w:rsidP="002465D1">
            <w:pPr>
              <w:rPr>
                <w:sz w:val="18"/>
                <w:szCs w:val="18"/>
              </w:rPr>
            </w:pPr>
            <w:r w:rsidRPr="00E73291">
              <w:rPr>
                <w:sz w:val="18"/>
                <w:szCs w:val="18"/>
              </w:rPr>
              <w:t>Troubled Families</w:t>
            </w:r>
          </w:p>
        </w:tc>
        <w:tc>
          <w:tcPr>
            <w:tcW w:w="2977" w:type="dxa"/>
          </w:tcPr>
          <w:p w:rsidR="00D32C4D" w:rsidRPr="00E73291" w:rsidRDefault="00D32C4D" w:rsidP="002465D1">
            <w:pPr>
              <w:rPr>
                <w:sz w:val="18"/>
                <w:szCs w:val="18"/>
              </w:rPr>
            </w:pPr>
            <w:r w:rsidRPr="001D3DB1">
              <w:rPr>
                <w:sz w:val="18"/>
                <w:szCs w:val="18"/>
              </w:rPr>
              <w:t>£100,000,001- £200,000,000</w:t>
            </w:r>
          </w:p>
        </w:tc>
        <w:tc>
          <w:tcPr>
            <w:tcW w:w="1843" w:type="dxa"/>
          </w:tcPr>
          <w:p w:rsidR="00D32C4D" w:rsidRPr="00E73291" w:rsidRDefault="00D32C4D" w:rsidP="002465D1">
            <w:pPr>
              <w:rPr>
                <w:sz w:val="18"/>
                <w:szCs w:val="18"/>
              </w:rPr>
            </w:pPr>
            <w:r w:rsidRPr="00E73291">
              <w:rPr>
                <w:sz w:val="18"/>
                <w:szCs w:val="18"/>
              </w:rPr>
              <w:t>Revenue</w:t>
            </w:r>
          </w:p>
        </w:tc>
      </w:tr>
      <w:tr w:rsidR="00D32C4D" w:rsidTr="002465D1">
        <w:trPr>
          <w:trHeight w:val="256"/>
        </w:trPr>
        <w:tc>
          <w:tcPr>
            <w:tcW w:w="7513" w:type="dxa"/>
          </w:tcPr>
          <w:p w:rsidR="00D32C4D" w:rsidRPr="00E73291" w:rsidRDefault="00D32C4D" w:rsidP="002465D1">
            <w:pPr>
              <w:rPr>
                <w:sz w:val="18"/>
                <w:szCs w:val="18"/>
              </w:rPr>
            </w:pPr>
            <w:r w:rsidRPr="00E73291">
              <w:rPr>
                <w:sz w:val="18"/>
                <w:szCs w:val="18"/>
              </w:rPr>
              <w:t>Independent Living Fund determination</w:t>
            </w:r>
          </w:p>
        </w:tc>
        <w:tc>
          <w:tcPr>
            <w:tcW w:w="2977" w:type="dxa"/>
          </w:tcPr>
          <w:p w:rsidR="00D32C4D" w:rsidRPr="00E73291" w:rsidRDefault="00D32C4D" w:rsidP="002465D1">
            <w:pPr>
              <w:rPr>
                <w:sz w:val="18"/>
                <w:szCs w:val="18"/>
              </w:rPr>
            </w:pPr>
            <w:r w:rsidRPr="001D3DB1">
              <w:rPr>
                <w:sz w:val="18"/>
                <w:szCs w:val="18"/>
              </w:rPr>
              <w:t>£100,000,001- £200,000,000</w:t>
            </w:r>
          </w:p>
        </w:tc>
        <w:tc>
          <w:tcPr>
            <w:tcW w:w="1843" w:type="dxa"/>
          </w:tcPr>
          <w:p w:rsidR="00D32C4D" w:rsidRPr="00E73291" w:rsidRDefault="00D32C4D" w:rsidP="002465D1">
            <w:pPr>
              <w:rPr>
                <w:sz w:val="18"/>
                <w:szCs w:val="18"/>
              </w:rPr>
            </w:pPr>
            <w:r w:rsidRPr="00E73291">
              <w:rPr>
                <w:sz w:val="18"/>
                <w:szCs w:val="18"/>
              </w:rPr>
              <w:t>Revenue</w:t>
            </w:r>
          </w:p>
        </w:tc>
      </w:tr>
      <w:tr w:rsidR="00D32C4D" w:rsidTr="002465D1">
        <w:trPr>
          <w:trHeight w:val="242"/>
        </w:trPr>
        <w:tc>
          <w:tcPr>
            <w:tcW w:w="7513" w:type="dxa"/>
          </w:tcPr>
          <w:p w:rsidR="00D32C4D" w:rsidRPr="00E73291" w:rsidRDefault="00D32C4D" w:rsidP="002465D1">
            <w:pPr>
              <w:rPr>
                <w:sz w:val="18"/>
                <w:szCs w:val="18"/>
              </w:rPr>
            </w:pPr>
            <w:r w:rsidRPr="00E73291">
              <w:rPr>
                <w:sz w:val="18"/>
                <w:szCs w:val="18"/>
              </w:rPr>
              <w:t xml:space="preserve">Council Tax Freeze Grant </w:t>
            </w:r>
          </w:p>
        </w:tc>
        <w:tc>
          <w:tcPr>
            <w:tcW w:w="2977" w:type="dxa"/>
          </w:tcPr>
          <w:p w:rsidR="00D32C4D" w:rsidRPr="00E73291" w:rsidRDefault="00D32C4D" w:rsidP="002465D1">
            <w:pPr>
              <w:rPr>
                <w:sz w:val="18"/>
                <w:szCs w:val="18"/>
              </w:rPr>
            </w:pPr>
            <w:r w:rsidRPr="001D3DB1">
              <w:rPr>
                <w:sz w:val="18"/>
                <w:szCs w:val="18"/>
              </w:rPr>
              <w:t>£100,000,001- £200,000,000</w:t>
            </w:r>
          </w:p>
        </w:tc>
        <w:tc>
          <w:tcPr>
            <w:tcW w:w="1843" w:type="dxa"/>
          </w:tcPr>
          <w:p w:rsidR="00D32C4D" w:rsidRPr="00E73291" w:rsidRDefault="00D32C4D" w:rsidP="002465D1">
            <w:pPr>
              <w:rPr>
                <w:sz w:val="18"/>
                <w:szCs w:val="18"/>
              </w:rPr>
            </w:pPr>
            <w:r w:rsidRPr="00E73291">
              <w:rPr>
                <w:sz w:val="18"/>
                <w:szCs w:val="18"/>
              </w:rPr>
              <w:t>Revenue</w:t>
            </w:r>
          </w:p>
        </w:tc>
      </w:tr>
      <w:tr w:rsidR="00D32C4D" w:rsidRPr="00E95530" w:rsidTr="002465D1">
        <w:trPr>
          <w:trHeight w:val="263"/>
        </w:trPr>
        <w:tc>
          <w:tcPr>
            <w:tcW w:w="7513" w:type="dxa"/>
          </w:tcPr>
          <w:p w:rsidR="00D32C4D" w:rsidRPr="00E73291" w:rsidRDefault="00D32C4D" w:rsidP="002465D1">
            <w:pPr>
              <w:rPr>
                <w:sz w:val="18"/>
                <w:szCs w:val="18"/>
              </w:rPr>
            </w:pPr>
            <w:r w:rsidRPr="00E73291">
              <w:rPr>
                <w:sz w:val="18"/>
                <w:szCs w:val="18"/>
              </w:rPr>
              <w:t xml:space="preserve">The Fire Transformation Fund </w:t>
            </w:r>
          </w:p>
        </w:tc>
        <w:tc>
          <w:tcPr>
            <w:tcW w:w="2977" w:type="dxa"/>
          </w:tcPr>
          <w:p w:rsidR="00D32C4D" w:rsidRPr="00E73291" w:rsidRDefault="00D32C4D" w:rsidP="002465D1">
            <w:pPr>
              <w:rPr>
                <w:sz w:val="18"/>
                <w:szCs w:val="18"/>
              </w:rPr>
            </w:pPr>
            <w:r>
              <w:rPr>
                <w:sz w:val="18"/>
                <w:szCs w:val="18"/>
              </w:rPr>
              <w:t>£100,000,001- £200,000,000</w:t>
            </w:r>
          </w:p>
        </w:tc>
        <w:tc>
          <w:tcPr>
            <w:tcW w:w="1843" w:type="dxa"/>
          </w:tcPr>
          <w:p w:rsidR="00D32C4D" w:rsidRPr="00E73291" w:rsidRDefault="00D32C4D" w:rsidP="002465D1">
            <w:pPr>
              <w:rPr>
                <w:sz w:val="18"/>
                <w:szCs w:val="18"/>
              </w:rPr>
            </w:pPr>
            <w:r>
              <w:rPr>
                <w:sz w:val="18"/>
                <w:szCs w:val="18"/>
              </w:rPr>
              <w:t>Revenue</w:t>
            </w:r>
          </w:p>
        </w:tc>
      </w:tr>
      <w:tr w:rsidR="00D32C4D" w:rsidTr="002465D1">
        <w:trPr>
          <w:trHeight w:val="256"/>
        </w:trPr>
        <w:tc>
          <w:tcPr>
            <w:tcW w:w="7513" w:type="dxa"/>
          </w:tcPr>
          <w:p w:rsidR="00D32C4D" w:rsidRPr="00E73291" w:rsidRDefault="00D32C4D" w:rsidP="002465D1">
            <w:pPr>
              <w:rPr>
                <w:sz w:val="18"/>
                <w:szCs w:val="18"/>
              </w:rPr>
            </w:pPr>
            <w:r w:rsidRPr="00E73291">
              <w:rPr>
                <w:sz w:val="18"/>
                <w:szCs w:val="18"/>
              </w:rPr>
              <w:t xml:space="preserve">Transformation Challenge Award Grant </w:t>
            </w:r>
          </w:p>
        </w:tc>
        <w:tc>
          <w:tcPr>
            <w:tcW w:w="2977" w:type="dxa"/>
          </w:tcPr>
          <w:p w:rsidR="00D32C4D" w:rsidRPr="00E73291" w:rsidRDefault="00D32C4D" w:rsidP="002465D1">
            <w:pPr>
              <w:rPr>
                <w:sz w:val="18"/>
                <w:szCs w:val="18"/>
              </w:rPr>
            </w:pPr>
            <w:r w:rsidRPr="001D3DB1">
              <w:rPr>
                <w:sz w:val="18"/>
                <w:szCs w:val="18"/>
              </w:rPr>
              <w:t>£50,000,001- £100,000,000</w:t>
            </w:r>
          </w:p>
        </w:tc>
        <w:tc>
          <w:tcPr>
            <w:tcW w:w="1843" w:type="dxa"/>
          </w:tcPr>
          <w:p w:rsidR="00D32C4D" w:rsidRPr="00E73291" w:rsidRDefault="00D32C4D" w:rsidP="002465D1">
            <w:pPr>
              <w:rPr>
                <w:sz w:val="18"/>
                <w:szCs w:val="18"/>
              </w:rPr>
            </w:pPr>
            <w:r w:rsidRPr="00E73291">
              <w:rPr>
                <w:sz w:val="18"/>
                <w:szCs w:val="18"/>
              </w:rPr>
              <w:t>Revenue</w:t>
            </w:r>
          </w:p>
        </w:tc>
      </w:tr>
      <w:tr w:rsidR="00D32C4D" w:rsidTr="002465D1">
        <w:trPr>
          <w:trHeight w:val="256"/>
        </w:trPr>
        <w:tc>
          <w:tcPr>
            <w:tcW w:w="7513" w:type="dxa"/>
          </w:tcPr>
          <w:p w:rsidR="00D32C4D" w:rsidRPr="00E73291" w:rsidRDefault="00D32C4D" w:rsidP="002465D1">
            <w:pPr>
              <w:rPr>
                <w:sz w:val="18"/>
                <w:szCs w:val="18"/>
              </w:rPr>
            </w:pPr>
            <w:r w:rsidRPr="00E73291">
              <w:rPr>
                <w:sz w:val="18"/>
                <w:szCs w:val="18"/>
              </w:rPr>
              <w:t>Local Sustainable Transpo</w:t>
            </w:r>
            <w:r>
              <w:rPr>
                <w:sz w:val="18"/>
                <w:szCs w:val="18"/>
              </w:rPr>
              <w:t xml:space="preserve">rt Fund Grant determination </w:t>
            </w:r>
          </w:p>
        </w:tc>
        <w:tc>
          <w:tcPr>
            <w:tcW w:w="2977" w:type="dxa"/>
          </w:tcPr>
          <w:p w:rsidR="00D32C4D" w:rsidRPr="00E73291" w:rsidRDefault="00D32C4D" w:rsidP="002465D1">
            <w:pPr>
              <w:rPr>
                <w:sz w:val="18"/>
                <w:szCs w:val="18"/>
              </w:rPr>
            </w:pPr>
            <w:r>
              <w:rPr>
                <w:sz w:val="18"/>
                <w:szCs w:val="18"/>
              </w:rPr>
              <w:t>£50,000,001- £100,000,000</w:t>
            </w:r>
          </w:p>
        </w:tc>
        <w:tc>
          <w:tcPr>
            <w:tcW w:w="1843" w:type="dxa"/>
          </w:tcPr>
          <w:p w:rsidR="00D32C4D" w:rsidRPr="00E73291" w:rsidRDefault="00D32C4D" w:rsidP="002465D1">
            <w:pPr>
              <w:rPr>
                <w:sz w:val="18"/>
                <w:szCs w:val="18"/>
              </w:rPr>
            </w:pPr>
            <w:r>
              <w:rPr>
                <w:sz w:val="18"/>
                <w:szCs w:val="18"/>
              </w:rPr>
              <w:t>Revenue</w:t>
            </w:r>
          </w:p>
        </w:tc>
      </w:tr>
      <w:tr w:rsidR="00D32C4D" w:rsidTr="002465D1">
        <w:trPr>
          <w:trHeight w:val="256"/>
        </w:trPr>
        <w:tc>
          <w:tcPr>
            <w:tcW w:w="7513" w:type="dxa"/>
          </w:tcPr>
          <w:p w:rsidR="00D32C4D" w:rsidRPr="00E73291" w:rsidRDefault="00D32C4D" w:rsidP="002465D1">
            <w:pPr>
              <w:rPr>
                <w:sz w:val="18"/>
                <w:szCs w:val="18"/>
              </w:rPr>
            </w:pPr>
            <w:r w:rsidRPr="00E73291">
              <w:rPr>
                <w:sz w:val="18"/>
                <w:szCs w:val="18"/>
              </w:rPr>
              <w:t xml:space="preserve">Infrastructure Funds (Greater Manchester and Cambridge) </w:t>
            </w:r>
            <w:r>
              <w:rPr>
                <w:sz w:val="18"/>
                <w:szCs w:val="18"/>
              </w:rPr>
              <w:t>Capital Grant Determination</w:t>
            </w:r>
            <w:r w:rsidRPr="00E73291">
              <w:rPr>
                <w:sz w:val="18"/>
                <w:szCs w:val="18"/>
              </w:rPr>
              <w:t xml:space="preserve"> </w:t>
            </w:r>
          </w:p>
        </w:tc>
        <w:tc>
          <w:tcPr>
            <w:tcW w:w="2977" w:type="dxa"/>
          </w:tcPr>
          <w:p w:rsidR="00D32C4D" w:rsidRPr="00E73291" w:rsidRDefault="00D32C4D" w:rsidP="002465D1">
            <w:pPr>
              <w:rPr>
                <w:sz w:val="18"/>
                <w:szCs w:val="18"/>
              </w:rPr>
            </w:pPr>
            <w:r w:rsidRPr="007C6460">
              <w:rPr>
                <w:sz w:val="18"/>
                <w:szCs w:val="18"/>
              </w:rPr>
              <w:t>£30</w:t>
            </w:r>
            <w:r>
              <w:rPr>
                <w:sz w:val="18"/>
                <w:szCs w:val="18"/>
              </w:rPr>
              <w:t>,000,000</w:t>
            </w:r>
            <w:r w:rsidRPr="007C6460">
              <w:rPr>
                <w:sz w:val="18"/>
                <w:szCs w:val="18"/>
              </w:rPr>
              <w:t>- £50,000,000</w:t>
            </w:r>
          </w:p>
        </w:tc>
        <w:tc>
          <w:tcPr>
            <w:tcW w:w="1843" w:type="dxa"/>
          </w:tcPr>
          <w:p w:rsidR="00D32C4D" w:rsidRPr="00E73291" w:rsidRDefault="00D32C4D" w:rsidP="002465D1">
            <w:pPr>
              <w:rPr>
                <w:sz w:val="18"/>
                <w:szCs w:val="18"/>
              </w:rPr>
            </w:pPr>
            <w:r>
              <w:rPr>
                <w:sz w:val="18"/>
                <w:szCs w:val="18"/>
              </w:rPr>
              <w:t>Capital</w:t>
            </w:r>
          </w:p>
        </w:tc>
      </w:tr>
      <w:tr w:rsidR="00D32C4D" w:rsidTr="002465D1">
        <w:trPr>
          <w:trHeight w:val="256"/>
        </w:trPr>
        <w:tc>
          <w:tcPr>
            <w:tcW w:w="7513" w:type="dxa"/>
          </w:tcPr>
          <w:p w:rsidR="00D32C4D" w:rsidRPr="00E73291" w:rsidRDefault="00D32C4D" w:rsidP="002465D1">
            <w:pPr>
              <w:rPr>
                <w:sz w:val="18"/>
                <w:szCs w:val="18"/>
              </w:rPr>
            </w:pPr>
            <w:r>
              <w:rPr>
                <w:sz w:val="18"/>
                <w:szCs w:val="18"/>
              </w:rPr>
              <w:t xml:space="preserve">Innovation Programme Grant determination </w:t>
            </w:r>
          </w:p>
        </w:tc>
        <w:tc>
          <w:tcPr>
            <w:tcW w:w="2977" w:type="dxa"/>
          </w:tcPr>
          <w:p w:rsidR="00D32C4D" w:rsidRPr="00E73291" w:rsidRDefault="00D32C4D" w:rsidP="002465D1">
            <w:pPr>
              <w:rPr>
                <w:sz w:val="18"/>
                <w:szCs w:val="18"/>
              </w:rPr>
            </w:pPr>
            <w:r w:rsidRPr="007C6460">
              <w:rPr>
                <w:sz w:val="18"/>
                <w:szCs w:val="18"/>
              </w:rPr>
              <w:t>£30,000,000- £50,000,000</w:t>
            </w:r>
          </w:p>
        </w:tc>
        <w:tc>
          <w:tcPr>
            <w:tcW w:w="1843" w:type="dxa"/>
          </w:tcPr>
          <w:p w:rsidR="00D32C4D" w:rsidRPr="00E73291" w:rsidRDefault="00D32C4D" w:rsidP="002465D1">
            <w:pPr>
              <w:rPr>
                <w:sz w:val="18"/>
                <w:szCs w:val="18"/>
              </w:rPr>
            </w:pPr>
            <w:r>
              <w:rPr>
                <w:sz w:val="18"/>
                <w:szCs w:val="18"/>
              </w:rPr>
              <w:t>Revenue</w:t>
            </w:r>
          </w:p>
        </w:tc>
      </w:tr>
      <w:tr w:rsidR="00D32C4D" w:rsidTr="002465D1">
        <w:trPr>
          <w:trHeight w:val="256"/>
        </w:trPr>
        <w:tc>
          <w:tcPr>
            <w:tcW w:w="7513" w:type="dxa"/>
          </w:tcPr>
          <w:p w:rsidR="00D32C4D" w:rsidRPr="00E73291" w:rsidRDefault="00D32C4D" w:rsidP="002465D1">
            <w:pPr>
              <w:rPr>
                <w:sz w:val="18"/>
                <w:szCs w:val="18"/>
              </w:rPr>
            </w:pPr>
            <w:r>
              <w:rPr>
                <w:sz w:val="18"/>
                <w:szCs w:val="18"/>
              </w:rPr>
              <w:t xml:space="preserve">Special Educational Needs and Disability reforms </w:t>
            </w:r>
          </w:p>
        </w:tc>
        <w:tc>
          <w:tcPr>
            <w:tcW w:w="2977" w:type="dxa"/>
          </w:tcPr>
          <w:p w:rsidR="00D32C4D" w:rsidRPr="00E73291" w:rsidRDefault="00D32C4D" w:rsidP="002465D1">
            <w:pPr>
              <w:rPr>
                <w:sz w:val="18"/>
                <w:szCs w:val="18"/>
              </w:rPr>
            </w:pPr>
            <w:r w:rsidRPr="007C6460">
              <w:rPr>
                <w:sz w:val="18"/>
                <w:szCs w:val="18"/>
              </w:rPr>
              <w:t>£30,000,000- £50,000,000</w:t>
            </w:r>
          </w:p>
        </w:tc>
        <w:tc>
          <w:tcPr>
            <w:tcW w:w="1843" w:type="dxa"/>
          </w:tcPr>
          <w:p w:rsidR="00D32C4D" w:rsidRPr="00E73291" w:rsidRDefault="00D32C4D" w:rsidP="002465D1">
            <w:pPr>
              <w:rPr>
                <w:sz w:val="18"/>
                <w:szCs w:val="18"/>
              </w:rPr>
            </w:pPr>
            <w:r>
              <w:rPr>
                <w:sz w:val="18"/>
                <w:szCs w:val="18"/>
              </w:rPr>
              <w:t>Revenue</w:t>
            </w:r>
          </w:p>
        </w:tc>
      </w:tr>
      <w:tr w:rsidR="00D32C4D" w:rsidTr="002465D1">
        <w:trPr>
          <w:trHeight w:val="256"/>
        </w:trPr>
        <w:tc>
          <w:tcPr>
            <w:tcW w:w="7513" w:type="dxa"/>
          </w:tcPr>
          <w:p w:rsidR="00D32C4D" w:rsidRDefault="00D32C4D" w:rsidP="002465D1">
            <w:pPr>
              <w:rPr>
                <w:sz w:val="18"/>
                <w:szCs w:val="18"/>
              </w:rPr>
            </w:pPr>
            <w:r>
              <w:rPr>
                <w:sz w:val="18"/>
                <w:szCs w:val="18"/>
              </w:rPr>
              <w:t>SEN and disability implementation</w:t>
            </w:r>
          </w:p>
        </w:tc>
        <w:tc>
          <w:tcPr>
            <w:tcW w:w="2977" w:type="dxa"/>
          </w:tcPr>
          <w:p w:rsidR="00D32C4D" w:rsidRDefault="00D32C4D" w:rsidP="002465D1">
            <w:pPr>
              <w:rPr>
                <w:sz w:val="18"/>
                <w:szCs w:val="18"/>
              </w:rPr>
            </w:pPr>
            <w:r>
              <w:rPr>
                <w:sz w:val="18"/>
                <w:szCs w:val="18"/>
              </w:rPr>
              <w:t>£30,000,000- £50,000,000</w:t>
            </w:r>
          </w:p>
        </w:tc>
        <w:tc>
          <w:tcPr>
            <w:tcW w:w="1843" w:type="dxa"/>
          </w:tcPr>
          <w:p w:rsidR="00D32C4D" w:rsidRDefault="00D32C4D" w:rsidP="002465D1">
            <w:pPr>
              <w:rPr>
                <w:sz w:val="18"/>
                <w:szCs w:val="18"/>
              </w:rPr>
            </w:pPr>
            <w:r>
              <w:rPr>
                <w:sz w:val="18"/>
                <w:szCs w:val="18"/>
              </w:rPr>
              <w:t>Revenue</w:t>
            </w:r>
          </w:p>
        </w:tc>
      </w:tr>
    </w:tbl>
    <w:p w:rsidR="003733C6" w:rsidRPr="003733C6" w:rsidRDefault="003733C6" w:rsidP="003733C6">
      <w:pPr>
        <w:spacing w:after="240" w:line="252" w:lineRule="auto"/>
        <w:jc w:val="both"/>
        <w:rPr>
          <w:b/>
          <w:sz w:val="22"/>
          <w:szCs w:val="22"/>
        </w:rPr>
      </w:pPr>
    </w:p>
    <w:sectPr w:rsidR="003733C6" w:rsidRPr="003733C6" w:rsidSect="003733C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03FE" w:rsidRDefault="00B303FE" w:rsidP="00056850">
      <w:pPr>
        <w:spacing w:after="0" w:line="240" w:lineRule="auto"/>
      </w:pPr>
      <w:r>
        <w:separator/>
      </w:r>
    </w:p>
  </w:endnote>
  <w:endnote w:type="continuationSeparator" w:id="0">
    <w:p w:rsidR="00B303FE" w:rsidRDefault="00B303FE" w:rsidP="000568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6850" w:rsidRDefault="0005685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6850" w:rsidRDefault="0005685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6850" w:rsidRDefault="000568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03FE" w:rsidRDefault="00B303FE" w:rsidP="00056850">
      <w:pPr>
        <w:spacing w:after="0" w:line="240" w:lineRule="auto"/>
      </w:pPr>
      <w:r>
        <w:separator/>
      </w:r>
    </w:p>
  </w:footnote>
  <w:footnote w:type="continuationSeparator" w:id="0">
    <w:p w:rsidR="00B303FE" w:rsidRDefault="00B303FE" w:rsidP="000568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6850" w:rsidRDefault="0005685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2D23" w:rsidRPr="00CE495B" w:rsidRDefault="00142D23" w:rsidP="00E500BF">
    <w:pPr>
      <w:pStyle w:val="Header"/>
      <w:jc w:val="center"/>
      <w:rPr>
        <w:sz w:val="20"/>
        <w:szCs w:val="20"/>
      </w:rPr>
    </w:pPr>
    <w:r w:rsidRPr="00CE495B">
      <w:rPr>
        <w:sz w:val="20"/>
        <w:szCs w:val="20"/>
      </w:rPr>
      <w:t>POLICY DEVELOPMENT: NOT A STATEMENT OF GOVERNMENT POLICY</w:t>
    </w:r>
  </w:p>
  <w:p w:rsidR="00056850" w:rsidRPr="00CE495B" w:rsidRDefault="00056850">
    <w:pPr>
      <w:pStyle w:val="Header"/>
      <w:rPr>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6850" w:rsidRDefault="0005685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C17CE"/>
    <w:multiLevelType w:val="hybridMultilevel"/>
    <w:tmpl w:val="F72046EA"/>
    <w:lvl w:ilvl="0" w:tplc="429CC256">
      <w:start w:val="2"/>
      <w:numFmt w:val="decimal"/>
      <w:lvlText w:val="%1."/>
      <w:lvlJc w:val="left"/>
      <w:pPr>
        <w:ind w:left="36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5C66"/>
    <w:multiLevelType w:val="hybridMultilevel"/>
    <w:tmpl w:val="DF9844B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8E44BD"/>
    <w:multiLevelType w:val="hybridMultilevel"/>
    <w:tmpl w:val="EF043358"/>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BA86DDB"/>
    <w:multiLevelType w:val="hybridMultilevel"/>
    <w:tmpl w:val="533E0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3E4A8A"/>
    <w:multiLevelType w:val="hybridMultilevel"/>
    <w:tmpl w:val="01C65892"/>
    <w:lvl w:ilvl="0" w:tplc="08090013">
      <w:start w:val="1"/>
      <w:numFmt w:val="upperRoman"/>
      <w:lvlText w:val="%1."/>
      <w:lvlJc w:val="right"/>
      <w:pPr>
        <w:ind w:left="1146" w:hanging="360"/>
      </w:pPr>
    </w:lvl>
    <w:lvl w:ilvl="1" w:tplc="08090019">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5" w15:restartNumberingAfterBreak="0">
    <w:nsid w:val="0C7520B4"/>
    <w:multiLevelType w:val="multilevel"/>
    <w:tmpl w:val="2B3879C8"/>
    <w:lvl w:ilvl="0">
      <w:start w:val="1"/>
      <w:numFmt w:val="decimal"/>
      <w:lvlText w:val="%1."/>
      <w:lvlJc w:val="left"/>
      <w:pPr>
        <w:ind w:left="360" w:hanging="360"/>
      </w:pPr>
      <w:rPr>
        <w:b/>
      </w:rPr>
    </w:lvl>
    <w:lvl w:ilvl="1">
      <w:start w:val="1"/>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14577D00"/>
    <w:multiLevelType w:val="hybridMultilevel"/>
    <w:tmpl w:val="5BA8C866"/>
    <w:lvl w:ilvl="0" w:tplc="7808367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6E64A5"/>
    <w:multiLevelType w:val="hybridMultilevel"/>
    <w:tmpl w:val="2C9A6F2C"/>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7902D30"/>
    <w:multiLevelType w:val="hybridMultilevel"/>
    <w:tmpl w:val="7122C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E34278"/>
    <w:multiLevelType w:val="hybridMultilevel"/>
    <w:tmpl w:val="92F6813A"/>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10C00ED"/>
    <w:multiLevelType w:val="multilevel"/>
    <w:tmpl w:val="653ACC46"/>
    <w:lvl w:ilvl="0">
      <w:start w:val="3"/>
      <w:numFmt w:val="decimal"/>
      <w:lvlText w:val="%1."/>
      <w:lvlJc w:val="left"/>
      <w:pPr>
        <w:ind w:left="360" w:hanging="360"/>
      </w:pPr>
      <w:rPr>
        <w:rFonts w:hint="default"/>
        <w:b/>
      </w:rPr>
    </w:lvl>
    <w:lvl w:ilvl="1">
      <w:start w:val="20"/>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287B3AEF"/>
    <w:multiLevelType w:val="hybridMultilevel"/>
    <w:tmpl w:val="6BB68CD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DE03B0"/>
    <w:multiLevelType w:val="hybridMultilevel"/>
    <w:tmpl w:val="6646FB70"/>
    <w:lvl w:ilvl="0" w:tplc="AA9EF07A">
      <w:start w:val="2"/>
      <w:numFmt w:val="decimal"/>
      <w:lvlText w:val="%1."/>
      <w:lvlJc w:val="left"/>
      <w:pPr>
        <w:ind w:left="36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63662B"/>
    <w:multiLevelType w:val="hybridMultilevel"/>
    <w:tmpl w:val="8FCE3CD2"/>
    <w:lvl w:ilvl="0" w:tplc="7808367C">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FE02D63"/>
    <w:multiLevelType w:val="hybridMultilevel"/>
    <w:tmpl w:val="C682E00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401A6BCD"/>
    <w:multiLevelType w:val="multilevel"/>
    <w:tmpl w:val="FF64403A"/>
    <w:lvl w:ilvl="0">
      <w:start w:val="2"/>
      <w:numFmt w:val="decimal"/>
      <w:lvlText w:val="%1."/>
      <w:lvlJc w:val="left"/>
      <w:pPr>
        <w:ind w:left="360" w:hanging="360"/>
      </w:pPr>
      <w:rPr>
        <w:rFonts w:hint="default"/>
        <w:b/>
      </w:rPr>
    </w:lvl>
    <w:lvl w:ilvl="1">
      <w:start w:val="20"/>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41081943"/>
    <w:multiLevelType w:val="hybridMultilevel"/>
    <w:tmpl w:val="CF30F144"/>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20F083F"/>
    <w:multiLevelType w:val="hybridMultilevel"/>
    <w:tmpl w:val="01C65892"/>
    <w:lvl w:ilvl="0" w:tplc="08090013">
      <w:start w:val="1"/>
      <w:numFmt w:val="upperRoman"/>
      <w:lvlText w:val="%1."/>
      <w:lvlJc w:val="right"/>
      <w:pPr>
        <w:ind w:left="1146" w:hanging="360"/>
      </w:pPr>
    </w:lvl>
    <w:lvl w:ilvl="1" w:tplc="08090019">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8" w15:restartNumberingAfterBreak="0">
    <w:nsid w:val="44DB4B29"/>
    <w:multiLevelType w:val="multilevel"/>
    <w:tmpl w:val="1CC40A1C"/>
    <w:lvl w:ilvl="0">
      <w:start w:val="1"/>
      <w:numFmt w:val="decimal"/>
      <w:lvlText w:val="%1."/>
      <w:lvlJc w:val="left"/>
      <w:pPr>
        <w:ind w:left="360" w:hanging="360"/>
      </w:pPr>
    </w:lvl>
    <w:lvl w:ilvl="1">
      <w:start w:val="1"/>
      <w:numFmt w:val="decimal"/>
      <w:lvlText w:val="%1.%2."/>
      <w:lvlJc w:val="left"/>
      <w:pPr>
        <w:ind w:left="432" w:hanging="432"/>
      </w:pPr>
      <w:rPr>
        <w:b w:val="0"/>
        <w:i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60155B1"/>
    <w:multiLevelType w:val="multilevel"/>
    <w:tmpl w:val="9A9E1A10"/>
    <w:lvl w:ilvl="0">
      <w:start w:val="1"/>
      <w:numFmt w:val="decimal"/>
      <w:lvlText w:val="%1."/>
      <w:lvlJc w:val="left"/>
      <w:pPr>
        <w:ind w:left="375" w:hanging="360"/>
      </w:pPr>
      <w:rPr>
        <w:rFonts w:hint="default"/>
        <w:b/>
      </w:rPr>
    </w:lvl>
    <w:lvl w:ilvl="1">
      <w:start w:val="1"/>
      <w:numFmt w:val="decimal"/>
      <w:isLgl/>
      <w:lvlText w:val="%1.%2"/>
      <w:lvlJc w:val="left"/>
      <w:pPr>
        <w:ind w:left="801" w:hanging="375"/>
      </w:pPr>
      <w:rPr>
        <w:rFonts w:hint="default"/>
        <w:b w:val="0"/>
      </w:rPr>
    </w:lvl>
    <w:lvl w:ilvl="2">
      <w:start w:val="1"/>
      <w:numFmt w:val="decimal"/>
      <w:isLgl/>
      <w:lvlText w:val="%1.%2.%3"/>
      <w:lvlJc w:val="left"/>
      <w:pPr>
        <w:ind w:left="1389" w:hanging="720"/>
      </w:pPr>
      <w:rPr>
        <w:rFonts w:hint="default"/>
      </w:rPr>
    </w:lvl>
    <w:lvl w:ilvl="3">
      <w:start w:val="1"/>
      <w:numFmt w:val="decimal"/>
      <w:isLgl/>
      <w:lvlText w:val="%1.%2.%3.%4"/>
      <w:lvlJc w:val="left"/>
      <w:pPr>
        <w:ind w:left="2076" w:hanging="1080"/>
      </w:pPr>
      <w:rPr>
        <w:rFonts w:hint="default"/>
      </w:rPr>
    </w:lvl>
    <w:lvl w:ilvl="4">
      <w:start w:val="1"/>
      <w:numFmt w:val="decimal"/>
      <w:isLgl/>
      <w:lvlText w:val="%1.%2.%3.%4.%5"/>
      <w:lvlJc w:val="left"/>
      <w:pPr>
        <w:ind w:left="2403" w:hanging="1080"/>
      </w:pPr>
      <w:rPr>
        <w:rFonts w:hint="default"/>
      </w:rPr>
    </w:lvl>
    <w:lvl w:ilvl="5">
      <w:start w:val="1"/>
      <w:numFmt w:val="decimal"/>
      <w:isLgl/>
      <w:lvlText w:val="%1.%2.%3.%4.%5.%6"/>
      <w:lvlJc w:val="left"/>
      <w:pPr>
        <w:ind w:left="3090" w:hanging="1440"/>
      </w:pPr>
      <w:rPr>
        <w:rFonts w:hint="default"/>
      </w:rPr>
    </w:lvl>
    <w:lvl w:ilvl="6">
      <w:start w:val="1"/>
      <w:numFmt w:val="decimal"/>
      <w:isLgl/>
      <w:lvlText w:val="%1.%2.%3.%4.%5.%6.%7"/>
      <w:lvlJc w:val="left"/>
      <w:pPr>
        <w:ind w:left="3417" w:hanging="1440"/>
      </w:pPr>
      <w:rPr>
        <w:rFonts w:hint="default"/>
      </w:rPr>
    </w:lvl>
    <w:lvl w:ilvl="7">
      <w:start w:val="1"/>
      <w:numFmt w:val="decimal"/>
      <w:isLgl/>
      <w:lvlText w:val="%1.%2.%3.%4.%5.%6.%7.%8"/>
      <w:lvlJc w:val="left"/>
      <w:pPr>
        <w:ind w:left="4104" w:hanging="1800"/>
      </w:pPr>
      <w:rPr>
        <w:rFonts w:hint="default"/>
      </w:rPr>
    </w:lvl>
    <w:lvl w:ilvl="8">
      <w:start w:val="1"/>
      <w:numFmt w:val="decimal"/>
      <w:isLgl/>
      <w:lvlText w:val="%1.%2.%3.%4.%5.%6.%7.%8.%9"/>
      <w:lvlJc w:val="left"/>
      <w:pPr>
        <w:ind w:left="4431" w:hanging="1800"/>
      </w:pPr>
      <w:rPr>
        <w:rFonts w:hint="default"/>
      </w:rPr>
    </w:lvl>
  </w:abstractNum>
  <w:abstractNum w:abstractNumId="20" w15:restartNumberingAfterBreak="0">
    <w:nsid w:val="46F44D65"/>
    <w:multiLevelType w:val="hybridMultilevel"/>
    <w:tmpl w:val="C226BCC0"/>
    <w:lvl w:ilvl="0" w:tplc="7808367C">
      <w:start w:val="1"/>
      <w:numFmt w:val="decimal"/>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7CE64FC"/>
    <w:multiLevelType w:val="hybridMultilevel"/>
    <w:tmpl w:val="4FB425FA"/>
    <w:lvl w:ilvl="0" w:tplc="61D23CEE">
      <w:start w:val="3"/>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81A63EB"/>
    <w:multiLevelType w:val="hybridMultilevel"/>
    <w:tmpl w:val="011CDB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B123888"/>
    <w:multiLevelType w:val="hybridMultilevel"/>
    <w:tmpl w:val="E006CB0C"/>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69FC31C4"/>
    <w:multiLevelType w:val="multilevel"/>
    <w:tmpl w:val="2B3879C8"/>
    <w:lvl w:ilvl="0">
      <w:start w:val="1"/>
      <w:numFmt w:val="decimal"/>
      <w:lvlText w:val="%1."/>
      <w:lvlJc w:val="left"/>
      <w:pPr>
        <w:ind w:left="360" w:hanging="360"/>
      </w:pPr>
      <w:rPr>
        <w:b/>
      </w:rPr>
    </w:lvl>
    <w:lvl w:ilvl="1">
      <w:start w:val="1"/>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5" w15:restartNumberingAfterBreak="0">
    <w:nsid w:val="6B4501B6"/>
    <w:multiLevelType w:val="hybridMultilevel"/>
    <w:tmpl w:val="9880C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65748C"/>
    <w:multiLevelType w:val="hybridMultilevel"/>
    <w:tmpl w:val="E4B24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0C921AF"/>
    <w:multiLevelType w:val="hybridMultilevel"/>
    <w:tmpl w:val="4D4A7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8E53920"/>
    <w:multiLevelType w:val="hybridMultilevel"/>
    <w:tmpl w:val="915015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796325BD"/>
    <w:multiLevelType w:val="multilevel"/>
    <w:tmpl w:val="1CC40A1C"/>
    <w:lvl w:ilvl="0">
      <w:start w:val="1"/>
      <w:numFmt w:val="decimal"/>
      <w:lvlText w:val="%1."/>
      <w:lvlJc w:val="left"/>
      <w:pPr>
        <w:ind w:left="360" w:hanging="360"/>
      </w:pPr>
    </w:lvl>
    <w:lvl w:ilvl="1">
      <w:start w:val="1"/>
      <w:numFmt w:val="decimal"/>
      <w:lvlText w:val="%1.%2."/>
      <w:lvlJc w:val="left"/>
      <w:pPr>
        <w:ind w:left="432" w:hanging="432"/>
      </w:pPr>
      <w:rPr>
        <w:b w:val="0"/>
        <w:i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CF352C8"/>
    <w:multiLevelType w:val="hybridMultilevel"/>
    <w:tmpl w:val="130029F2"/>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7DF44AB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18"/>
  </w:num>
  <w:num w:numId="3">
    <w:abstractNumId w:val="29"/>
  </w:num>
  <w:num w:numId="4">
    <w:abstractNumId w:val="28"/>
  </w:num>
  <w:num w:numId="5">
    <w:abstractNumId w:val="20"/>
  </w:num>
  <w:num w:numId="6">
    <w:abstractNumId w:val="12"/>
  </w:num>
  <w:num w:numId="7">
    <w:abstractNumId w:val="19"/>
  </w:num>
  <w:num w:numId="8">
    <w:abstractNumId w:val="0"/>
  </w:num>
  <w:num w:numId="9">
    <w:abstractNumId w:val="24"/>
  </w:num>
  <w:num w:numId="10">
    <w:abstractNumId w:val="15"/>
  </w:num>
  <w:num w:numId="11">
    <w:abstractNumId w:val="10"/>
  </w:num>
  <w:num w:numId="12">
    <w:abstractNumId w:val="6"/>
  </w:num>
  <w:num w:numId="13">
    <w:abstractNumId w:val="26"/>
  </w:num>
  <w:num w:numId="14">
    <w:abstractNumId w:val="25"/>
  </w:num>
  <w:num w:numId="15">
    <w:abstractNumId w:val="2"/>
  </w:num>
  <w:num w:numId="16">
    <w:abstractNumId w:val="30"/>
  </w:num>
  <w:num w:numId="17">
    <w:abstractNumId w:val="14"/>
  </w:num>
  <w:num w:numId="18">
    <w:abstractNumId w:val="21"/>
  </w:num>
  <w:num w:numId="19">
    <w:abstractNumId w:val="3"/>
  </w:num>
  <w:num w:numId="20">
    <w:abstractNumId w:val="22"/>
  </w:num>
  <w:num w:numId="21">
    <w:abstractNumId w:val="8"/>
  </w:num>
  <w:num w:numId="22">
    <w:abstractNumId w:val="11"/>
  </w:num>
  <w:num w:numId="23">
    <w:abstractNumId w:val="27"/>
  </w:num>
  <w:num w:numId="24">
    <w:abstractNumId w:val="13"/>
  </w:num>
  <w:num w:numId="25">
    <w:abstractNumId w:val="31"/>
  </w:num>
  <w:num w:numId="26">
    <w:abstractNumId w:val="23"/>
  </w:num>
  <w:num w:numId="27">
    <w:abstractNumId w:val="17"/>
  </w:num>
  <w:num w:numId="28">
    <w:abstractNumId w:val="1"/>
  </w:num>
  <w:num w:numId="29">
    <w:abstractNumId w:val="16"/>
  </w:num>
  <w:num w:numId="30">
    <w:abstractNumId w:val="7"/>
  </w:num>
  <w:num w:numId="31">
    <w:abstractNumId w:val="9"/>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2D23"/>
    <w:rsid w:val="000100CA"/>
    <w:rsid w:val="000123E6"/>
    <w:rsid w:val="00014384"/>
    <w:rsid w:val="00023366"/>
    <w:rsid w:val="0002393B"/>
    <w:rsid w:val="000410E1"/>
    <w:rsid w:val="00056850"/>
    <w:rsid w:val="000E1E04"/>
    <w:rsid w:val="000E1E41"/>
    <w:rsid w:val="000E409D"/>
    <w:rsid w:val="00115C7D"/>
    <w:rsid w:val="00121D82"/>
    <w:rsid w:val="00142D23"/>
    <w:rsid w:val="001504C6"/>
    <w:rsid w:val="00150EB6"/>
    <w:rsid w:val="00162171"/>
    <w:rsid w:val="001A6D47"/>
    <w:rsid w:val="002145A1"/>
    <w:rsid w:val="0023016F"/>
    <w:rsid w:val="00240668"/>
    <w:rsid w:val="00245AC9"/>
    <w:rsid w:val="0025501A"/>
    <w:rsid w:val="00256628"/>
    <w:rsid w:val="00286CE6"/>
    <w:rsid w:val="00287600"/>
    <w:rsid w:val="00295545"/>
    <w:rsid w:val="002C52E0"/>
    <w:rsid w:val="002D4E02"/>
    <w:rsid w:val="00315E4F"/>
    <w:rsid w:val="003733C6"/>
    <w:rsid w:val="0037460B"/>
    <w:rsid w:val="003B0B47"/>
    <w:rsid w:val="003C3BEC"/>
    <w:rsid w:val="003C4B88"/>
    <w:rsid w:val="003C747E"/>
    <w:rsid w:val="003E1878"/>
    <w:rsid w:val="00402A9A"/>
    <w:rsid w:val="00451119"/>
    <w:rsid w:val="00491A78"/>
    <w:rsid w:val="004B05E0"/>
    <w:rsid w:val="004B5555"/>
    <w:rsid w:val="004D578B"/>
    <w:rsid w:val="004E0DF4"/>
    <w:rsid w:val="00525CD2"/>
    <w:rsid w:val="00554ACA"/>
    <w:rsid w:val="005D0F81"/>
    <w:rsid w:val="005D373D"/>
    <w:rsid w:val="005E2BA1"/>
    <w:rsid w:val="005E72FD"/>
    <w:rsid w:val="00603476"/>
    <w:rsid w:val="00630A66"/>
    <w:rsid w:val="00634A3B"/>
    <w:rsid w:val="006522F7"/>
    <w:rsid w:val="00666DE4"/>
    <w:rsid w:val="006A1915"/>
    <w:rsid w:val="007332EC"/>
    <w:rsid w:val="00737831"/>
    <w:rsid w:val="00741E88"/>
    <w:rsid w:val="0078256D"/>
    <w:rsid w:val="00792A4B"/>
    <w:rsid w:val="007C1F24"/>
    <w:rsid w:val="007E55D2"/>
    <w:rsid w:val="007F1BF8"/>
    <w:rsid w:val="00811F9A"/>
    <w:rsid w:val="0088703E"/>
    <w:rsid w:val="008C2E0B"/>
    <w:rsid w:val="008D5A40"/>
    <w:rsid w:val="008E310B"/>
    <w:rsid w:val="008F2146"/>
    <w:rsid w:val="00911371"/>
    <w:rsid w:val="00914946"/>
    <w:rsid w:val="00970F93"/>
    <w:rsid w:val="009938CD"/>
    <w:rsid w:val="009B55B2"/>
    <w:rsid w:val="00A359F2"/>
    <w:rsid w:val="00A6385B"/>
    <w:rsid w:val="00A75760"/>
    <w:rsid w:val="00AA70A3"/>
    <w:rsid w:val="00AB4C8B"/>
    <w:rsid w:val="00AC2712"/>
    <w:rsid w:val="00AF3247"/>
    <w:rsid w:val="00B1223D"/>
    <w:rsid w:val="00B12D55"/>
    <w:rsid w:val="00B2735E"/>
    <w:rsid w:val="00B303FE"/>
    <w:rsid w:val="00B33536"/>
    <w:rsid w:val="00B4417F"/>
    <w:rsid w:val="00B61BDD"/>
    <w:rsid w:val="00B850E9"/>
    <w:rsid w:val="00BA7B6E"/>
    <w:rsid w:val="00BD6B02"/>
    <w:rsid w:val="00BE1B2C"/>
    <w:rsid w:val="00C047F2"/>
    <w:rsid w:val="00C17767"/>
    <w:rsid w:val="00C339FD"/>
    <w:rsid w:val="00C82AB6"/>
    <w:rsid w:val="00CE495B"/>
    <w:rsid w:val="00D32C4D"/>
    <w:rsid w:val="00D333E5"/>
    <w:rsid w:val="00D524D0"/>
    <w:rsid w:val="00D966F6"/>
    <w:rsid w:val="00DA6B8B"/>
    <w:rsid w:val="00E069D2"/>
    <w:rsid w:val="00E41AA3"/>
    <w:rsid w:val="00E500BF"/>
    <w:rsid w:val="00E77465"/>
    <w:rsid w:val="00F76EDA"/>
    <w:rsid w:val="00F94A4D"/>
    <w:rsid w:val="00FE23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54033A4D-295C-4BB5-B964-B98B373D0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68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6850"/>
  </w:style>
  <w:style w:type="paragraph" w:styleId="Footer">
    <w:name w:val="footer"/>
    <w:basedOn w:val="Normal"/>
    <w:link w:val="FooterChar"/>
    <w:uiPriority w:val="99"/>
    <w:unhideWhenUsed/>
    <w:rsid w:val="000568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6850"/>
  </w:style>
  <w:style w:type="paragraph" w:styleId="BalloonText">
    <w:name w:val="Balloon Text"/>
    <w:basedOn w:val="Normal"/>
    <w:link w:val="BalloonTextChar"/>
    <w:uiPriority w:val="99"/>
    <w:semiHidden/>
    <w:unhideWhenUsed/>
    <w:rsid w:val="00142D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2D23"/>
    <w:rPr>
      <w:rFonts w:ascii="Tahoma" w:hAnsi="Tahoma" w:cs="Tahoma"/>
      <w:sz w:val="16"/>
      <w:szCs w:val="16"/>
    </w:rPr>
  </w:style>
  <w:style w:type="paragraph" w:styleId="ListParagraph">
    <w:name w:val="List Paragraph"/>
    <w:aliases w:val="Dot pt,No Spacing1,List Paragraph Char Char Char,Indicator Text,Numbered Para 1,Bullet 1,List Paragraph1,F5 List Paragraph,Bullet Points,MAIN CONTENT"/>
    <w:basedOn w:val="Normal"/>
    <w:link w:val="ListParagraphChar"/>
    <w:uiPriority w:val="34"/>
    <w:qFormat/>
    <w:rsid w:val="00142D23"/>
    <w:pPr>
      <w:ind w:left="720"/>
      <w:contextualSpacing/>
    </w:p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
    <w:basedOn w:val="DefaultParagraphFont"/>
    <w:link w:val="ListParagraph"/>
    <w:uiPriority w:val="34"/>
    <w:locked/>
    <w:rsid w:val="00142D23"/>
  </w:style>
  <w:style w:type="table" w:styleId="TableGrid">
    <w:name w:val="Table Grid"/>
    <w:basedOn w:val="TableNormal"/>
    <w:uiPriority w:val="59"/>
    <w:rsid w:val="008D5A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32C4D"/>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03476"/>
    <w:rPr>
      <w:sz w:val="16"/>
      <w:szCs w:val="16"/>
    </w:rPr>
  </w:style>
  <w:style w:type="paragraph" w:styleId="CommentText">
    <w:name w:val="annotation text"/>
    <w:basedOn w:val="Normal"/>
    <w:link w:val="CommentTextChar"/>
    <w:uiPriority w:val="99"/>
    <w:semiHidden/>
    <w:unhideWhenUsed/>
    <w:rsid w:val="00603476"/>
    <w:pPr>
      <w:spacing w:line="240" w:lineRule="auto"/>
    </w:pPr>
    <w:rPr>
      <w:sz w:val="20"/>
      <w:szCs w:val="20"/>
    </w:rPr>
  </w:style>
  <w:style w:type="character" w:customStyle="1" w:styleId="CommentTextChar">
    <w:name w:val="Comment Text Char"/>
    <w:basedOn w:val="DefaultParagraphFont"/>
    <w:link w:val="CommentText"/>
    <w:uiPriority w:val="99"/>
    <w:semiHidden/>
    <w:rsid w:val="00603476"/>
    <w:rPr>
      <w:sz w:val="20"/>
      <w:szCs w:val="20"/>
    </w:rPr>
  </w:style>
  <w:style w:type="paragraph" w:styleId="CommentSubject">
    <w:name w:val="annotation subject"/>
    <w:basedOn w:val="CommentText"/>
    <w:next w:val="CommentText"/>
    <w:link w:val="CommentSubjectChar"/>
    <w:uiPriority w:val="99"/>
    <w:semiHidden/>
    <w:unhideWhenUsed/>
    <w:rsid w:val="00603476"/>
    <w:rPr>
      <w:b/>
      <w:bCs/>
    </w:rPr>
  </w:style>
  <w:style w:type="character" w:customStyle="1" w:styleId="CommentSubjectChar">
    <w:name w:val="Comment Subject Char"/>
    <w:basedOn w:val="CommentTextChar"/>
    <w:link w:val="CommentSubject"/>
    <w:uiPriority w:val="99"/>
    <w:semiHidden/>
    <w:rsid w:val="0060347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8270c081-d9f3-48ae-83c7-c2320a8ca25c"/>
</file>

<file path=customXml/itemProps1.xml><?xml version="1.0" encoding="utf-8"?>
<ds:datastoreItem xmlns:ds="http://schemas.openxmlformats.org/officeDocument/2006/customXml" ds:itemID="{6E276E55-DC48-499E-B4DE-D8D60DFC455E}">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AED7BC9B</Template>
  <TotalTime>4</TotalTime>
  <Pages>7</Pages>
  <Words>2298</Words>
  <Characters>13104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Department for Communities and Local Government</Company>
  <LinksUpToDate>false</LinksUpToDate>
  <CharactersWithSpaces>15372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Denning</dc:creator>
  <cp:lastModifiedBy>Patrick McDermott</cp:lastModifiedBy>
  <cp:revision>4</cp:revision>
  <cp:lastPrinted>2017-11-01T17:06:00Z</cp:lastPrinted>
  <dcterms:created xsi:type="dcterms:W3CDTF">2017-11-21T10:52:00Z</dcterms:created>
  <dcterms:modified xsi:type="dcterms:W3CDTF">2017-11-23T11:39:00Z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8ae02bbc-6c7c-412b-9488-a933f571f8f2</vt:lpwstr>
  </property>
  <property fmtid="{D5CDD505-2E9C-101B-9397-08002B2CF9AE}" pid="3" name="bjSaver">
    <vt:lpwstr>ENXZPoP1kcGG5dWvxtgXTGq2MOFOz+mL</vt:lpwstr>
  </property>
  <property fmtid="{D5CDD505-2E9C-101B-9397-08002B2CF9AE}" pid="4" name="bjDocumentSecurityLabel">
    <vt:lpwstr>No Marking</vt:lpwstr>
  </property>
</Properties>
</file>