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F52F" w14:textId="77777777" w:rsidR="00252763" w:rsidRDefault="00252763" w:rsidP="00916F70">
      <w:pPr>
        <w:rPr>
          <w:rFonts w:ascii="Arial" w:hAnsi="Arial" w:cs="Arial"/>
        </w:rPr>
      </w:pPr>
    </w:p>
    <w:p w14:paraId="5146DDF1" w14:textId="777799D3" w:rsidR="00916F70" w:rsidRPr="008975BA" w:rsidRDefault="00916F70" w:rsidP="00916F70">
      <w:pPr>
        <w:rPr>
          <w:rFonts w:ascii="Arial" w:hAnsi="Arial" w:cs="Arial"/>
          <w:sz w:val="6"/>
          <w:szCs w:val="8"/>
        </w:rPr>
      </w:pPr>
      <w:r w:rsidRPr="00252763">
        <w:rPr>
          <w:rFonts w:ascii="Arial" w:hAnsi="Arial" w:cs="Arial"/>
        </w:rPr>
        <w:t>This checklist is for Head</w:t>
      </w:r>
      <w:r w:rsidR="007B1D54" w:rsidRPr="00252763">
        <w:rPr>
          <w:rFonts w:ascii="Arial" w:hAnsi="Arial" w:cs="Arial"/>
        </w:rPr>
        <w:t xml:space="preserve"> Teachers</w:t>
      </w:r>
      <w:r w:rsidRPr="00252763">
        <w:rPr>
          <w:rFonts w:ascii="Arial" w:hAnsi="Arial" w:cs="Arial"/>
        </w:rPr>
        <w:t xml:space="preserve">, line managers and </w:t>
      </w:r>
      <w:r w:rsidR="007B1D54" w:rsidRPr="00252763">
        <w:rPr>
          <w:rFonts w:ascii="Arial" w:hAnsi="Arial" w:cs="Arial"/>
        </w:rPr>
        <w:t xml:space="preserve">Local Authorities </w:t>
      </w:r>
      <w:r w:rsidRPr="00252763">
        <w:rPr>
          <w:rFonts w:ascii="Arial" w:hAnsi="Arial" w:cs="Arial"/>
        </w:rPr>
        <w:t xml:space="preserve">to use to </w:t>
      </w:r>
      <w:r w:rsidR="00252763">
        <w:rPr>
          <w:rFonts w:ascii="Arial" w:hAnsi="Arial" w:cs="Arial"/>
        </w:rPr>
        <w:t xml:space="preserve">assess the provision and </w:t>
      </w:r>
      <w:r w:rsidRPr="00252763">
        <w:rPr>
          <w:rFonts w:ascii="Arial" w:hAnsi="Arial" w:cs="Arial"/>
        </w:rPr>
        <w:t>benefit</w:t>
      </w:r>
      <w:r w:rsidR="007B1D54" w:rsidRPr="00252763">
        <w:rPr>
          <w:rFonts w:ascii="Arial" w:hAnsi="Arial" w:cs="Arial"/>
        </w:rPr>
        <w:t xml:space="preserve">s </w:t>
      </w:r>
      <w:r w:rsidR="00252763">
        <w:rPr>
          <w:rFonts w:ascii="Arial" w:hAnsi="Arial" w:cs="Arial"/>
        </w:rPr>
        <w:t>offered by providers intending to or bidding to deliver app</w:t>
      </w:r>
      <w:r w:rsidRPr="00252763">
        <w:rPr>
          <w:rFonts w:ascii="Arial" w:hAnsi="Arial" w:cs="Arial"/>
        </w:rPr>
        <w:t>renticeship</w:t>
      </w:r>
      <w:r w:rsidR="00252763">
        <w:rPr>
          <w:rFonts w:ascii="Arial" w:hAnsi="Arial" w:cs="Arial"/>
        </w:rPr>
        <w:t>s in their schools</w:t>
      </w:r>
      <w:r w:rsidR="008975BA">
        <w:rPr>
          <w:rFonts w:ascii="Arial" w:hAnsi="Arial" w:cs="Arial"/>
        </w:rPr>
        <w:t xml:space="preserve">, or a part of a review of provision or issues during the apprenticeship. </w:t>
      </w:r>
      <w:r w:rsidR="00252763">
        <w:rPr>
          <w:rFonts w:ascii="Arial" w:hAnsi="Arial" w:cs="Arial"/>
        </w:rPr>
        <w:t>Its purpose is to identify clear examples of excellence and confirm that capacity and capability exists, b</w:t>
      </w:r>
      <w:r w:rsidR="00B23B80">
        <w:rPr>
          <w:rFonts w:ascii="Arial" w:hAnsi="Arial" w:cs="Arial"/>
        </w:rPr>
        <w:t>u</w:t>
      </w:r>
      <w:r w:rsidR="00252763">
        <w:rPr>
          <w:rFonts w:ascii="Arial" w:hAnsi="Arial" w:cs="Arial"/>
        </w:rPr>
        <w:t>t</w:t>
      </w:r>
      <w:r w:rsidR="00B23B80">
        <w:rPr>
          <w:rFonts w:ascii="Arial" w:hAnsi="Arial" w:cs="Arial"/>
        </w:rPr>
        <w:t xml:space="preserve"> </w:t>
      </w:r>
      <w:r w:rsidR="00252763">
        <w:rPr>
          <w:rFonts w:ascii="Arial" w:hAnsi="Arial" w:cs="Arial"/>
        </w:rPr>
        <w:t xml:space="preserve">also </w:t>
      </w:r>
      <w:r w:rsidR="00B23B80">
        <w:rPr>
          <w:rFonts w:ascii="Arial" w:hAnsi="Arial" w:cs="Arial"/>
        </w:rPr>
        <w:t xml:space="preserve">to </w:t>
      </w:r>
      <w:r w:rsidR="00252763">
        <w:rPr>
          <w:rFonts w:ascii="Arial" w:hAnsi="Arial" w:cs="Arial"/>
        </w:rPr>
        <w:t xml:space="preserve">identify possible gaps </w:t>
      </w:r>
      <w:r w:rsidR="00D807C4">
        <w:rPr>
          <w:rFonts w:ascii="Arial" w:hAnsi="Arial" w:cs="Arial"/>
        </w:rPr>
        <w:t xml:space="preserve">or issues </w:t>
      </w:r>
      <w:r w:rsidR="00252763">
        <w:rPr>
          <w:rFonts w:ascii="Arial" w:hAnsi="Arial" w:cs="Arial"/>
        </w:rPr>
        <w:t xml:space="preserve">that may require additional action by the school </w:t>
      </w:r>
      <w:r w:rsidR="008975BA">
        <w:rPr>
          <w:rFonts w:ascii="Arial" w:hAnsi="Arial" w:cs="Arial"/>
        </w:rPr>
        <w:t xml:space="preserve">or the provider </w:t>
      </w:r>
      <w:r w:rsidR="00252763">
        <w:rPr>
          <w:rFonts w:ascii="Arial" w:hAnsi="Arial" w:cs="Arial"/>
        </w:rPr>
        <w:t>to ensu</w:t>
      </w:r>
      <w:r w:rsidR="00B23B80">
        <w:rPr>
          <w:rFonts w:ascii="Arial" w:hAnsi="Arial" w:cs="Arial"/>
        </w:rPr>
        <w:t>r</w:t>
      </w:r>
      <w:r w:rsidR="00252763">
        <w:rPr>
          <w:rFonts w:ascii="Arial" w:hAnsi="Arial" w:cs="Arial"/>
        </w:rPr>
        <w:t xml:space="preserve">e a </w:t>
      </w:r>
      <w:r w:rsidR="00B23B80">
        <w:rPr>
          <w:rFonts w:ascii="Arial" w:hAnsi="Arial" w:cs="Arial"/>
        </w:rPr>
        <w:t>successful</w:t>
      </w:r>
      <w:r w:rsidR="00252763">
        <w:rPr>
          <w:rFonts w:ascii="Arial" w:hAnsi="Arial" w:cs="Arial"/>
        </w:rPr>
        <w:t xml:space="preserve"> apprenticeship experience</w:t>
      </w:r>
      <w:r w:rsidR="00B23B80">
        <w:rPr>
          <w:rFonts w:ascii="Arial" w:hAnsi="Arial" w:cs="Arial"/>
        </w:rPr>
        <w:t>.</w:t>
      </w:r>
      <w:r w:rsidRPr="00252763">
        <w:rPr>
          <w:rFonts w:ascii="Arial" w:hAnsi="Arial" w:cs="Arial"/>
        </w:rPr>
        <w:t xml:space="preserve"> </w:t>
      </w:r>
      <w:r w:rsidR="008975BA">
        <w:rPr>
          <w:rFonts w:ascii="Arial" w:hAnsi="Arial" w:cs="Arial"/>
        </w:rPr>
        <w:t xml:space="preserve">Its purpose is also to confirm that the school line manager and apprentice are </w:t>
      </w:r>
      <w:r w:rsidR="001121D1">
        <w:rPr>
          <w:rFonts w:ascii="Arial" w:hAnsi="Arial" w:cs="Arial"/>
        </w:rPr>
        <w:t>meeting their own commitment to a successful partnership.</w:t>
      </w:r>
      <w:r w:rsidR="00347595">
        <w:rPr>
          <w:rFonts w:ascii="Arial" w:hAnsi="Arial" w:cs="Arial"/>
        </w:rPr>
        <w:br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04"/>
        <w:gridCol w:w="1024"/>
        <w:gridCol w:w="2402"/>
        <w:gridCol w:w="2448"/>
        <w:gridCol w:w="2448"/>
        <w:gridCol w:w="2755"/>
        <w:gridCol w:w="3382"/>
      </w:tblGrid>
      <w:tr w:rsidR="008975BA" w:rsidRPr="00252763" w14:paraId="135FB195" w14:textId="4C5363F3" w:rsidTr="00335A62">
        <w:trPr>
          <w:tblHeader/>
        </w:trPr>
        <w:tc>
          <w:tcPr>
            <w:tcW w:w="1728" w:type="dxa"/>
            <w:gridSpan w:val="2"/>
            <w:shd w:val="clear" w:color="auto" w:fill="990099"/>
          </w:tcPr>
          <w:p w14:paraId="4D9D4C68" w14:textId="7776E5D6" w:rsidR="008975BA" w:rsidRPr="00B23B80" w:rsidRDefault="008975BA">
            <w:pPr>
              <w:rPr>
                <w:rFonts w:ascii="Arial" w:hAnsi="Arial" w:cs="Arial"/>
                <w:b/>
                <w:bCs/>
              </w:rPr>
            </w:pPr>
            <w:r w:rsidRPr="00252763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2FE1C238" wp14:editId="19D00139">
                  <wp:simplePos x="0" y="0"/>
                  <wp:positionH relativeFrom="column">
                    <wp:posOffset>2420425</wp:posOffset>
                  </wp:positionH>
                  <wp:positionV relativeFrom="paragraph">
                    <wp:posOffset>7204564</wp:posOffset>
                  </wp:positionV>
                  <wp:extent cx="1236039" cy="740606"/>
                  <wp:effectExtent l="0" t="0" r="254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g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39" cy="74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3B8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6"/>
              </w:rPr>
              <w:t>CRITERIA</w:t>
            </w:r>
          </w:p>
        </w:tc>
        <w:tc>
          <w:tcPr>
            <w:tcW w:w="2402" w:type="dxa"/>
            <w:shd w:val="clear" w:color="auto" w:fill="990099"/>
          </w:tcPr>
          <w:p w14:paraId="75754311" w14:textId="3EE0AB82" w:rsidR="008975BA" w:rsidRPr="00252763" w:rsidRDefault="00462AC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8"/>
                  <w:szCs w:val="32"/>
                </w:rPr>
                <w:id w:val="-18557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A6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8"/>
                    <w:szCs w:val="32"/>
                  </w:rPr>
                  <w:t>☐</w:t>
                </w:r>
              </w:sdtContent>
            </w:sdt>
            <w:r w:rsidR="00335A6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="008975BA" w:rsidRPr="0025276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Good</w:t>
            </w:r>
          </w:p>
        </w:tc>
        <w:tc>
          <w:tcPr>
            <w:tcW w:w="2448" w:type="dxa"/>
            <w:shd w:val="clear" w:color="auto" w:fill="990099"/>
          </w:tcPr>
          <w:p w14:paraId="2E9AC782" w14:textId="550E4C54" w:rsidR="008975BA" w:rsidRPr="00252763" w:rsidRDefault="00462AC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8"/>
                  <w:szCs w:val="32"/>
                </w:rPr>
                <w:id w:val="18069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BA" w:rsidRPr="00252763">
                  <w:rPr>
                    <w:rFonts w:ascii="Segoe UI Symbol" w:eastAsia="MS Gothic" w:hAnsi="Segoe UI Symbol" w:cs="Segoe UI Symbol"/>
                    <w:b/>
                    <w:bCs/>
                    <w:color w:val="FFFFFF" w:themeColor="background1"/>
                    <w:sz w:val="28"/>
                    <w:szCs w:val="32"/>
                  </w:rPr>
                  <w:t>☐</w:t>
                </w:r>
              </w:sdtContent>
            </w:sdt>
            <w:r w:rsidR="00335A6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="008975BA" w:rsidRPr="0025276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Better</w:t>
            </w:r>
          </w:p>
        </w:tc>
        <w:tc>
          <w:tcPr>
            <w:tcW w:w="2448" w:type="dxa"/>
            <w:shd w:val="clear" w:color="auto" w:fill="990099"/>
          </w:tcPr>
          <w:p w14:paraId="02E48219" w14:textId="6084E3C5" w:rsidR="008975BA" w:rsidRPr="00252763" w:rsidRDefault="00462AC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8"/>
                  <w:szCs w:val="32"/>
                </w:rPr>
                <w:id w:val="16150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A6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8"/>
                    <w:szCs w:val="32"/>
                  </w:rPr>
                  <w:t>☐</w:t>
                </w:r>
              </w:sdtContent>
            </w:sdt>
            <w:r w:rsidR="00335A6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="008975BA" w:rsidRPr="0025276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Best </w:t>
            </w:r>
          </w:p>
        </w:tc>
        <w:tc>
          <w:tcPr>
            <w:tcW w:w="2755" w:type="dxa"/>
          </w:tcPr>
          <w:p w14:paraId="79AC07E3" w14:textId="594FFE21" w:rsidR="008975BA" w:rsidRPr="00252763" w:rsidRDefault="008975BA" w:rsidP="008975BA">
            <w:pPr>
              <w:jc w:val="center"/>
              <w:rPr>
                <w:rFonts w:ascii="Arial" w:hAnsi="Arial" w:cs="Arial"/>
                <w:color w:val="990099"/>
                <w:sz w:val="24"/>
                <w:szCs w:val="28"/>
              </w:rPr>
            </w:pPr>
            <w:r>
              <w:rPr>
                <w:rFonts w:ascii="Arial" w:hAnsi="Arial" w:cs="Arial"/>
                <w:color w:val="990099"/>
                <w:sz w:val="24"/>
                <w:szCs w:val="28"/>
              </w:rPr>
              <w:t>School Commitment</w:t>
            </w:r>
            <w:r>
              <w:rPr>
                <w:rFonts w:ascii="Arial" w:hAnsi="Arial" w:cs="Arial"/>
                <w:color w:val="990099"/>
                <w:sz w:val="24"/>
                <w:szCs w:val="28"/>
              </w:rPr>
              <w:br/>
              <w:t>in Return</w:t>
            </w:r>
          </w:p>
        </w:tc>
        <w:tc>
          <w:tcPr>
            <w:tcW w:w="3382" w:type="dxa"/>
          </w:tcPr>
          <w:p w14:paraId="362E2CCE" w14:textId="2401F1F5" w:rsidR="008975BA" w:rsidRPr="00252763" w:rsidRDefault="008975BA">
            <w:pPr>
              <w:rPr>
                <w:rFonts w:ascii="Arial" w:hAnsi="Arial" w:cs="Arial"/>
              </w:rPr>
            </w:pPr>
            <w:r w:rsidRPr="00252763">
              <w:rPr>
                <w:rFonts w:ascii="Arial" w:hAnsi="Arial" w:cs="Arial"/>
                <w:color w:val="990099"/>
                <w:sz w:val="24"/>
                <w:szCs w:val="28"/>
              </w:rPr>
              <w:t xml:space="preserve">Score/Comments </w:t>
            </w:r>
          </w:p>
        </w:tc>
      </w:tr>
      <w:tr w:rsidR="008975BA" w:rsidRPr="00252763" w14:paraId="37ED35E0" w14:textId="77777777" w:rsidTr="00335A62">
        <w:tc>
          <w:tcPr>
            <w:tcW w:w="1728" w:type="dxa"/>
            <w:gridSpan w:val="2"/>
          </w:tcPr>
          <w:p w14:paraId="744D3EFA" w14:textId="5F777877" w:rsidR="008975BA" w:rsidRPr="008975BA" w:rsidRDefault="008975BA" w:rsidP="007B1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Relevant capacity and capability </w:t>
            </w:r>
          </w:p>
          <w:p w14:paraId="105F44A0" w14:textId="77777777" w:rsidR="008975BA" w:rsidRPr="008975BA" w:rsidRDefault="008975BA" w:rsidP="007B1D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BDAE17" w14:textId="6BB76229" w:rsidR="008975BA" w:rsidRPr="008975BA" w:rsidRDefault="008975BA" w:rsidP="007B1D54">
            <w:p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Can they demonstrate their understanding of </w:t>
            </w:r>
            <w:r w:rsidR="00335A62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8975BA">
              <w:rPr>
                <w:rFonts w:ascii="Arial" w:hAnsi="Arial" w:cs="Arial"/>
                <w:sz w:val="18"/>
                <w:szCs w:val="18"/>
              </w:rPr>
              <w:t>school work</w:t>
            </w:r>
            <w:r w:rsidR="00335A62">
              <w:rPr>
                <w:rFonts w:ascii="Arial" w:hAnsi="Arial" w:cs="Arial"/>
                <w:sz w:val="18"/>
                <w:szCs w:val="18"/>
              </w:rPr>
              <w:t>ing</w:t>
            </w:r>
            <w:proofErr w:type="gramEnd"/>
            <w:r w:rsidR="00335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75BA">
              <w:rPr>
                <w:rFonts w:ascii="Arial" w:hAnsi="Arial" w:cs="Arial"/>
                <w:sz w:val="18"/>
                <w:szCs w:val="18"/>
              </w:rPr>
              <w:t xml:space="preserve">environment  </w:t>
            </w:r>
          </w:p>
          <w:p w14:paraId="439886FC" w14:textId="7918E95E" w:rsidR="008975BA" w:rsidRPr="008975BA" w:rsidRDefault="008975BA" w:rsidP="007B1D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dxa"/>
          </w:tcPr>
          <w:p w14:paraId="03EE2F39" w14:textId="77777777" w:rsidR="008975BA" w:rsidRPr="008975BA" w:rsidRDefault="008975BA" w:rsidP="004932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They have a recent and successful record of delivery in schools </w:t>
            </w:r>
          </w:p>
          <w:p w14:paraId="4D7F5055" w14:textId="63964DA9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28399E1A" w14:textId="3F3EEB38" w:rsidR="008975BA" w:rsidRPr="008975BA" w:rsidRDefault="008975BA" w:rsidP="0049321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They have trainers who have worked in schools or a longstanding track record of working with schools </w:t>
            </w:r>
          </w:p>
        </w:tc>
        <w:tc>
          <w:tcPr>
            <w:tcW w:w="2448" w:type="dxa"/>
            <w:vAlign w:val="center"/>
          </w:tcPr>
          <w:p w14:paraId="6B8F0F43" w14:textId="0BA7E531" w:rsidR="008975BA" w:rsidRPr="008975BA" w:rsidRDefault="008975BA" w:rsidP="004932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Provider embedded in </w:t>
            </w:r>
            <w:proofErr w:type="gramStart"/>
            <w:r w:rsidRPr="008975BA">
              <w:rPr>
                <w:rFonts w:ascii="Arial" w:hAnsi="Arial" w:cs="Arial"/>
                <w:sz w:val="18"/>
                <w:szCs w:val="18"/>
              </w:rPr>
              <w:t>schools</w:t>
            </w:r>
            <w:proofErr w:type="gramEnd"/>
            <w:r w:rsidRPr="008975BA">
              <w:rPr>
                <w:rFonts w:ascii="Arial" w:hAnsi="Arial" w:cs="Arial"/>
                <w:sz w:val="18"/>
                <w:szCs w:val="18"/>
              </w:rPr>
              <w:t xml:space="preserve"> sector with a long history (over 10 </w:t>
            </w:r>
            <w:r w:rsidR="00335A62" w:rsidRPr="008975BA">
              <w:rPr>
                <w:rFonts w:ascii="Arial" w:hAnsi="Arial" w:cs="Arial"/>
                <w:sz w:val="18"/>
                <w:szCs w:val="18"/>
              </w:rPr>
              <w:t>years)</w:t>
            </w:r>
            <w:r w:rsidRPr="008975BA">
              <w:rPr>
                <w:rFonts w:ascii="Arial" w:hAnsi="Arial" w:cs="Arial"/>
                <w:sz w:val="18"/>
                <w:szCs w:val="18"/>
              </w:rPr>
              <w:t xml:space="preserve"> of delivery</w:t>
            </w:r>
          </w:p>
          <w:p w14:paraId="0B8D99D9" w14:textId="6BFCC981" w:rsidR="008975BA" w:rsidRPr="00BD1654" w:rsidRDefault="008975BA" w:rsidP="00E94C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D1654">
              <w:rPr>
                <w:rFonts w:ascii="Arial" w:hAnsi="Arial" w:cs="Arial"/>
                <w:sz w:val="18"/>
                <w:szCs w:val="18"/>
              </w:rPr>
              <w:t xml:space="preserve">Delivers wider programme of training to the school sector </w:t>
            </w:r>
          </w:p>
          <w:p w14:paraId="6B240A6E" w14:textId="4898689E" w:rsidR="008975BA" w:rsidRPr="008975BA" w:rsidRDefault="008975BA" w:rsidP="004932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Training team includes ex-school staff </w:t>
            </w:r>
          </w:p>
          <w:p w14:paraId="45732163" w14:textId="6847819E" w:rsidR="008975BA" w:rsidRPr="008975BA" w:rsidRDefault="008975BA" w:rsidP="00E94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14:paraId="08C3FA06" w14:textId="77777777" w:rsidR="008975BA" w:rsidRDefault="001121D1" w:rsidP="001121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manager and apprentice contributing to requests for contextualised activities e.g. projects </w:t>
            </w:r>
          </w:p>
          <w:p w14:paraId="35914194" w14:textId="622732FB" w:rsidR="001121D1" w:rsidRPr="001121D1" w:rsidRDefault="001121D1" w:rsidP="001121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</w:t>
            </w:r>
            <w:r w:rsidR="00335A62">
              <w:rPr>
                <w:rFonts w:ascii="Arial" w:hAnsi="Arial" w:cs="Arial"/>
                <w:sz w:val="18"/>
                <w:szCs w:val="18"/>
              </w:rPr>
              <w:t>manager works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provider to address / offers to support any gaps in knowledge </w:t>
            </w:r>
          </w:p>
        </w:tc>
        <w:tc>
          <w:tcPr>
            <w:tcW w:w="3382" w:type="dxa"/>
          </w:tcPr>
          <w:p w14:paraId="6CD4B9EA" w14:textId="57B77F08" w:rsidR="008975BA" w:rsidRPr="008975BA" w:rsidRDefault="008975BA" w:rsidP="00F211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5BA" w:rsidRPr="00252763" w14:paraId="76CE82B7" w14:textId="77777777" w:rsidTr="00335A62">
        <w:trPr>
          <w:trHeight w:val="818"/>
        </w:trPr>
        <w:tc>
          <w:tcPr>
            <w:tcW w:w="1728" w:type="dxa"/>
            <w:gridSpan w:val="2"/>
          </w:tcPr>
          <w:p w14:paraId="333BED7F" w14:textId="44E01032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CB9F25" w14:textId="666AC291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t>Design of the OTLA elements</w:t>
            </w:r>
          </w:p>
          <w:p w14:paraId="28B711D0" w14:textId="33848A7D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C1BDB1" w14:textId="363AAF9E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Is the off the job learning fully planned and not </w:t>
            </w:r>
            <w:r w:rsidR="001121D1">
              <w:rPr>
                <w:rFonts w:ascii="Arial" w:hAnsi="Arial" w:cs="Arial"/>
                <w:sz w:val="18"/>
                <w:szCs w:val="18"/>
              </w:rPr>
              <w:t xml:space="preserve">excessively </w:t>
            </w:r>
            <w:r w:rsidRPr="008975BA">
              <w:rPr>
                <w:rFonts w:ascii="Arial" w:hAnsi="Arial" w:cs="Arial"/>
                <w:sz w:val="18"/>
                <w:szCs w:val="18"/>
              </w:rPr>
              <w:t>reliant o</w:t>
            </w:r>
            <w:r w:rsidR="001121D1">
              <w:rPr>
                <w:rFonts w:ascii="Arial" w:hAnsi="Arial" w:cs="Arial"/>
                <w:sz w:val="18"/>
                <w:szCs w:val="18"/>
              </w:rPr>
              <w:t>n</w:t>
            </w:r>
            <w:r w:rsidRPr="008975BA">
              <w:rPr>
                <w:rFonts w:ascii="Arial" w:hAnsi="Arial" w:cs="Arial"/>
                <w:sz w:val="18"/>
                <w:szCs w:val="18"/>
              </w:rPr>
              <w:t xml:space="preserve"> the school to find other activity</w:t>
            </w: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14:paraId="4FDC99B4" w14:textId="77777777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4E4343" w14:textId="1D12F848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</w:tcPr>
          <w:p w14:paraId="32F4B274" w14:textId="7D958737" w:rsidR="008975BA" w:rsidRPr="008975BA" w:rsidRDefault="008975BA" w:rsidP="0049321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Their programme </w:t>
            </w:r>
            <w:r w:rsidR="001121D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8975BA">
              <w:rPr>
                <w:rFonts w:ascii="Arial" w:hAnsi="Arial" w:cs="Arial"/>
                <w:sz w:val="18"/>
                <w:szCs w:val="18"/>
              </w:rPr>
              <w:t xml:space="preserve">close to the 20 % OTJL hours required </w:t>
            </w:r>
          </w:p>
          <w:p w14:paraId="706EDBA3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73A0F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060E489C" w14:textId="4980B873" w:rsidR="008975BA" w:rsidRPr="008975BA" w:rsidRDefault="008975BA" w:rsidP="0049321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Their programme is close to the 20 % OTJL hours required </w:t>
            </w:r>
          </w:p>
          <w:p w14:paraId="595E6EA0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B0753" w14:textId="6A30E359" w:rsidR="008975BA" w:rsidRPr="008975BA" w:rsidRDefault="008975BA" w:rsidP="0049321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They have a clear plan of where the school needs to identify other activity </w:t>
            </w:r>
          </w:p>
        </w:tc>
        <w:tc>
          <w:tcPr>
            <w:tcW w:w="2448" w:type="dxa"/>
          </w:tcPr>
          <w:p w14:paraId="1C4C9CD6" w14:textId="2F9AF930" w:rsidR="008975BA" w:rsidRPr="00BD1654" w:rsidRDefault="008975BA" w:rsidP="008975B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D1654">
              <w:rPr>
                <w:rFonts w:ascii="Arial" w:hAnsi="Arial" w:cs="Arial"/>
                <w:sz w:val="18"/>
                <w:szCs w:val="18"/>
              </w:rPr>
              <w:t xml:space="preserve">Their programme is close to the 20 % OTJL hours required </w:t>
            </w:r>
          </w:p>
          <w:p w14:paraId="30E018E9" w14:textId="48A5C784" w:rsidR="008975BA" w:rsidRPr="008975BA" w:rsidRDefault="008975BA" w:rsidP="008975B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>There is a guide for the school to use with the provider to identify quickly where OTJL can be identified</w:t>
            </w:r>
          </w:p>
          <w:p w14:paraId="4C54C5A1" w14:textId="4DDF26B8" w:rsidR="008975BA" w:rsidRPr="008975BA" w:rsidRDefault="00D807C4" w:rsidP="008975B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is flexible and willing to change their approach where needed </w:t>
            </w:r>
            <w:r w:rsidR="008975BA" w:rsidRPr="008975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55" w:type="dxa"/>
          </w:tcPr>
          <w:p w14:paraId="614BB36E" w14:textId="7BD862DC" w:rsidR="008975BA" w:rsidRDefault="001121D1" w:rsidP="001121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manager responds to requests for examples of off the job learning </w:t>
            </w:r>
          </w:p>
          <w:p w14:paraId="6D632BBF" w14:textId="37558B02" w:rsidR="001121D1" w:rsidRDefault="001121D1" w:rsidP="001121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manager is well versed in the apprenticeship content KSB and actively works with the learner</w:t>
            </w:r>
          </w:p>
          <w:p w14:paraId="750A7ED0" w14:textId="7C1052F6" w:rsidR="001121D1" w:rsidRPr="001121D1" w:rsidRDefault="001121D1" w:rsidP="001121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manager and apprentice proactively track the OTJL and if it slips work quickly to replace this learning </w:t>
            </w:r>
          </w:p>
        </w:tc>
        <w:tc>
          <w:tcPr>
            <w:tcW w:w="3382" w:type="dxa"/>
          </w:tcPr>
          <w:p w14:paraId="6B2EA074" w14:textId="208DA548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5BA" w:rsidRPr="00252763" w14:paraId="4C52B68A" w14:textId="77777777" w:rsidTr="00335A62">
        <w:tc>
          <w:tcPr>
            <w:tcW w:w="1728" w:type="dxa"/>
            <w:gridSpan w:val="2"/>
          </w:tcPr>
          <w:p w14:paraId="5617B9F3" w14:textId="77777777" w:rsidR="001121D1" w:rsidRDefault="001121D1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63E6F9" w14:textId="2A7E0127" w:rsid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t>Planne</w:t>
            </w:r>
            <w:r w:rsidR="001121D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lear</w:t>
            </w:r>
            <w:r w:rsidR="001121D1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ing </w:t>
            </w:r>
            <w:r w:rsidR="00D807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adds value  </w:t>
            </w:r>
          </w:p>
          <w:p w14:paraId="71BCA91E" w14:textId="6DB0CB5F" w:rsidR="001121D1" w:rsidRDefault="001121D1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76F5DF" w14:textId="04701E70" w:rsidR="001121D1" w:rsidRPr="00D807C4" w:rsidRDefault="00D807C4" w:rsidP="0049321C">
            <w:pPr>
              <w:rPr>
                <w:rFonts w:ascii="Arial" w:hAnsi="Arial" w:cs="Arial"/>
                <w:sz w:val="18"/>
                <w:szCs w:val="18"/>
              </w:rPr>
            </w:pPr>
            <w:r w:rsidRPr="00D807C4">
              <w:rPr>
                <w:rFonts w:ascii="Arial" w:hAnsi="Arial" w:cs="Arial"/>
                <w:sz w:val="18"/>
                <w:szCs w:val="18"/>
              </w:rPr>
              <w:t xml:space="preserve">Is the learning well organised and </w:t>
            </w:r>
            <w:r>
              <w:rPr>
                <w:rFonts w:ascii="Arial" w:hAnsi="Arial" w:cs="Arial"/>
                <w:sz w:val="18"/>
                <w:szCs w:val="18"/>
              </w:rPr>
              <w:t>does the provider stick to the schedule?</w:t>
            </w:r>
          </w:p>
          <w:p w14:paraId="20100A2E" w14:textId="77777777" w:rsidR="001121D1" w:rsidRPr="00D807C4" w:rsidRDefault="001121D1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A9CC86" w14:textId="3BA0BA18" w:rsidR="001121D1" w:rsidRPr="008975BA" w:rsidRDefault="001121D1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</w:tcPr>
          <w:p w14:paraId="40021840" w14:textId="628A0801" w:rsidR="008975BA" w:rsidRDefault="008975BA" w:rsidP="008975B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>Planned learning and monitoring activity happens as planned</w:t>
            </w:r>
            <w:r w:rsidR="001121D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D76F21" w14:textId="77777777" w:rsidR="001121D1" w:rsidRDefault="001121D1" w:rsidP="001121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attendance is punctual</w:t>
            </w:r>
          </w:p>
          <w:p w14:paraId="4A181EAD" w14:textId="622FCCFA" w:rsidR="00D807C4" w:rsidRPr="008975BA" w:rsidRDefault="00D807C4" w:rsidP="001121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281D03FA" w14:textId="4FA4E3AE" w:rsidR="001121D1" w:rsidRDefault="001121D1" w:rsidP="001121D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>Planned learning and monitoring activity happens as planned</w:t>
            </w:r>
            <w:r w:rsidR="00BD1654">
              <w:rPr>
                <w:rFonts w:ascii="Arial" w:hAnsi="Arial" w:cs="Arial"/>
                <w:sz w:val="18"/>
                <w:szCs w:val="18"/>
              </w:rPr>
              <w:t xml:space="preserve"> and is evaluated with the apprentice</w:t>
            </w:r>
          </w:p>
          <w:p w14:paraId="7843ABA1" w14:textId="43603011" w:rsidR="001121D1" w:rsidRDefault="001121D1" w:rsidP="001121D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is quick to respond to absence in apprentice and re-schedule </w:t>
            </w:r>
          </w:p>
          <w:p w14:paraId="2485F669" w14:textId="44303034" w:rsidR="001121D1" w:rsidRDefault="001121D1" w:rsidP="00D807C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A5D9F34" w14:textId="2B692186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64D4F06E" w14:textId="4E5EFBCF" w:rsidR="001121D1" w:rsidRDefault="001121D1" w:rsidP="001121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Planned </w:t>
            </w:r>
            <w:r w:rsidRPr="008975BA">
              <w:rPr>
                <w:rFonts w:ascii="Arial" w:hAnsi="Arial" w:cs="Arial"/>
                <w:sz w:val="18"/>
                <w:szCs w:val="18"/>
              </w:rPr>
              <w:t>monitoring activity happens as planned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FAA22B" w14:textId="77777777" w:rsidR="008975BA" w:rsidRDefault="001121D1" w:rsidP="001121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is quick to respond to absence in apprentice</w:t>
            </w:r>
          </w:p>
          <w:p w14:paraId="5865C31D" w14:textId="3E08FD1B" w:rsidR="00D807C4" w:rsidRDefault="00D807C4" w:rsidP="001121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based OTJL is all scheduled early in the </w:t>
            </w:r>
            <w:r w:rsidR="00BD1654">
              <w:rPr>
                <w:rFonts w:ascii="Arial" w:hAnsi="Arial" w:cs="Arial"/>
                <w:sz w:val="18"/>
                <w:szCs w:val="18"/>
              </w:rPr>
              <w:t xml:space="preserve">apprenticeship </w:t>
            </w:r>
          </w:p>
          <w:p w14:paraId="7B4D836E" w14:textId="77777777" w:rsidR="00BD1654" w:rsidRDefault="00D807C4" w:rsidP="001121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offers access to other</w:t>
            </w:r>
            <w:r w:rsidR="00BD1654">
              <w:rPr>
                <w:rFonts w:ascii="Arial" w:hAnsi="Arial" w:cs="Arial"/>
                <w:sz w:val="18"/>
                <w:szCs w:val="18"/>
              </w:rPr>
              <w:t xml:space="preserve"> relevant </w:t>
            </w:r>
            <w:r>
              <w:rPr>
                <w:rFonts w:ascii="Arial" w:hAnsi="Arial" w:cs="Arial"/>
                <w:sz w:val="18"/>
                <w:szCs w:val="18"/>
              </w:rPr>
              <w:t>activities that enh</w:t>
            </w:r>
            <w:r w:rsidR="00BD1654">
              <w:rPr>
                <w:rFonts w:ascii="Arial" w:hAnsi="Arial" w:cs="Arial"/>
                <w:sz w:val="18"/>
                <w:szCs w:val="18"/>
              </w:rPr>
              <w:t xml:space="preserve">ance </w:t>
            </w:r>
            <w:r>
              <w:rPr>
                <w:rFonts w:ascii="Arial" w:hAnsi="Arial" w:cs="Arial"/>
                <w:sz w:val="18"/>
                <w:szCs w:val="18"/>
              </w:rPr>
              <w:t>the lear</w:t>
            </w:r>
            <w:r w:rsidR="00BD165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ing experience</w:t>
            </w:r>
          </w:p>
          <w:p w14:paraId="14B144E4" w14:textId="6756782F" w:rsidR="00D807C4" w:rsidRPr="001121D1" w:rsidRDefault="00D807C4" w:rsidP="00BD165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</w:tcPr>
          <w:p w14:paraId="762399FD" w14:textId="77777777" w:rsidR="00D807C4" w:rsidRDefault="008975BA" w:rsidP="00D807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121D1">
              <w:rPr>
                <w:rFonts w:ascii="Arial" w:hAnsi="Arial" w:cs="Arial"/>
                <w:sz w:val="18"/>
                <w:szCs w:val="18"/>
              </w:rPr>
              <w:t>Apprentice time in planned sessions is prioritised and attendance record is good</w:t>
            </w:r>
          </w:p>
          <w:p w14:paraId="2EFA5C9B" w14:textId="620DB250" w:rsidR="00D807C4" w:rsidRPr="00D807C4" w:rsidRDefault="00D807C4" w:rsidP="00D807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manager quick to identify opportunities for school based off the job learning </w:t>
            </w:r>
          </w:p>
        </w:tc>
        <w:tc>
          <w:tcPr>
            <w:tcW w:w="3382" w:type="dxa"/>
          </w:tcPr>
          <w:p w14:paraId="6FAC9EBD" w14:textId="2EAFF29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5BA" w:rsidRPr="00252763" w14:paraId="41C2B039" w14:textId="77777777" w:rsidTr="00335A62">
        <w:trPr>
          <w:trHeight w:val="1378"/>
        </w:trPr>
        <w:tc>
          <w:tcPr>
            <w:tcW w:w="1728" w:type="dxa"/>
            <w:gridSpan w:val="2"/>
          </w:tcPr>
          <w:p w14:paraId="0E0CE9E6" w14:textId="0B262970" w:rsidR="008975BA" w:rsidRPr="008975BA" w:rsidRDefault="008975BA" w:rsidP="004932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5B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Organisation &amp; Preparation</w:t>
            </w:r>
          </w:p>
          <w:p w14:paraId="6646EBB6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5EAEF5" w14:textId="30D2562A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How will they keep the line manager up to date with progress? </w:t>
            </w:r>
          </w:p>
        </w:tc>
        <w:tc>
          <w:tcPr>
            <w:tcW w:w="2402" w:type="dxa"/>
          </w:tcPr>
          <w:p w14:paraId="75DBDE6D" w14:textId="6832912E" w:rsidR="008975BA" w:rsidRPr="00D807C4" w:rsidRDefault="008975BA" w:rsidP="00D807C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807C4">
              <w:rPr>
                <w:rFonts w:ascii="Arial" w:hAnsi="Arial" w:cs="Arial"/>
                <w:sz w:val="18"/>
                <w:szCs w:val="18"/>
              </w:rPr>
              <w:t xml:space="preserve">Progress report ahead of Tri-partite review  </w:t>
            </w:r>
          </w:p>
          <w:p w14:paraId="76F88AF1" w14:textId="37F73BB5" w:rsidR="00D807C4" w:rsidRDefault="00D807C4" w:rsidP="00D80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A67D9" w14:textId="57D4BBAA" w:rsidR="00D807C4" w:rsidRPr="00D807C4" w:rsidRDefault="00D807C4" w:rsidP="00D807C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807C4">
              <w:rPr>
                <w:rFonts w:ascii="Arial" w:hAnsi="Arial" w:cs="Arial"/>
                <w:sz w:val="18"/>
                <w:szCs w:val="18"/>
              </w:rPr>
              <w:t xml:space="preserve">Issues raised quickly </w:t>
            </w:r>
          </w:p>
          <w:p w14:paraId="7C52D375" w14:textId="77777777" w:rsidR="008975BA" w:rsidRPr="008975BA" w:rsidRDefault="008975BA" w:rsidP="00D80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6024D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9334D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BAC2E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AE92C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26A05" w14:textId="77777777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AEB7B" w14:textId="686FE1B2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46CB2857" w14:textId="77777777" w:rsidR="00D807C4" w:rsidRPr="00D807C4" w:rsidRDefault="00D807C4" w:rsidP="00D80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807C4">
              <w:rPr>
                <w:rFonts w:ascii="Arial" w:hAnsi="Arial" w:cs="Arial"/>
                <w:sz w:val="18"/>
                <w:szCs w:val="18"/>
              </w:rPr>
              <w:t>Monthly update on apprentice progress provided</w:t>
            </w:r>
          </w:p>
          <w:p w14:paraId="0E84FD28" w14:textId="77777777" w:rsidR="008975BA" w:rsidRDefault="00D807C4" w:rsidP="00D80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trajectory for future </w:t>
            </w:r>
          </w:p>
          <w:p w14:paraId="74D8BEE6" w14:textId="6E719F68" w:rsidR="00D807C4" w:rsidRPr="008975BA" w:rsidRDefault="00D807C4" w:rsidP="00D807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Induction or other briefing for line manager </w:t>
            </w:r>
          </w:p>
        </w:tc>
        <w:tc>
          <w:tcPr>
            <w:tcW w:w="2448" w:type="dxa"/>
          </w:tcPr>
          <w:p w14:paraId="3A206901" w14:textId="58F282DD" w:rsidR="008975BA" w:rsidRPr="00BD1654" w:rsidRDefault="008975BA" w:rsidP="00BD1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>Weekly R</w:t>
            </w:r>
            <w:r w:rsidR="00D807C4">
              <w:rPr>
                <w:rFonts w:ascii="Arial" w:hAnsi="Arial" w:cs="Arial"/>
                <w:sz w:val="18"/>
                <w:szCs w:val="18"/>
              </w:rPr>
              <w:t>e</w:t>
            </w:r>
            <w:r w:rsidRPr="008975BA">
              <w:rPr>
                <w:rFonts w:ascii="Arial" w:hAnsi="Arial" w:cs="Arial"/>
                <w:sz w:val="18"/>
                <w:szCs w:val="18"/>
              </w:rPr>
              <w:t>d/Amber/ Green rated progress summary, attendance and achievement grades as they are issued</w:t>
            </w:r>
          </w:p>
        </w:tc>
        <w:tc>
          <w:tcPr>
            <w:tcW w:w="2755" w:type="dxa"/>
          </w:tcPr>
          <w:p w14:paraId="29DE5A71" w14:textId="2C83A0F6" w:rsidR="008975BA" w:rsidRPr="00D807C4" w:rsidRDefault="008975BA" w:rsidP="00D80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807C4">
              <w:rPr>
                <w:rFonts w:ascii="Arial" w:hAnsi="Arial" w:cs="Arial"/>
                <w:sz w:val="18"/>
                <w:szCs w:val="18"/>
              </w:rPr>
              <w:t>Line manager attends all meetings and is up to dat</w:t>
            </w:r>
            <w:r w:rsidR="00D807C4">
              <w:rPr>
                <w:rFonts w:ascii="Arial" w:hAnsi="Arial" w:cs="Arial"/>
                <w:sz w:val="18"/>
                <w:szCs w:val="18"/>
              </w:rPr>
              <w:t>e</w:t>
            </w:r>
            <w:r w:rsidRPr="00D807C4">
              <w:rPr>
                <w:rFonts w:ascii="Arial" w:hAnsi="Arial" w:cs="Arial"/>
                <w:sz w:val="18"/>
                <w:szCs w:val="18"/>
              </w:rPr>
              <w:t xml:space="preserve"> with apprentice progress in the workplace</w:t>
            </w:r>
            <w:r w:rsidR="00D807C4">
              <w:rPr>
                <w:rFonts w:ascii="Arial" w:hAnsi="Arial" w:cs="Arial"/>
                <w:sz w:val="18"/>
                <w:szCs w:val="18"/>
              </w:rPr>
              <w:t>, offering examples of skills achieved at review</w:t>
            </w:r>
            <w:r w:rsidR="00BD1654">
              <w:rPr>
                <w:rFonts w:ascii="Arial" w:hAnsi="Arial" w:cs="Arial"/>
                <w:sz w:val="18"/>
                <w:szCs w:val="18"/>
              </w:rPr>
              <w:t>s</w:t>
            </w:r>
            <w:r w:rsidR="00D807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07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08691120" w14:textId="55BF604D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5BA" w:rsidRPr="00252763" w14:paraId="0C9C8ABA" w14:textId="77777777" w:rsidTr="00335A62">
        <w:trPr>
          <w:trHeight w:val="1105"/>
        </w:trPr>
        <w:tc>
          <w:tcPr>
            <w:tcW w:w="1728" w:type="dxa"/>
            <w:gridSpan w:val="2"/>
          </w:tcPr>
          <w:p w14:paraId="666C2501" w14:textId="7878528C" w:rsidR="008975BA" w:rsidRPr="008975BA" w:rsidRDefault="008975BA" w:rsidP="0049321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975B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Support for School line manager and apprentice</w:t>
            </w:r>
          </w:p>
          <w:p w14:paraId="3B03CD9B" w14:textId="1BF379D2" w:rsidR="008975BA" w:rsidRPr="008975BA" w:rsidRDefault="008975BA" w:rsidP="0049321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66951DD7" w14:textId="4D077A90" w:rsidR="008975BA" w:rsidRPr="00D807C4" w:rsidRDefault="008975BA" w:rsidP="0049321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07C4">
              <w:rPr>
                <w:rFonts w:ascii="Arial" w:hAnsi="Arial" w:cs="Arial"/>
                <w:color w:val="auto"/>
                <w:sz w:val="18"/>
                <w:szCs w:val="18"/>
              </w:rPr>
              <w:t>How will the provider s</w:t>
            </w:r>
            <w:r w:rsidR="00D807C4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Pr="00D807C4">
              <w:rPr>
                <w:rFonts w:ascii="Arial" w:hAnsi="Arial" w:cs="Arial"/>
                <w:color w:val="auto"/>
                <w:sz w:val="18"/>
                <w:szCs w:val="18"/>
              </w:rPr>
              <w:t xml:space="preserve">pport the </w:t>
            </w:r>
            <w:r w:rsidR="00D807C4">
              <w:rPr>
                <w:rFonts w:ascii="Arial" w:hAnsi="Arial" w:cs="Arial"/>
                <w:color w:val="auto"/>
                <w:sz w:val="18"/>
                <w:szCs w:val="18"/>
              </w:rPr>
              <w:t xml:space="preserve">line manager and </w:t>
            </w:r>
            <w:r w:rsidR="00364B4D">
              <w:rPr>
                <w:rFonts w:ascii="Arial" w:hAnsi="Arial" w:cs="Arial"/>
                <w:color w:val="auto"/>
                <w:sz w:val="18"/>
                <w:szCs w:val="18"/>
              </w:rPr>
              <w:t>apprentice?</w:t>
            </w:r>
          </w:p>
          <w:p w14:paraId="3DB0BF67" w14:textId="77777777" w:rsidR="008975BA" w:rsidRPr="00D807C4" w:rsidRDefault="008975BA" w:rsidP="0049321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83ECD3" w14:textId="5DD489A1" w:rsidR="008975BA" w:rsidRPr="008975BA" w:rsidRDefault="008975BA" w:rsidP="0049321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430BCF3" w14:textId="77777777" w:rsidR="008975BA" w:rsidRDefault="00BD1654" w:rsidP="00BD165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meetings, information exchange </w:t>
            </w:r>
          </w:p>
          <w:p w14:paraId="3F21511D" w14:textId="7F8F78D5" w:rsidR="00BD1654" w:rsidRPr="00BD1654" w:rsidRDefault="00BD1654" w:rsidP="00BD165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14:paraId="7C31A61D" w14:textId="3E1B73EC" w:rsidR="008975BA" w:rsidRPr="00BD1654" w:rsidRDefault="00BD1654" w:rsidP="00BD165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Thorough briefing/inductions with supporting information for line manager  </w:t>
            </w:r>
          </w:p>
        </w:tc>
        <w:tc>
          <w:tcPr>
            <w:tcW w:w="2448" w:type="dxa"/>
          </w:tcPr>
          <w:p w14:paraId="195C5D42" w14:textId="77777777" w:rsidR="008975BA" w:rsidRDefault="00D807C4" w:rsidP="00493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975BA">
              <w:rPr>
                <w:rFonts w:ascii="Arial" w:hAnsi="Arial" w:cs="Arial"/>
                <w:sz w:val="18"/>
                <w:szCs w:val="18"/>
              </w:rPr>
              <w:t xml:space="preserve">Manager and apprentice ‘handbook, guidance or other support for </w:t>
            </w:r>
            <w:r>
              <w:rPr>
                <w:rFonts w:ascii="Arial" w:hAnsi="Arial" w:cs="Arial"/>
                <w:sz w:val="18"/>
                <w:szCs w:val="18"/>
              </w:rPr>
              <w:t xml:space="preserve">line manager / apprentice in place. </w:t>
            </w:r>
          </w:p>
          <w:p w14:paraId="17BEABE9" w14:textId="7B05D758" w:rsidR="00D807C4" w:rsidRPr="008975BA" w:rsidRDefault="00BD1654" w:rsidP="004932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meetings planning forward learning and support t</w:t>
            </w:r>
          </w:p>
        </w:tc>
        <w:tc>
          <w:tcPr>
            <w:tcW w:w="2755" w:type="dxa"/>
          </w:tcPr>
          <w:p w14:paraId="0CA9462C" w14:textId="77B4C0A1" w:rsidR="008975BA" w:rsidRPr="00D807C4" w:rsidRDefault="00D807C4" w:rsidP="00D80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975BA" w:rsidRPr="00D807C4">
              <w:rPr>
                <w:rFonts w:ascii="Arial" w:hAnsi="Arial" w:cs="Arial"/>
                <w:sz w:val="18"/>
                <w:szCs w:val="18"/>
              </w:rPr>
              <w:t>nsure that line man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975BA" w:rsidRPr="00D807C4">
              <w:rPr>
                <w:rFonts w:ascii="Arial" w:hAnsi="Arial" w:cs="Arial"/>
                <w:sz w:val="18"/>
                <w:szCs w:val="18"/>
              </w:rPr>
              <w:t>gers understand what is required by th</w:t>
            </w:r>
            <w:r>
              <w:rPr>
                <w:rFonts w:ascii="Arial" w:hAnsi="Arial" w:cs="Arial"/>
                <w:sz w:val="18"/>
                <w:szCs w:val="18"/>
              </w:rPr>
              <w:t>e apprenticeship and takes their role on fully</w:t>
            </w:r>
            <w:r w:rsidR="008975BA" w:rsidRPr="00D807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08D5C96A" w14:textId="52406D2D" w:rsidR="008975BA" w:rsidRPr="008975BA" w:rsidRDefault="008975BA" w:rsidP="004932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5BA" w:rsidRPr="00252763" w14:paraId="28CFD80C" w14:textId="77777777" w:rsidTr="00335A62">
        <w:tc>
          <w:tcPr>
            <w:tcW w:w="704" w:type="dxa"/>
          </w:tcPr>
          <w:p w14:paraId="6FD06CF2" w14:textId="77777777" w:rsidR="008975BA" w:rsidRPr="00252763" w:rsidRDefault="008975BA" w:rsidP="0049321C">
            <w:pPr>
              <w:rPr>
                <w:rFonts w:ascii="Arial" w:hAnsi="Arial" w:cs="Arial"/>
                <w:color w:val="990099"/>
                <w:sz w:val="28"/>
                <w:szCs w:val="32"/>
              </w:rPr>
            </w:pPr>
          </w:p>
        </w:tc>
        <w:tc>
          <w:tcPr>
            <w:tcW w:w="14459" w:type="dxa"/>
            <w:gridSpan w:val="6"/>
          </w:tcPr>
          <w:p w14:paraId="23CA73F9" w14:textId="54F5ABE6" w:rsidR="008975BA" w:rsidRPr="00252763" w:rsidRDefault="008975BA" w:rsidP="0049321C">
            <w:pPr>
              <w:rPr>
                <w:rFonts w:ascii="Arial" w:hAnsi="Arial" w:cs="Arial"/>
              </w:rPr>
            </w:pPr>
            <w:r w:rsidRPr="00252763">
              <w:rPr>
                <w:rFonts w:ascii="Arial" w:hAnsi="Arial" w:cs="Arial"/>
                <w:color w:val="990099"/>
                <w:sz w:val="28"/>
                <w:szCs w:val="32"/>
              </w:rPr>
              <w:t xml:space="preserve">Comments </w:t>
            </w:r>
            <w:r>
              <w:rPr>
                <w:rFonts w:ascii="Arial" w:hAnsi="Arial" w:cs="Arial"/>
                <w:color w:val="990099"/>
                <w:sz w:val="28"/>
                <w:szCs w:val="32"/>
              </w:rPr>
              <w:t xml:space="preserve">&amp; Conclusions </w:t>
            </w:r>
          </w:p>
        </w:tc>
      </w:tr>
      <w:tr w:rsidR="008975BA" w:rsidRPr="00252763" w14:paraId="5D726162" w14:textId="77777777" w:rsidTr="00335A62">
        <w:trPr>
          <w:trHeight w:val="3116"/>
        </w:trPr>
        <w:tc>
          <w:tcPr>
            <w:tcW w:w="704" w:type="dxa"/>
          </w:tcPr>
          <w:p w14:paraId="4CF2012E" w14:textId="77777777" w:rsidR="008975BA" w:rsidRDefault="008975BA" w:rsidP="0049321C">
            <w:pPr>
              <w:rPr>
                <w:rFonts w:ascii="Arial" w:hAnsi="Arial" w:cs="Arial"/>
              </w:rPr>
            </w:pPr>
          </w:p>
        </w:tc>
        <w:tc>
          <w:tcPr>
            <w:tcW w:w="14459" w:type="dxa"/>
            <w:gridSpan w:val="6"/>
          </w:tcPr>
          <w:p w14:paraId="0ABD586E" w14:textId="77777777" w:rsidR="008975BA" w:rsidRDefault="008975BA" w:rsidP="0049321C">
            <w:pPr>
              <w:rPr>
                <w:rFonts w:ascii="Arial" w:hAnsi="Arial" w:cs="Arial"/>
              </w:rPr>
            </w:pPr>
          </w:p>
          <w:p w14:paraId="62112FC1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6EC6C38C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37283C21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59B16851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1D82D841" w14:textId="7D622C10" w:rsidR="00DA1038" w:rsidRDefault="00DA1038" w:rsidP="0049321C">
            <w:pPr>
              <w:rPr>
                <w:rFonts w:ascii="Arial" w:hAnsi="Arial" w:cs="Arial"/>
              </w:rPr>
            </w:pPr>
          </w:p>
          <w:p w14:paraId="3A416BAE" w14:textId="7ACCD470" w:rsidR="00DA1038" w:rsidRDefault="00DA1038" w:rsidP="0049321C">
            <w:pPr>
              <w:rPr>
                <w:rFonts w:ascii="Arial" w:hAnsi="Arial" w:cs="Arial"/>
              </w:rPr>
            </w:pPr>
          </w:p>
          <w:p w14:paraId="1EFED1EA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39248FFF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4241E50A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15B84862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5ACEEA6F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79776DCA" w14:textId="1E405648" w:rsidR="00DA1038" w:rsidRDefault="00DA1038" w:rsidP="0049321C">
            <w:pPr>
              <w:rPr>
                <w:rFonts w:ascii="Arial" w:hAnsi="Arial" w:cs="Arial"/>
              </w:rPr>
            </w:pPr>
          </w:p>
          <w:p w14:paraId="43683177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6872EF81" w14:textId="77777777" w:rsidR="00DA1038" w:rsidRDefault="00DA1038" w:rsidP="0049321C">
            <w:pPr>
              <w:rPr>
                <w:rFonts w:ascii="Arial" w:hAnsi="Arial" w:cs="Arial"/>
              </w:rPr>
            </w:pPr>
          </w:p>
          <w:p w14:paraId="58F22B42" w14:textId="1C5B2778" w:rsidR="00DA1038" w:rsidRPr="00252763" w:rsidRDefault="00DA1038" w:rsidP="0049321C">
            <w:pPr>
              <w:rPr>
                <w:rFonts w:ascii="Arial" w:hAnsi="Arial" w:cs="Arial"/>
              </w:rPr>
            </w:pPr>
          </w:p>
        </w:tc>
      </w:tr>
    </w:tbl>
    <w:p w14:paraId="3A677F36" w14:textId="77777777" w:rsidR="006C22DB" w:rsidRPr="00252763" w:rsidRDefault="006C22DB" w:rsidP="008975BA">
      <w:pPr>
        <w:rPr>
          <w:rFonts w:ascii="Arial" w:hAnsi="Arial" w:cs="Arial"/>
        </w:rPr>
      </w:pPr>
      <w:bookmarkStart w:id="0" w:name="_GoBack"/>
      <w:bookmarkEnd w:id="0"/>
    </w:p>
    <w:sectPr w:rsidR="006C22DB" w:rsidRPr="00252763" w:rsidSect="00347595">
      <w:headerReference w:type="default" r:id="rId8"/>
      <w:footerReference w:type="default" r:id="rId9"/>
      <w:pgSz w:w="16838" w:h="11906" w:orient="landscape"/>
      <w:pgMar w:top="851" w:right="678" w:bottom="993" w:left="851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8246" w14:textId="77777777" w:rsidR="00462ACC" w:rsidRDefault="00462ACC" w:rsidP="006C22DB">
      <w:pPr>
        <w:spacing w:after="0"/>
      </w:pPr>
      <w:r>
        <w:separator/>
      </w:r>
    </w:p>
  </w:endnote>
  <w:endnote w:type="continuationSeparator" w:id="0">
    <w:p w14:paraId="7126DACC" w14:textId="77777777" w:rsidR="00462ACC" w:rsidRDefault="00462ACC" w:rsidP="006C2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1729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1521D" w14:textId="30E204E3" w:rsidR="00A25701" w:rsidRDefault="00A257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F2889E" w14:textId="77777777" w:rsidR="00A25701" w:rsidRDefault="00A2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9F4C" w14:textId="77777777" w:rsidR="00462ACC" w:rsidRDefault="00462ACC" w:rsidP="006C22DB">
      <w:pPr>
        <w:spacing w:after="0"/>
      </w:pPr>
      <w:r>
        <w:separator/>
      </w:r>
    </w:p>
  </w:footnote>
  <w:footnote w:type="continuationSeparator" w:id="0">
    <w:p w14:paraId="0724972B" w14:textId="77777777" w:rsidR="00462ACC" w:rsidRDefault="00462ACC" w:rsidP="006C2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087F" w14:textId="079BC1B0" w:rsidR="006C22DB" w:rsidRPr="00252763" w:rsidRDefault="006C22DB" w:rsidP="00252763">
    <w:pPr>
      <w:pStyle w:val="Header"/>
      <w:jc w:val="center"/>
      <w:rPr>
        <w:rFonts w:ascii="Arial" w:hAnsi="Arial" w:cs="Arial"/>
        <w:color w:val="990099"/>
        <w:sz w:val="28"/>
        <w:szCs w:val="32"/>
      </w:rPr>
    </w:pPr>
    <w:r w:rsidRPr="00252763">
      <w:rPr>
        <w:rFonts w:ascii="Arial" w:hAnsi="Arial" w:cs="Arial"/>
        <w:color w:val="990099"/>
        <w:sz w:val="28"/>
        <w:szCs w:val="32"/>
      </w:rPr>
      <w:t>Apprenticeships in Schools - Assessing Apprenticeship Tr</w:t>
    </w:r>
    <w:r w:rsidR="00916F70" w:rsidRPr="00252763">
      <w:rPr>
        <w:rFonts w:ascii="Arial" w:hAnsi="Arial" w:cs="Arial"/>
        <w:color w:val="990099"/>
        <w:sz w:val="28"/>
        <w:szCs w:val="32"/>
      </w:rPr>
      <w:t xml:space="preserve">aining </w:t>
    </w:r>
    <w:r w:rsidRPr="00252763">
      <w:rPr>
        <w:rFonts w:ascii="Arial" w:hAnsi="Arial" w:cs="Arial"/>
        <w:color w:val="990099"/>
        <w:sz w:val="28"/>
        <w:szCs w:val="32"/>
      </w:rPr>
      <w:t>Providers</w:t>
    </w:r>
    <w:r w:rsidR="00335A62">
      <w:rPr>
        <w:rFonts w:ascii="Arial" w:hAnsi="Arial" w:cs="Arial"/>
        <w:color w:val="990099"/>
        <w:sz w:val="28"/>
        <w:szCs w:val="32"/>
      </w:rPr>
      <w:t xml:space="preserve">-Template </w:t>
    </w:r>
    <w:r w:rsidR="00DA1038">
      <w:rPr>
        <w:rFonts w:ascii="Arial" w:hAnsi="Arial" w:cs="Arial"/>
        <w:color w:val="990099"/>
        <w:sz w:val="28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343"/>
    <w:multiLevelType w:val="hybridMultilevel"/>
    <w:tmpl w:val="DB946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8C"/>
    <w:multiLevelType w:val="hybridMultilevel"/>
    <w:tmpl w:val="21681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51D9A"/>
    <w:multiLevelType w:val="hybridMultilevel"/>
    <w:tmpl w:val="0D8E7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973"/>
    <w:multiLevelType w:val="hybridMultilevel"/>
    <w:tmpl w:val="20247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10E82"/>
    <w:multiLevelType w:val="hybridMultilevel"/>
    <w:tmpl w:val="97F4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DF8"/>
    <w:multiLevelType w:val="hybridMultilevel"/>
    <w:tmpl w:val="E1786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03368"/>
    <w:multiLevelType w:val="hybridMultilevel"/>
    <w:tmpl w:val="BD3E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B02B0"/>
    <w:multiLevelType w:val="hybridMultilevel"/>
    <w:tmpl w:val="AFA84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670AA"/>
    <w:multiLevelType w:val="hybridMultilevel"/>
    <w:tmpl w:val="DB946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4B7C"/>
    <w:multiLevelType w:val="hybridMultilevel"/>
    <w:tmpl w:val="25745E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A7192"/>
    <w:multiLevelType w:val="hybridMultilevel"/>
    <w:tmpl w:val="7F3EE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1F711C"/>
    <w:multiLevelType w:val="hybridMultilevel"/>
    <w:tmpl w:val="AB3C96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AA396C"/>
    <w:multiLevelType w:val="hybridMultilevel"/>
    <w:tmpl w:val="AB3C96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97727"/>
    <w:multiLevelType w:val="hybridMultilevel"/>
    <w:tmpl w:val="8D4A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316BC"/>
    <w:multiLevelType w:val="hybridMultilevel"/>
    <w:tmpl w:val="4EDA5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C2808"/>
    <w:multiLevelType w:val="hybridMultilevel"/>
    <w:tmpl w:val="33E4F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5743B"/>
    <w:multiLevelType w:val="hybridMultilevel"/>
    <w:tmpl w:val="84AEB1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05269"/>
    <w:multiLevelType w:val="hybridMultilevel"/>
    <w:tmpl w:val="A7C6E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914B5"/>
    <w:multiLevelType w:val="hybridMultilevel"/>
    <w:tmpl w:val="33E4F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1F5A"/>
    <w:multiLevelType w:val="hybridMultilevel"/>
    <w:tmpl w:val="4EDA5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2D19A1"/>
    <w:multiLevelType w:val="hybridMultilevel"/>
    <w:tmpl w:val="25745E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9"/>
  </w:num>
  <w:num w:numId="8">
    <w:abstractNumId w:val="14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5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9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62"/>
    <w:rsid w:val="000B5540"/>
    <w:rsid w:val="001121D1"/>
    <w:rsid w:val="0017472F"/>
    <w:rsid w:val="00252763"/>
    <w:rsid w:val="002C2EC5"/>
    <w:rsid w:val="00335A62"/>
    <w:rsid w:val="00347595"/>
    <w:rsid w:val="00364B4D"/>
    <w:rsid w:val="003A7F03"/>
    <w:rsid w:val="00462ACC"/>
    <w:rsid w:val="0049321C"/>
    <w:rsid w:val="006C22DB"/>
    <w:rsid w:val="007B1D54"/>
    <w:rsid w:val="0088146C"/>
    <w:rsid w:val="008830A3"/>
    <w:rsid w:val="008975BA"/>
    <w:rsid w:val="00916F70"/>
    <w:rsid w:val="009E6DCE"/>
    <w:rsid w:val="00A17D62"/>
    <w:rsid w:val="00A25701"/>
    <w:rsid w:val="00B22DBC"/>
    <w:rsid w:val="00B23B80"/>
    <w:rsid w:val="00B61123"/>
    <w:rsid w:val="00BD1654"/>
    <w:rsid w:val="00C17A63"/>
    <w:rsid w:val="00C56BE3"/>
    <w:rsid w:val="00D807C4"/>
    <w:rsid w:val="00DA1038"/>
    <w:rsid w:val="00DC4029"/>
    <w:rsid w:val="00DD729B"/>
    <w:rsid w:val="00E94CF1"/>
    <w:rsid w:val="00F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307BE"/>
  <w15:chartTrackingRefBased/>
  <w15:docId w15:val="{50524AD7-F4EC-4088-85AD-DBEC98E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404040" w:themeColor="text1" w:themeTint="BF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2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2DB"/>
  </w:style>
  <w:style w:type="paragraph" w:styleId="Footer">
    <w:name w:val="footer"/>
    <w:basedOn w:val="Normal"/>
    <w:link w:val="FooterChar"/>
    <w:uiPriority w:val="99"/>
    <w:unhideWhenUsed/>
    <w:rsid w:val="006C22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2DB"/>
  </w:style>
  <w:style w:type="table" w:styleId="TableGrid">
    <w:name w:val="Table Grid"/>
    <w:basedOn w:val="TableNormal"/>
    <w:uiPriority w:val="39"/>
    <w:rsid w:val="006C22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F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Rhodes</dc:creator>
  <cp:keywords/>
  <dc:description/>
  <cp:lastModifiedBy>Rebecca Rhodes</cp:lastModifiedBy>
  <cp:revision>2</cp:revision>
  <dcterms:created xsi:type="dcterms:W3CDTF">2019-12-18T01:19:00Z</dcterms:created>
  <dcterms:modified xsi:type="dcterms:W3CDTF">2019-12-18T01:19:00Z</dcterms:modified>
</cp:coreProperties>
</file>