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403D" w14:textId="359659C9" w:rsidR="00372E8A" w:rsidRPr="00526AEA" w:rsidRDefault="003042F3" w:rsidP="00F15577">
      <w:pPr>
        <w:pStyle w:val="DeptBullets"/>
        <w:tabs>
          <w:tab w:val="clear" w:pos="720"/>
        </w:tabs>
        <w:spacing w:after="0"/>
        <w:ind w:left="360" w:firstLine="0"/>
        <w:rPr>
          <w:b/>
          <w:bCs/>
        </w:rPr>
      </w:pPr>
      <w:r w:rsidRPr="00526AEA">
        <w:rPr>
          <w:b/>
          <w:bCs/>
        </w:rPr>
        <w:t>LGA</w:t>
      </w:r>
      <w:r w:rsidR="00413F92" w:rsidRPr="00526AEA">
        <w:rPr>
          <w:b/>
          <w:bCs/>
        </w:rPr>
        <w:t xml:space="preserve"> webinar (29 April 2021)</w:t>
      </w:r>
    </w:p>
    <w:p w14:paraId="0418FE27" w14:textId="77777777" w:rsidR="00413F92" w:rsidRPr="002E58B3" w:rsidRDefault="00413F92" w:rsidP="00F15577">
      <w:pPr>
        <w:pStyle w:val="DeptBullets"/>
        <w:tabs>
          <w:tab w:val="clear" w:pos="720"/>
        </w:tabs>
        <w:spacing w:after="0"/>
        <w:ind w:left="360" w:firstLine="0"/>
        <w:rPr>
          <w:b/>
          <w:bCs/>
          <w:u w:val="single"/>
        </w:rPr>
      </w:pPr>
    </w:p>
    <w:p w14:paraId="7B01A409" w14:textId="77777777" w:rsidR="00F228E3" w:rsidRPr="002E58B3" w:rsidRDefault="00F228E3" w:rsidP="00F15577">
      <w:pPr>
        <w:pStyle w:val="DeptBullets"/>
        <w:spacing w:after="0"/>
        <w:ind w:left="360" w:firstLine="0"/>
        <w:rPr>
          <w:b/>
          <w:bCs/>
          <w:u w:val="single"/>
        </w:rPr>
      </w:pPr>
      <w:r w:rsidRPr="002E58B3">
        <w:rPr>
          <w:b/>
          <w:bCs/>
          <w:u w:val="single"/>
        </w:rPr>
        <w:t>Early Career Framework reforms and Department for Education update</w:t>
      </w:r>
    </w:p>
    <w:p w14:paraId="228A78C8" w14:textId="08FEE48F" w:rsidR="00372E8A" w:rsidRPr="00F15577" w:rsidRDefault="00F228E3" w:rsidP="00F15577">
      <w:pPr>
        <w:pStyle w:val="DeptBullets"/>
        <w:tabs>
          <w:tab w:val="clear" w:pos="720"/>
        </w:tabs>
        <w:spacing w:after="0"/>
        <w:ind w:left="360" w:firstLine="0"/>
        <w:rPr>
          <w:i/>
          <w:iCs/>
        </w:rPr>
      </w:pPr>
      <w:r w:rsidRPr="00F15577">
        <w:rPr>
          <w:i/>
          <w:iCs/>
        </w:rPr>
        <w:t>Nathan Easey, Head of Induction Regulations and Korin Wilshaw, Head of Appropriate Bodies, Department for Education</w:t>
      </w:r>
    </w:p>
    <w:p w14:paraId="07ACC3A2" w14:textId="77777777" w:rsidR="00F228E3" w:rsidRPr="002E58B3" w:rsidRDefault="00F228E3" w:rsidP="00F15577">
      <w:pPr>
        <w:pStyle w:val="DeptBullets"/>
        <w:tabs>
          <w:tab w:val="clear" w:pos="720"/>
        </w:tabs>
        <w:spacing w:after="0"/>
        <w:ind w:left="360" w:firstLine="0"/>
        <w:rPr>
          <w:b/>
          <w:bCs/>
          <w:u w:val="single"/>
        </w:rPr>
      </w:pPr>
    </w:p>
    <w:p w14:paraId="7D7C8EA5" w14:textId="77F6B25F" w:rsidR="00F228E3" w:rsidRPr="00F15577" w:rsidRDefault="00D1784F" w:rsidP="00F15577">
      <w:pPr>
        <w:pStyle w:val="DeptBullets"/>
        <w:tabs>
          <w:tab w:val="clear" w:pos="720"/>
        </w:tabs>
        <w:spacing w:after="0"/>
        <w:ind w:left="360" w:firstLine="0"/>
      </w:pPr>
      <w:r w:rsidRPr="00F15577">
        <w:t>For additional information, please see:</w:t>
      </w:r>
    </w:p>
    <w:p w14:paraId="1D1F82AE" w14:textId="72EC62E6" w:rsidR="00D1784F" w:rsidRPr="00D930E5" w:rsidRDefault="0047361A" w:rsidP="00F77707">
      <w:pPr>
        <w:pStyle w:val="DeptBullets"/>
        <w:numPr>
          <w:ilvl w:val="0"/>
          <w:numId w:val="16"/>
        </w:numPr>
        <w:spacing w:after="0"/>
        <w:rPr>
          <w:b/>
          <w:bCs/>
        </w:rPr>
      </w:pPr>
      <w:hyperlink r:id="rId8" w:history="1">
        <w:r w:rsidR="00772186" w:rsidRPr="00D930E5">
          <w:rPr>
            <w:rStyle w:val="Hyperlink"/>
            <w:b/>
            <w:bCs/>
          </w:rPr>
          <w:t>Statutory guidance</w:t>
        </w:r>
        <w:r w:rsidR="002E58B3" w:rsidRPr="00D930E5">
          <w:rPr>
            <w:rStyle w:val="Hyperlink"/>
            <w:b/>
            <w:bCs/>
          </w:rPr>
          <w:t xml:space="preserve">: </w:t>
        </w:r>
        <w:r w:rsidR="00772186" w:rsidRPr="00D930E5">
          <w:rPr>
            <w:rStyle w:val="Hyperlink"/>
            <w:b/>
            <w:bCs/>
          </w:rPr>
          <w:t>Induction for early career teachers (England)</w:t>
        </w:r>
      </w:hyperlink>
    </w:p>
    <w:p w14:paraId="56AEBD5F" w14:textId="1D4C61DB" w:rsidR="00F15577" w:rsidRPr="00D930E5" w:rsidRDefault="0047361A" w:rsidP="00F77707">
      <w:pPr>
        <w:pStyle w:val="DeptBullets"/>
        <w:numPr>
          <w:ilvl w:val="0"/>
          <w:numId w:val="16"/>
        </w:numPr>
        <w:spacing w:after="0"/>
        <w:rPr>
          <w:b/>
          <w:bCs/>
        </w:rPr>
      </w:pPr>
      <w:hyperlink r:id="rId9" w:history="1">
        <w:r w:rsidR="002B09CE" w:rsidRPr="00D930E5">
          <w:rPr>
            <w:rStyle w:val="Hyperlink"/>
            <w:b/>
            <w:bCs/>
          </w:rPr>
          <w:t>Appropriate bodies guidance: induction and the early career framework</w:t>
        </w:r>
      </w:hyperlink>
    </w:p>
    <w:p w14:paraId="619578CC" w14:textId="297006B6" w:rsidR="001E3192" w:rsidRPr="00D930E5" w:rsidRDefault="0047361A" w:rsidP="00F77707">
      <w:pPr>
        <w:pStyle w:val="DeptBullets"/>
        <w:numPr>
          <w:ilvl w:val="0"/>
          <w:numId w:val="16"/>
        </w:numPr>
        <w:spacing w:after="0"/>
        <w:rPr>
          <w:b/>
          <w:bCs/>
        </w:rPr>
      </w:pPr>
      <w:hyperlink r:id="rId10" w:history="1">
        <w:r w:rsidR="00B76F7F" w:rsidRPr="00D930E5">
          <w:rPr>
            <w:rStyle w:val="Hyperlink"/>
            <w:b/>
            <w:bCs/>
          </w:rPr>
          <w:t>Early career framework reforms: overview</w:t>
        </w:r>
      </w:hyperlink>
    </w:p>
    <w:p w14:paraId="7C4FAC6D" w14:textId="77777777" w:rsidR="00F228E3" w:rsidRDefault="00F228E3" w:rsidP="00F15577">
      <w:pPr>
        <w:pStyle w:val="DeptBullets"/>
        <w:tabs>
          <w:tab w:val="clear" w:pos="720"/>
        </w:tabs>
        <w:spacing w:after="0"/>
        <w:ind w:left="360" w:firstLine="0"/>
      </w:pPr>
    </w:p>
    <w:p w14:paraId="6C8ACA3A" w14:textId="1AEC1673" w:rsidR="00D930E5" w:rsidRDefault="00BC0029" w:rsidP="00F15577">
      <w:pPr>
        <w:pStyle w:val="DeptBullets"/>
        <w:tabs>
          <w:tab w:val="clear" w:pos="720"/>
        </w:tabs>
        <w:spacing w:after="0"/>
        <w:ind w:left="360" w:firstLine="0"/>
      </w:pPr>
      <w:r>
        <w:t xml:space="preserve">Below are </w:t>
      </w:r>
      <w:r w:rsidR="008A2107">
        <w:t>answers to the questions raised in the</w:t>
      </w:r>
      <w:r w:rsidR="00081E8A">
        <w:t xml:space="preserve"> webinar</w:t>
      </w:r>
      <w:r w:rsidR="00AF4880">
        <w:t xml:space="preserve"> by attendees.</w:t>
      </w:r>
    </w:p>
    <w:p w14:paraId="0D511919" w14:textId="77777777" w:rsidR="00D930E5" w:rsidRPr="00F15577" w:rsidRDefault="00D930E5" w:rsidP="00F15577">
      <w:pPr>
        <w:pStyle w:val="DeptBullets"/>
        <w:tabs>
          <w:tab w:val="clear" w:pos="720"/>
        </w:tabs>
        <w:spacing w:after="0"/>
        <w:ind w:left="360" w:firstLine="0"/>
      </w:pPr>
    </w:p>
    <w:p w14:paraId="35B45E0C" w14:textId="60698C78" w:rsidR="009573F2" w:rsidRPr="002E58B3" w:rsidRDefault="009573F2" w:rsidP="00F15577">
      <w:pPr>
        <w:pStyle w:val="DeptBullets"/>
        <w:tabs>
          <w:tab w:val="clear" w:pos="720"/>
        </w:tabs>
        <w:spacing w:after="0"/>
        <w:ind w:left="360" w:firstLine="0"/>
      </w:pPr>
      <w:r w:rsidRPr="002E58B3">
        <w:rPr>
          <w:b/>
          <w:bCs/>
          <w:u w:val="single"/>
        </w:rPr>
        <w:t>General</w:t>
      </w:r>
    </w:p>
    <w:p w14:paraId="6388CED2" w14:textId="77777777" w:rsidR="009573F2" w:rsidRPr="002E58B3" w:rsidRDefault="009573F2" w:rsidP="00F15577">
      <w:pPr>
        <w:pStyle w:val="DeptBullets"/>
        <w:tabs>
          <w:tab w:val="clear" w:pos="720"/>
        </w:tabs>
        <w:spacing w:after="0"/>
        <w:ind w:left="360" w:firstLine="0"/>
        <w:rPr>
          <w:b/>
          <w:bCs/>
        </w:rPr>
      </w:pPr>
      <w:r w:rsidRPr="002E58B3">
        <w:rPr>
          <w:b/>
          <w:bCs/>
        </w:rPr>
        <w:t>Q: Are we able to share these slides with schools when cascading the information?</w:t>
      </w:r>
    </w:p>
    <w:p w14:paraId="12732DAD" w14:textId="63BE44D1" w:rsidR="009573F2" w:rsidRPr="002E58B3" w:rsidRDefault="009573F2" w:rsidP="00F15577">
      <w:pPr>
        <w:pStyle w:val="DeptBullets"/>
        <w:tabs>
          <w:tab w:val="clear" w:pos="720"/>
        </w:tabs>
        <w:spacing w:after="0"/>
        <w:ind w:left="360" w:firstLine="0"/>
      </w:pPr>
      <w:r w:rsidRPr="002E58B3">
        <w:rPr>
          <w:b/>
          <w:bCs/>
        </w:rPr>
        <w:t>A:</w:t>
      </w:r>
      <w:r w:rsidR="00511BB9" w:rsidRPr="002E58B3">
        <w:rPr>
          <w:b/>
          <w:bCs/>
        </w:rPr>
        <w:t xml:space="preserve"> </w:t>
      </w:r>
      <w:r w:rsidR="00511BB9" w:rsidRPr="002E58B3">
        <w:t xml:space="preserve">Yes, </w:t>
      </w:r>
      <w:r w:rsidR="006D0BFE" w:rsidRPr="002E58B3">
        <w:t xml:space="preserve">we </w:t>
      </w:r>
      <w:r w:rsidR="007F1815" w:rsidRPr="002E58B3">
        <w:t>are encouraging</w:t>
      </w:r>
      <w:r w:rsidR="004D7D8F" w:rsidRPr="002E58B3">
        <w:t xml:space="preserve"> </w:t>
      </w:r>
      <w:r w:rsidR="00F87190" w:rsidRPr="002E58B3">
        <w:t>LAs</w:t>
      </w:r>
      <w:r w:rsidR="00A55FC0" w:rsidRPr="002E58B3">
        <w:t xml:space="preserve"> to please </w:t>
      </w:r>
      <w:r w:rsidR="009854DE" w:rsidRPr="002E58B3">
        <w:t>share</w:t>
      </w:r>
      <w:r w:rsidR="002640B0" w:rsidRPr="002E58B3">
        <w:t xml:space="preserve"> the information with their schools in whatever form they feel will best help them prepare for the </w:t>
      </w:r>
      <w:r w:rsidR="00F377E1" w:rsidRPr="002E58B3">
        <w:t>ECF reforms</w:t>
      </w:r>
    </w:p>
    <w:p w14:paraId="67AC0217" w14:textId="77777777" w:rsidR="009573F2" w:rsidRPr="002E58B3" w:rsidRDefault="009573F2" w:rsidP="00F15577">
      <w:pPr>
        <w:pStyle w:val="DeptBullets"/>
        <w:tabs>
          <w:tab w:val="clear" w:pos="720"/>
        </w:tabs>
        <w:spacing w:after="0"/>
        <w:ind w:left="360" w:firstLine="0"/>
        <w:rPr>
          <w:b/>
          <w:bCs/>
        </w:rPr>
      </w:pPr>
    </w:p>
    <w:p w14:paraId="68518565" w14:textId="0BA092A9" w:rsidR="00F222EB" w:rsidRPr="00F222EB" w:rsidRDefault="00F222EB" w:rsidP="00F15577">
      <w:pPr>
        <w:ind w:left="360"/>
        <w:rPr>
          <w:b/>
          <w:bCs/>
          <w:u w:val="single"/>
        </w:rPr>
      </w:pPr>
      <w:r w:rsidRPr="00F222EB">
        <w:rPr>
          <w:b/>
          <w:bCs/>
          <w:u w:val="single"/>
        </w:rPr>
        <w:t>Regulations</w:t>
      </w:r>
    </w:p>
    <w:p w14:paraId="2A27046F" w14:textId="219E6555" w:rsidR="00F222EB" w:rsidRPr="00F222EB" w:rsidRDefault="00F222EB" w:rsidP="00F15577">
      <w:pPr>
        <w:ind w:left="360"/>
        <w:rPr>
          <w:i/>
          <w:iCs/>
        </w:rPr>
      </w:pPr>
      <w:r w:rsidRPr="00F222EB">
        <w:rPr>
          <w:i/>
          <w:iCs/>
        </w:rPr>
        <w:t>Transitional arrangements</w:t>
      </w:r>
    </w:p>
    <w:p w14:paraId="6ACC7182" w14:textId="439977B9" w:rsidR="00F222EB" w:rsidRPr="00556053" w:rsidRDefault="00F222EB" w:rsidP="00F15577">
      <w:pPr>
        <w:pStyle w:val="DeptBullets"/>
        <w:tabs>
          <w:tab w:val="clear" w:pos="720"/>
        </w:tabs>
        <w:spacing w:after="0"/>
        <w:ind w:left="360" w:firstLine="0"/>
        <w:rPr>
          <w:b/>
          <w:bCs/>
        </w:rPr>
      </w:pPr>
      <w:r w:rsidRPr="00556053">
        <w:rPr>
          <w:b/>
          <w:bCs/>
        </w:rPr>
        <w:t>Q: What happens if a teacher is part way through their NQT year in September</w:t>
      </w:r>
      <w:r w:rsidR="000D0B43" w:rsidRPr="00556053">
        <w:rPr>
          <w:b/>
          <w:bCs/>
        </w:rPr>
        <w:t>? D</w:t>
      </w:r>
      <w:r w:rsidRPr="00556053">
        <w:rPr>
          <w:b/>
          <w:bCs/>
        </w:rPr>
        <w:t>o they stay on the</w:t>
      </w:r>
      <w:r w:rsidR="009139E9" w:rsidRPr="00556053">
        <w:rPr>
          <w:b/>
          <w:bCs/>
        </w:rPr>
        <w:t>ir existing</w:t>
      </w:r>
      <w:r w:rsidRPr="00556053">
        <w:rPr>
          <w:b/>
          <w:bCs/>
        </w:rPr>
        <w:t xml:space="preserve"> programme or </w:t>
      </w:r>
      <w:r w:rsidR="00556053" w:rsidRPr="00556053">
        <w:rPr>
          <w:b/>
          <w:bCs/>
        </w:rPr>
        <w:t>must they now complete an ECF-based induction</w:t>
      </w:r>
      <w:r w:rsidRPr="00556053">
        <w:rPr>
          <w:b/>
          <w:bCs/>
        </w:rPr>
        <w:t>?</w:t>
      </w:r>
    </w:p>
    <w:p w14:paraId="7001FF03" w14:textId="1A9C30EC" w:rsidR="00F222EB" w:rsidRPr="00556053" w:rsidRDefault="00F222EB" w:rsidP="00F15577">
      <w:pPr>
        <w:pStyle w:val="DeptBullets"/>
        <w:tabs>
          <w:tab w:val="clear" w:pos="720"/>
        </w:tabs>
        <w:spacing w:after="0"/>
        <w:ind w:left="360" w:firstLine="0"/>
      </w:pPr>
      <w:r w:rsidRPr="00556053">
        <w:rPr>
          <w:b/>
          <w:bCs/>
        </w:rPr>
        <w:t>A:</w:t>
      </w:r>
      <w:r w:rsidRPr="00556053">
        <w:t xml:space="preserve"> We will have transitional arrangements in place which will allow teachers who have part completed induction to finish their </w:t>
      </w:r>
      <w:r w:rsidR="00094FFA" w:rsidRPr="00556053">
        <w:t>1-year</w:t>
      </w:r>
      <w:r w:rsidRPr="00556053">
        <w:t xml:space="preserve"> induction. Where possible/appropriate these ECTs should have an ECF-based induction and a mentor for the remainder of their one-year induction</w:t>
      </w:r>
      <w:r w:rsidR="00317B11" w:rsidRPr="00556053">
        <w:t>.</w:t>
      </w:r>
      <w:r w:rsidR="71485D96">
        <w:t xml:space="preserve"> Further information is provided in section </w:t>
      </w:r>
      <w:r w:rsidR="2C28087C">
        <w:t>1.5 of</w:t>
      </w:r>
      <w:r w:rsidR="006224E7">
        <w:t xml:space="preserve"> the</w:t>
      </w:r>
      <w:r w:rsidR="2C28087C">
        <w:t xml:space="preserve"> </w:t>
      </w:r>
      <w:hyperlink r:id="rId11" w:history="1">
        <w:r w:rsidR="2C28087C" w:rsidRPr="1EDFB05F">
          <w:rPr>
            <w:rStyle w:val="Hyperlink"/>
          </w:rPr>
          <w:t>statutory guidance</w:t>
        </w:r>
      </w:hyperlink>
      <w:r w:rsidR="2C28087C">
        <w:t>.</w:t>
      </w:r>
    </w:p>
    <w:p w14:paraId="36CF9B3C" w14:textId="77777777" w:rsidR="00F222EB" w:rsidRPr="00556053" w:rsidRDefault="00F222EB" w:rsidP="00F15577">
      <w:pPr>
        <w:pStyle w:val="DeptBullets"/>
        <w:tabs>
          <w:tab w:val="clear" w:pos="720"/>
        </w:tabs>
        <w:spacing w:after="0"/>
        <w:ind w:left="360" w:firstLine="0"/>
      </w:pPr>
    </w:p>
    <w:p w14:paraId="3AEFB1AF" w14:textId="77777777" w:rsidR="00F222EB" w:rsidRPr="00EF1A23" w:rsidRDefault="00F222EB" w:rsidP="00F15577">
      <w:pPr>
        <w:pStyle w:val="DeptBullets"/>
        <w:tabs>
          <w:tab w:val="clear" w:pos="720"/>
        </w:tabs>
        <w:spacing w:after="0"/>
        <w:ind w:left="360" w:firstLine="0"/>
        <w:rPr>
          <w:i/>
          <w:iCs/>
        </w:rPr>
      </w:pPr>
      <w:r w:rsidRPr="00EF1A23">
        <w:rPr>
          <w:i/>
          <w:iCs/>
        </w:rPr>
        <w:t>Supply teaching</w:t>
      </w:r>
    </w:p>
    <w:p w14:paraId="76C2C6F7" w14:textId="7F7F1393" w:rsidR="00F222EB" w:rsidRPr="00EF1A23" w:rsidRDefault="00F222EB" w:rsidP="00F15577">
      <w:pPr>
        <w:pStyle w:val="DeptBullets"/>
        <w:tabs>
          <w:tab w:val="clear" w:pos="720"/>
        </w:tabs>
        <w:spacing w:after="0"/>
        <w:ind w:left="360" w:firstLine="0"/>
        <w:rPr>
          <w:b/>
          <w:bCs/>
        </w:rPr>
      </w:pPr>
      <w:r w:rsidRPr="00EF1A23">
        <w:rPr>
          <w:b/>
          <w:bCs/>
        </w:rPr>
        <w:t xml:space="preserve">Q: How will </w:t>
      </w:r>
      <w:r w:rsidR="004E7FA2" w:rsidRPr="00EF1A23">
        <w:rPr>
          <w:b/>
          <w:bCs/>
        </w:rPr>
        <w:t xml:space="preserve">induction </w:t>
      </w:r>
      <w:r w:rsidRPr="00EF1A23">
        <w:rPr>
          <w:b/>
          <w:bCs/>
        </w:rPr>
        <w:t xml:space="preserve">be served when teachers are on supply? </w:t>
      </w:r>
      <w:r w:rsidR="00C55252" w:rsidRPr="00EF1A23">
        <w:rPr>
          <w:b/>
          <w:bCs/>
        </w:rPr>
        <w:t>i</w:t>
      </w:r>
      <w:r w:rsidRPr="00EF1A23">
        <w:rPr>
          <w:b/>
          <w:bCs/>
        </w:rPr>
        <w:t xml:space="preserve">.e they currently have to work at least one full term for it to be counted </w:t>
      </w:r>
      <w:r w:rsidR="00E43E67" w:rsidRPr="00EF1A23">
        <w:rPr>
          <w:b/>
          <w:bCs/>
        </w:rPr>
        <w:t>towards induction</w:t>
      </w:r>
      <w:r w:rsidR="00EF1A23" w:rsidRPr="00EF1A23">
        <w:rPr>
          <w:b/>
          <w:bCs/>
        </w:rPr>
        <w:t>. I</w:t>
      </w:r>
      <w:r w:rsidRPr="00EF1A23">
        <w:rPr>
          <w:b/>
          <w:bCs/>
        </w:rPr>
        <w:t xml:space="preserve">f there are assessments annually, can they still split </w:t>
      </w:r>
      <w:r w:rsidR="00C55252" w:rsidRPr="00EF1A23">
        <w:rPr>
          <w:b/>
          <w:bCs/>
        </w:rPr>
        <w:t xml:space="preserve">induction </w:t>
      </w:r>
      <w:r w:rsidRPr="00EF1A23">
        <w:rPr>
          <w:b/>
          <w:bCs/>
        </w:rPr>
        <w:t>like this?</w:t>
      </w:r>
    </w:p>
    <w:p w14:paraId="696CD375" w14:textId="4ABB0860" w:rsidR="00B212BA" w:rsidRPr="00A55338" w:rsidRDefault="00F222EB" w:rsidP="00B212BA">
      <w:pPr>
        <w:pStyle w:val="DeptBullets"/>
        <w:tabs>
          <w:tab w:val="clear" w:pos="720"/>
        </w:tabs>
        <w:spacing w:after="0"/>
        <w:ind w:left="360" w:firstLine="0"/>
        <w:rPr>
          <w:szCs w:val="24"/>
        </w:rPr>
      </w:pPr>
      <w:r w:rsidRPr="00EF1A23">
        <w:rPr>
          <w:b/>
          <w:bCs/>
        </w:rPr>
        <w:t>A:</w:t>
      </w:r>
      <w:r w:rsidRPr="00EF1A23">
        <w:t xml:space="preserve"> </w:t>
      </w:r>
      <w:r w:rsidR="00806E60" w:rsidRPr="00EF1A23">
        <w:t>ECT</w:t>
      </w:r>
      <w:r w:rsidR="00577D7B" w:rsidRPr="00EF1A23">
        <w:t xml:space="preserve">s </w:t>
      </w:r>
      <w:r w:rsidR="00E20797" w:rsidRPr="00EF1A23">
        <w:t>can</w:t>
      </w:r>
      <w:r w:rsidR="008D0A7E" w:rsidRPr="00EF1A23">
        <w:t xml:space="preserve"> continue to</w:t>
      </w:r>
      <w:r w:rsidR="00E20797" w:rsidRPr="00EF1A23">
        <w:t xml:space="preserve"> complete induction whilst </w:t>
      </w:r>
      <w:r w:rsidR="00577D7B" w:rsidRPr="00EF1A23">
        <w:t>on long term supply (</w:t>
      </w:r>
      <w:r w:rsidR="00D618A4" w:rsidRPr="00EF1A23">
        <w:t xml:space="preserve">contracts of </w:t>
      </w:r>
      <w:r w:rsidR="00577D7B" w:rsidRPr="00EF1A23">
        <w:t xml:space="preserve">1 term </w:t>
      </w:r>
      <w:r w:rsidR="00DB7E1D" w:rsidRPr="00EF1A23">
        <w:t>or more)</w:t>
      </w:r>
      <w:r w:rsidR="00E20797" w:rsidRPr="00EF1A23">
        <w:t>.</w:t>
      </w:r>
      <w:r w:rsidRPr="00EF1A23">
        <w:t xml:space="preserve"> ECTs can continue to move between schools during induction. The minimum period that counts towards induction will remain at 1 term</w:t>
      </w:r>
      <w:r w:rsidR="00DE2C01" w:rsidRPr="00EF1A23">
        <w:t>,</w:t>
      </w:r>
      <w:r w:rsidRPr="00EF1A23">
        <w:t xml:space="preserve"> as long as the ECT's induction post is</w:t>
      </w:r>
      <w:r w:rsidR="001B6C73" w:rsidRPr="00EF1A23">
        <w:t xml:space="preserve"> 1 term or longer</w:t>
      </w:r>
      <w:r w:rsidRPr="00EF1A23">
        <w:t xml:space="preserve"> the completed terms will be carried over. If an ECT leaves a post after </w:t>
      </w:r>
      <w:r w:rsidRPr="00B70C3F">
        <w:t xml:space="preserve">completing one term or more in an institution but before the next formal assessment, the induction tutor is expected to complete an interim assessment which will capture the ECT’s current progress and performance. </w:t>
      </w:r>
      <w:r w:rsidR="00B212BA">
        <w:t xml:space="preserve">Further information is provided in section 2.32 of </w:t>
      </w:r>
      <w:hyperlink r:id="rId12" w:history="1">
        <w:r w:rsidR="00B212BA" w:rsidRPr="4FF39AD8">
          <w:rPr>
            <w:rStyle w:val="Hyperlink"/>
          </w:rPr>
          <w:t>statutory guidance</w:t>
        </w:r>
      </w:hyperlink>
      <w:r w:rsidR="00B212BA">
        <w:t>.</w:t>
      </w:r>
    </w:p>
    <w:p w14:paraId="456AD093" w14:textId="0EF9272B" w:rsidR="00F222EB" w:rsidRPr="00B70C3F" w:rsidRDefault="00F222EB" w:rsidP="00F15577">
      <w:pPr>
        <w:pStyle w:val="DeptBullets"/>
        <w:tabs>
          <w:tab w:val="clear" w:pos="720"/>
        </w:tabs>
        <w:spacing w:after="0"/>
        <w:ind w:left="360" w:firstLine="0"/>
      </w:pPr>
    </w:p>
    <w:p w14:paraId="1C108BA1" w14:textId="77777777" w:rsidR="00F222EB" w:rsidRPr="00B70C3F" w:rsidRDefault="00F222EB" w:rsidP="00F15577">
      <w:pPr>
        <w:pStyle w:val="DeptBullets"/>
        <w:tabs>
          <w:tab w:val="clear" w:pos="720"/>
        </w:tabs>
        <w:spacing w:after="0"/>
        <w:ind w:left="360" w:firstLine="0"/>
      </w:pPr>
    </w:p>
    <w:p w14:paraId="459708FA" w14:textId="6B851CC6" w:rsidR="00C2388E" w:rsidRPr="00B70C3F" w:rsidRDefault="00C2388E" w:rsidP="00F15577">
      <w:pPr>
        <w:pStyle w:val="DeptBullets"/>
        <w:tabs>
          <w:tab w:val="clear" w:pos="720"/>
        </w:tabs>
        <w:spacing w:after="0"/>
        <w:ind w:left="360" w:firstLine="0"/>
        <w:rPr>
          <w:b/>
          <w:bCs/>
        </w:rPr>
      </w:pPr>
      <w:r w:rsidRPr="00B70C3F">
        <w:rPr>
          <w:b/>
          <w:bCs/>
        </w:rPr>
        <w:t xml:space="preserve">Q: Currently if </w:t>
      </w:r>
      <w:r w:rsidR="0081290B" w:rsidRPr="00B70C3F">
        <w:rPr>
          <w:b/>
          <w:bCs/>
        </w:rPr>
        <w:t>teachers</w:t>
      </w:r>
      <w:r w:rsidRPr="00B70C3F">
        <w:rPr>
          <w:b/>
          <w:bCs/>
        </w:rPr>
        <w:t xml:space="preserve"> do a full term </w:t>
      </w:r>
      <w:r w:rsidR="00294CAE" w:rsidRPr="00B70C3F">
        <w:rPr>
          <w:b/>
          <w:bCs/>
        </w:rPr>
        <w:t xml:space="preserve">of supply teaching </w:t>
      </w:r>
      <w:r w:rsidRPr="00B70C3F">
        <w:rPr>
          <w:b/>
          <w:bCs/>
        </w:rPr>
        <w:t>it counts towards one term of a three term induction if identified at the beginning of the supply contract.  So do they have to do a full year now for it to count?</w:t>
      </w:r>
      <w:r w:rsidRPr="00B70C3F">
        <w:rPr>
          <w:b/>
          <w:bCs/>
        </w:rPr>
        <w:tab/>
      </w:r>
      <w:r w:rsidRPr="00B70C3F">
        <w:rPr>
          <w:b/>
          <w:bCs/>
        </w:rPr>
        <w:tab/>
      </w:r>
    </w:p>
    <w:p w14:paraId="4E404925" w14:textId="68DD4BEE" w:rsidR="00C2388E" w:rsidRPr="00A55338" w:rsidRDefault="00C2388E" w:rsidP="00F15577">
      <w:pPr>
        <w:pStyle w:val="DeptBullets"/>
        <w:tabs>
          <w:tab w:val="clear" w:pos="720"/>
        </w:tabs>
        <w:spacing w:after="0"/>
        <w:ind w:left="360" w:firstLine="0"/>
        <w:rPr>
          <w:szCs w:val="24"/>
        </w:rPr>
      </w:pPr>
      <w:r w:rsidRPr="00A55338">
        <w:rPr>
          <w:b/>
          <w:bCs/>
        </w:rPr>
        <w:t xml:space="preserve">A: </w:t>
      </w:r>
      <w:r w:rsidR="00F72AFE" w:rsidRPr="00A55338">
        <w:t>The minimum period that counts towards induction will remain at 1 term</w:t>
      </w:r>
      <w:r w:rsidR="004B4056" w:rsidRPr="00A55338">
        <w:t>.</w:t>
      </w:r>
      <w:r w:rsidR="5ED2FA3D">
        <w:t xml:space="preserve"> Further information is provided in section 2.32 of </w:t>
      </w:r>
      <w:hyperlink r:id="rId13" w:history="1">
        <w:r w:rsidR="5ED2FA3D" w:rsidRPr="4FF39AD8">
          <w:rPr>
            <w:rStyle w:val="Hyperlink"/>
          </w:rPr>
          <w:t>statutory guidance</w:t>
        </w:r>
      </w:hyperlink>
      <w:r w:rsidR="5ED2FA3D">
        <w:t>.</w:t>
      </w:r>
    </w:p>
    <w:p w14:paraId="1342E09E" w14:textId="77777777" w:rsidR="00C2388E" w:rsidRPr="00A55338" w:rsidRDefault="00C2388E" w:rsidP="00F15577">
      <w:pPr>
        <w:pStyle w:val="DeptBullets"/>
        <w:tabs>
          <w:tab w:val="clear" w:pos="720"/>
        </w:tabs>
        <w:spacing w:after="0"/>
        <w:ind w:left="360" w:firstLine="0"/>
        <w:rPr>
          <w:b/>
          <w:bCs/>
        </w:rPr>
      </w:pPr>
    </w:p>
    <w:p w14:paraId="56D17EEF" w14:textId="72F54D5D" w:rsidR="00F222EB" w:rsidRPr="00A55338" w:rsidRDefault="00F222EB" w:rsidP="00F15577">
      <w:pPr>
        <w:pStyle w:val="DeptBullets"/>
        <w:tabs>
          <w:tab w:val="clear" w:pos="720"/>
        </w:tabs>
        <w:spacing w:after="0"/>
        <w:ind w:left="360" w:firstLine="0"/>
        <w:rPr>
          <w:b/>
          <w:bCs/>
        </w:rPr>
      </w:pPr>
      <w:r w:rsidRPr="00A55338">
        <w:rPr>
          <w:b/>
          <w:bCs/>
        </w:rPr>
        <w:t xml:space="preserve">Q: Additionally, as </w:t>
      </w:r>
      <w:r w:rsidR="00521B55" w:rsidRPr="00A55338">
        <w:rPr>
          <w:b/>
          <w:bCs/>
        </w:rPr>
        <w:t xml:space="preserve">induction </w:t>
      </w:r>
      <w:r w:rsidRPr="00A55338">
        <w:rPr>
          <w:b/>
          <w:bCs/>
        </w:rPr>
        <w:t>will now be two years, will the 5</w:t>
      </w:r>
      <w:r w:rsidR="00FA29E6" w:rsidRPr="00A55338">
        <w:rPr>
          <w:b/>
          <w:bCs/>
        </w:rPr>
        <w:t>-</w:t>
      </w:r>
      <w:r w:rsidRPr="00A55338">
        <w:rPr>
          <w:b/>
          <w:bCs/>
        </w:rPr>
        <w:t>year cut off point from the date of QTS still be in place in terms of whether they can do supply teaching on a day / week rate?</w:t>
      </w:r>
    </w:p>
    <w:p w14:paraId="47C3839C" w14:textId="5C2CBF74" w:rsidR="00F222EB" w:rsidRPr="00A55338" w:rsidRDefault="00F222EB" w:rsidP="00F15577">
      <w:pPr>
        <w:pStyle w:val="DeptBullets"/>
        <w:tabs>
          <w:tab w:val="clear" w:pos="720"/>
        </w:tabs>
        <w:spacing w:after="0"/>
        <w:ind w:left="360" w:firstLine="0"/>
      </w:pPr>
      <w:r w:rsidRPr="00A55338">
        <w:rPr>
          <w:b/>
          <w:bCs/>
        </w:rPr>
        <w:t xml:space="preserve">A: </w:t>
      </w:r>
      <w:r w:rsidRPr="00A55338">
        <w:t xml:space="preserve">We will not be changing the current </w:t>
      </w:r>
      <w:r w:rsidR="004C4860" w:rsidRPr="00A55338">
        <w:t>5-year</w:t>
      </w:r>
      <w:r w:rsidRPr="00A55338">
        <w:t xml:space="preserve"> short term supply limit</w:t>
      </w:r>
      <w:r w:rsidR="006558F8" w:rsidRPr="00A55338">
        <w:t>.</w:t>
      </w:r>
    </w:p>
    <w:p w14:paraId="58E60AB6" w14:textId="77777777" w:rsidR="00F222EB" w:rsidRPr="00A55338" w:rsidRDefault="00F222EB" w:rsidP="00F15577">
      <w:pPr>
        <w:pStyle w:val="DeptBullets"/>
        <w:tabs>
          <w:tab w:val="clear" w:pos="720"/>
        </w:tabs>
        <w:spacing w:after="0"/>
        <w:ind w:left="360" w:firstLine="0"/>
      </w:pPr>
    </w:p>
    <w:p w14:paraId="2B0BBC4F" w14:textId="52AA2071" w:rsidR="00F222EB" w:rsidRPr="008254F7" w:rsidRDefault="00F222EB" w:rsidP="00F15577">
      <w:pPr>
        <w:pStyle w:val="DeptBullets"/>
        <w:tabs>
          <w:tab w:val="clear" w:pos="720"/>
        </w:tabs>
        <w:spacing w:after="0"/>
        <w:ind w:left="360" w:firstLine="0"/>
        <w:rPr>
          <w:i/>
          <w:iCs/>
        </w:rPr>
      </w:pPr>
      <w:r w:rsidRPr="008254F7">
        <w:rPr>
          <w:i/>
          <w:iCs/>
        </w:rPr>
        <w:t>Roles and responsibilities</w:t>
      </w:r>
    </w:p>
    <w:p w14:paraId="33414F86" w14:textId="2F7E7671" w:rsidR="00F222EB" w:rsidRPr="008254F7" w:rsidRDefault="00F222EB" w:rsidP="00F15577">
      <w:pPr>
        <w:pStyle w:val="DeptBullets"/>
        <w:tabs>
          <w:tab w:val="clear" w:pos="720"/>
        </w:tabs>
        <w:spacing w:after="0"/>
        <w:ind w:left="360" w:firstLine="0"/>
      </w:pPr>
      <w:r w:rsidRPr="008254F7">
        <w:rPr>
          <w:b/>
          <w:bCs/>
        </w:rPr>
        <w:t>Q:</w:t>
      </w:r>
      <w:r w:rsidRPr="008254F7">
        <w:rPr>
          <w:b/>
          <w:bCs/>
        </w:rPr>
        <w:tab/>
        <w:t>Who can fulfil the mentor role? Do they need to be at leadership level?</w:t>
      </w:r>
      <w:r w:rsidR="00F72AFE" w:rsidRPr="008254F7">
        <w:rPr>
          <w:b/>
          <w:bCs/>
        </w:rPr>
        <w:t xml:space="preserve"> </w:t>
      </w:r>
      <w:r w:rsidRPr="008254F7">
        <w:rPr>
          <w:b/>
          <w:bCs/>
        </w:rPr>
        <w:t>Who can fulfil the mentor role? Do they need to be at leadership level?</w:t>
      </w:r>
    </w:p>
    <w:p w14:paraId="752894A8" w14:textId="5C8E4E1E" w:rsidR="00F222EB" w:rsidRPr="008254F7" w:rsidRDefault="00F222EB" w:rsidP="00F15577">
      <w:pPr>
        <w:pStyle w:val="DeptBullets"/>
        <w:tabs>
          <w:tab w:val="clear" w:pos="720"/>
        </w:tabs>
        <w:spacing w:after="0"/>
        <w:ind w:left="360" w:firstLine="0"/>
      </w:pPr>
      <w:r w:rsidRPr="008254F7">
        <w:rPr>
          <w:b/>
          <w:bCs/>
        </w:rPr>
        <w:lastRenderedPageBreak/>
        <w:t>A:</w:t>
      </w:r>
      <w:r w:rsidRPr="008254F7">
        <w:t xml:space="preserve"> We do not have set criteria for who can fulfil the role of mentor. The headteacher is expected to identify an appropriate person to act as the ECT's mentor. The mentor is expected to hold QTS and have the necessary skills and knowledge to work successfully in this role</w:t>
      </w:r>
      <w:r w:rsidR="008254F7" w:rsidRPr="008254F7">
        <w:t>.</w:t>
      </w:r>
    </w:p>
    <w:p w14:paraId="5942D24A" w14:textId="77777777" w:rsidR="00F222EB" w:rsidRPr="00861E97" w:rsidRDefault="00F222EB" w:rsidP="00F15577">
      <w:pPr>
        <w:pStyle w:val="DeptBullets"/>
        <w:tabs>
          <w:tab w:val="clear" w:pos="720"/>
        </w:tabs>
        <w:spacing w:after="0"/>
        <w:ind w:left="360" w:firstLine="0"/>
      </w:pPr>
    </w:p>
    <w:p w14:paraId="58B765A8" w14:textId="5DEFAB19" w:rsidR="00F222EB" w:rsidRPr="00861E97" w:rsidRDefault="00F222EB" w:rsidP="00F15577">
      <w:pPr>
        <w:pStyle w:val="DeptBullets"/>
        <w:tabs>
          <w:tab w:val="clear" w:pos="720"/>
        </w:tabs>
        <w:spacing w:after="0"/>
        <w:ind w:left="360" w:firstLine="0"/>
      </w:pPr>
      <w:r w:rsidRPr="00861E97">
        <w:rPr>
          <w:b/>
          <w:bCs/>
        </w:rPr>
        <w:t xml:space="preserve">Q: </w:t>
      </w:r>
      <w:r w:rsidR="00463B3F" w:rsidRPr="00861E97">
        <w:rPr>
          <w:b/>
          <w:bCs/>
        </w:rPr>
        <w:t>C</w:t>
      </w:r>
      <w:r w:rsidRPr="00861E97">
        <w:rPr>
          <w:b/>
          <w:bCs/>
        </w:rPr>
        <w:t xml:space="preserve">an you clarify the difference between mentor and tutor?  </w:t>
      </w:r>
      <w:r w:rsidR="00463B3F" w:rsidRPr="00861E97">
        <w:rPr>
          <w:b/>
          <w:bCs/>
        </w:rPr>
        <w:t>I</w:t>
      </w:r>
      <w:r w:rsidRPr="00861E97">
        <w:rPr>
          <w:b/>
          <w:bCs/>
        </w:rPr>
        <w:t xml:space="preserve"> am making the assumption that the mentor is more about coaching and the tutor more about observations.  </w:t>
      </w:r>
      <w:r w:rsidR="00FB6E8C" w:rsidRPr="00861E97">
        <w:rPr>
          <w:b/>
          <w:bCs/>
        </w:rPr>
        <w:t>I</w:t>
      </w:r>
      <w:r w:rsidRPr="00861E97">
        <w:rPr>
          <w:b/>
          <w:bCs/>
        </w:rPr>
        <w:t>s there a JD/spec explaining this?</w:t>
      </w:r>
    </w:p>
    <w:p w14:paraId="3624A8D1" w14:textId="73D5E3D1" w:rsidR="00EF2198" w:rsidRDefault="00F222EB" w:rsidP="00F15577">
      <w:pPr>
        <w:pStyle w:val="DeptBullets"/>
        <w:tabs>
          <w:tab w:val="clear" w:pos="720"/>
        </w:tabs>
        <w:spacing w:after="0"/>
        <w:ind w:left="360" w:firstLine="0"/>
      </w:pPr>
      <w:r w:rsidRPr="00861E97">
        <w:rPr>
          <w:b/>
          <w:bCs/>
        </w:rPr>
        <w:t>A:</w:t>
      </w:r>
      <w:r w:rsidRPr="00861E97">
        <w:t xml:space="preserve"> Yes</w:t>
      </w:r>
      <w:r w:rsidR="00FB6E8C" w:rsidRPr="00861E97">
        <w:t>,</w:t>
      </w:r>
      <w:r w:rsidRPr="00861E97">
        <w:t xml:space="preserve"> the recently published statutory guidance sets out the differing roles and responsibilities between induction tutors and mentors. We have separated out the two roles to ensure that mentoring support (role of mentor) is not conflated with assessment against the Teachers' Standards (role of induction tutor)</w:t>
      </w:r>
      <w:r w:rsidRPr="00861E97">
        <w:tab/>
        <w:t>The Statutory Induction Guidance sets out the roles and responsibilities for the induction tutor and the mentor. It can be found here:</w:t>
      </w:r>
      <w:r w:rsidR="00CD3ADC" w:rsidRPr="00861E97">
        <w:t xml:space="preserve"> </w:t>
      </w:r>
      <w:hyperlink r:id="rId14" w:history="1">
        <w:r w:rsidR="00EF2198" w:rsidRPr="0070476A">
          <w:rPr>
            <w:rStyle w:val="Hyperlink"/>
          </w:rPr>
          <w:t>https://www.gov.uk/government/publications/induction-for-early-career-teachers-england</w:t>
        </w:r>
      </w:hyperlink>
    </w:p>
    <w:p w14:paraId="45A69C7A" w14:textId="77777777" w:rsidR="00EF2198" w:rsidRPr="0035064C" w:rsidRDefault="00EF2198" w:rsidP="00F15577">
      <w:pPr>
        <w:pStyle w:val="DeptBullets"/>
        <w:tabs>
          <w:tab w:val="clear" w:pos="720"/>
        </w:tabs>
        <w:spacing w:after="0"/>
        <w:ind w:left="360" w:firstLine="0"/>
        <w:rPr>
          <w:b/>
          <w:bCs/>
        </w:rPr>
      </w:pPr>
    </w:p>
    <w:p w14:paraId="63B34519" w14:textId="77777777" w:rsidR="00082B7E" w:rsidRPr="0035064C" w:rsidRDefault="00F222EB" w:rsidP="00F15577">
      <w:pPr>
        <w:pStyle w:val="DeptBullets"/>
        <w:tabs>
          <w:tab w:val="clear" w:pos="720"/>
        </w:tabs>
        <w:spacing w:after="0"/>
        <w:ind w:left="360" w:firstLine="0"/>
        <w:rPr>
          <w:b/>
          <w:bCs/>
        </w:rPr>
      </w:pPr>
      <w:r w:rsidRPr="0035064C">
        <w:rPr>
          <w:b/>
          <w:bCs/>
        </w:rPr>
        <w:t>Q: This video has just said that mentors carry out observations, but assume that induction tutors still need to as well?</w:t>
      </w:r>
    </w:p>
    <w:p w14:paraId="01A57268" w14:textId="140C3DDA" w:rsidR="00F222EB" w:rsidRPr="0035064C" w:rsidRDefault="00082B7E" w:rsidP="00F15577">
      <w:pPr>
        <w:pStyle w:val="DeptBullets"/>
        <w:tabs>
          <w:tab w:val="clear" w:pos="720"/>
        </w:tabs>
        <w:spacing w:after="0"/>
        <w:ind w:left="360" w:firstLine="0"/>
      </w:pPr>
      <w:r w:rsidRPr="0035064C">
        <w:rPr>
          <w:b/>
          <w:bCs/>
        </w:rPr>
        <w:t xml:space="preserve">A: </w:t>
      </w:r>
      <w:r w:rsidR="00F222EB" w:rsidRPr="0035064C">
        <w:tab/>
      </w:r>
      <w:r w:rsidR="00112EF4" w:rsidRPr="0035064C">
        <w:t>An ECT’s teaching is expected to be observed at regular intervals throughout their induction period to facilitate a fair and effective assessment of the ECT’s teaching practice, conduct and efficiency against the Teachers’ Standards. Observations of the ECT may be undertaken by the induction tutor or another suitable person from inside or outside the institution.</w:t>
      </w:r>
    </w:p>
    <w:p w14:paraId="2C2A6258" w14:textId="77777777" w:rsidR="00F222EB" w:rsidRPr="00B77F74" w:rsidRDefault="00F222EB" w:rsidP="00F15577">
      <w:pPr>
        <w:pStyle w:val="DeptBullets"/>
        <w:tabs>
          <w:tab w:val="clear" w:pos="720"/>
        </w:tabs>
        <w:spacing w:after="0"/>
        <w:ind w:left="360" w:firstLine="0"/>
      </w:pPr>
    </w:p>
    <w:p w14:paraId="1BA7A853" w14:textId="2B91CD80" w:rsidR="00F222EB" w:rsidRPr="00B77F74" w:rsidRDefault="00F222EB" w:rsidP="00F15577">
      <w:pPr>
        <w:pStyle w:val="DeptBullets"/>
        <w:tabs>
          <w:tab w:val="clear" w:pos="720"/>
        </w:tabs>
        <w:spacing w:after="0"/>
        <w:ind w:left="360" w:firstLine="0"/>
        <w:rPr>
          <w:b/>
          <w:bCs/>
        </w:rPr>
      </w:pPr>
      <w:r w:rsidRPr="00B77F74">
        <w:rPr>
          <w:b/>
          <w:bCs/>
        </w:rPr>
        <w:t xml:space="preserve">Q: There has been a shift to separate the </w:t>
      </w:r>
      <w:r w:rsidR="0035064C" w:rsidRPr="00B77F74">
        <w:rPr>
          <w:b/>
          <w:bCs/>
        </w:rPr>
        <w:t>induction tutor</w:t>
      </w:r>
      <w:r w:rsidRPr="00B77F74">
        <w:rPr>
          <w:b/>
          <w:bCs/>
        </w:rPr>
        <w:t xml:space="preserve"> and mentor role. What are the expectations for </w:t>
      </w:r>
      <w:r w:rsidR="0035064C" w:rsidRPr="00B77F74">
        <w:rPr>
          <w:b/>
          <w:bCs/>
        </w:rPr>
        <w:t>induction tutors</w:t>
      </w:r>
      <w:r w:rsidRPr="00B77F74">
        <w:rPr>
          <w:b/>
          <w:bCs/>
        </w:rPr>
        <w:t xml:space="preserve"> in terms of how regularly they need to meet with the ECT to discuss and review progress and how regularly they formally observe them? Is this time funded?</w:t>
      </w:r>
    </w:p>
    <w:p w14:paraId="5AE0DCE2" w14:textId="77777777" w:rsidR="00F222EB" w:rsidRPr="00B77F74" w:rsidRDefault="00F222EB" w:rsidP="00F15577">
      <w:pPr>
        <w:pStyle w:val="DeptBullets"/>
        <w:tabs>
          <w:tab w:val="clear" w:pos="720"/>
        </w:tabs>
        <w:spacing w:after="0"/>
        <w:ind w:left="360" w:firstLine="0"/>
      </w:pPr>
      <w:r w:rsidRPr="00B77F74">
        <w:rPr>
          <w:b/>
          <w:bCs/>
        </w:rPr>
        <w:t xml:space="preserve">A: </w:t>
      </w:r>
      <w:r w:rsidRPr="00B77F74">
        <w:t>The statutory guidance on GOV.UK gives more information on the particular roles and responsibilities across the two roles, but as the induction tutor will be responsible for assessing the ECT, they will need appropriate contact with the ECT to carry out that role.</w:t>
      </w:r>
    </w:p>
    <w:p w14:paraId="6FDB31B7" w14:textId="77777777" w:rsidR="00F222EB" w:rsidRPr="00041564" w:rsidRDefault="00F222EB" w:rsidP="00F15577">
      <w:pPr>
        <w:pStyle w:val="DeptBullets"/>
        <w:tabs>
          <w:tab w:val="clear" w:pos="720"/>
        </w:tabs>
        <w:spacing w:after="0"/>
        <w:ind w:left="360" w:firstLine="0"/>
      </w:pPr>
    </w:p>
    <w:p w14:paraId="43D555B5" w14:textId="24884ADF" w:rsidR="00F222EB" w:rsidRPr="00041564" w:rsidRDefault="00F222EB" w:rsidP="00F15577">
      <w:pPr>
        <w:pStyle w:val="DeptBullets"/>
        <w:tabs>
          <w:tab w:val="clear" w:pos="720"/>
        </w:tabs>
        <w:spacing w:after="0"/>
        <w:ind w:left="360" w:firstLine="0"/>
        <w:rPr>
          <w:b/>
          <w:bCs/>
        </w:rPr>
      </w:pPr>
      <w:r w:rsidRPr="00041564">
        <w:rPr>
          <w:b/>
          <w:bCs/>
        </w:rPr>
        <w:t>Q: Some schools are very small - they will not be able to have separate induction tutor and mentor. Sometimes it is the headteacher who takes on all those roles. How will this be checke</w:t>
      </w:r>
      <w:r w:rsidR="00AF26B8" w:rsidRPr="00041564">
        <w:rPr>
          <w:b/>
          <w:bCs/>
        </w:rPr>
        <w:t>d?</w:t>
      </w:r>
    </w:p>
    <w:p w14:paraId="247D6593" w14:textId="76D19C6D" w:rsidR="00F222EB" w:rsidRPr="00041564" w:rsidRDefault="00F222EB" w:rsidP="00F15577">
      <w:pPr>
        <w:pStyle w:val="DeptBullets"/>
        <w:tabs>
          <w:tab w:val="clear" w:pos="720"/>
        </w:tabs>
        <w:spacing w:after="0"/>
        <w:ind w:left="360" w:firstLine="0"/>
      </w:pPr>
      <w:r w:rsidRPr="00041564">
        <w:rPr>
          <w:b/>
          <w:bCs/>
        </w:rPr>
        <w:t xml:space="preserve">A: </w:t>
      </w:r>
      <w:r w:rsidRPr="00041564">
        <w:t>We recognise that some schools have limited capacity and may struggle to provide a separate induction tutor &amp; mentor. In some exceptional circumstances it may be necessary for the headteacher to designate a single teacher to fulfil both roles, which may be the headteacher themselves. Where this is the case the headteacher should ensure that the induction tutor understands that they are fulfilling two discrete roles and that adequate safeguards are put in place to ensure that the mentoring support offered to the ECT is not conflated with assessment of the ECT against the Teachers’ Standards</w:t>
      </w:r>
      <w:r w:rsidR="005E210F" w:rsidRPr="00041564">
        <w:t>.</w:t>
      </w:r>
    </w:p>
    <w:p w14:paraId="2BF76E6B" w14:textId="77777777" w:rsidR="00F222EB" w:rsidRPr="00041564" w:rsidRDefault="00F222EB" w:rsidP="00F15577">
      <w:pPr>
        <w:pStyle w:val="DeptBullets"/>
        <w:tabs>
          <w:tab w:val="clear" w:pos="720"/>
        </w:tabs>
        <w:spacing w:after="0"/>
        <w:ind w:left="360" w:firstLine="0"/>
      </w:pPr>
    </w:p>
    <w:p w14:paraId="51B9A8CD" w14:textId="77777777" w:rsidR="00F222EB" w:rsidRPr="005B1F1F" w:rsidRDefault="00F222EB" w:rsidP="00F15577">
      <w:pPr>
        <w:pStyle w:val="DeptBullets"/>
        <w:tabs>
          <w:tab w:val="clear" w:pos="720"/>
        </w:tabs>
        <w:spacing w:after="0"/>
        <w:ind w:left="360" w:firstLine="0"/>
      </w:pPr>
      <w:r w:rsidRPr="005B1F1F">
        <w:rPr>
          <w:i/>
          <w:iCs/>
        </w:rPr>
        <w:t>Requirement to serve induction</w:t>
      </w:r>
    </w:p>
    <w:p w14:paraId="02CD8A19" w14:textId="2D5F319B" w:rsidR="00F222EB" w:rsidRPr="005B1F1F" w:rsidRDefault="00F222EB" w:rsidP="00F15577">
      <w:pPr>
        <w:pStyle w:val="DeptBullets"/>
        <w:tabs>
          <w:tab w:val="clear" w:pos="720"/>
        </w:tabs>
        <w:spacing w:after="0"/>
        <w:ind w:left="360" w:firstLine="0"/>
        <w:rPr>
          <w:b/>
          <w:bCs/>
        </w:rPr>
      </w:pPr>
      <w:r w:rsidRPr="005B1F1F">
        <w:rPr>
          <w:b/>
          <w:bCs/>
        </w:rPr>
        <w:t>Q: If ECTs train in an academy</w:t>
      </w:r>
      <w:r w:rsidR="005734A4" w:rsidRPr="005B1F1F">
        <w:rPr>
          <w:b/>
          <w:bCs/>
        </w:rPr>
        <w:t xml:space="preserve"> of further education establishment</w:t>
      </w:r>
      <w:r w:rsidRPr="005B1F1F">
        <w:rPr>
          <w:b/>
          <w:bCs/>
        </w:rPr>
        <w:t xml:space="preserve"> that chooses not to deliver </w:t>
      </w:r>
      <w:r w:rsidR="00D9200F" w:rsidRPr="005B1F1F">
        <w:rPr>
          <w:b/>
          <w:bCs/>
        </w:rPr>
        <w:t>statutory induction</w:t>
      </w:r>
      <w:r w:rsidRPr="005B1F1F">
        <w:rPr>
          <w:b/>
          <w:bCs/>
        </w:rPr>
        <w:t>, does this mean they will not be able to work in mainstream schools? Can they choose to complete induction later on in their career to allow them to then move in to mainstream or will career choices be limited?</w:t>
      </w:r>
    </w:p>
    <w:p w14:paraId="37727A1D" w14:textId="42CD856B" w:rsidR="00F222EB" w:rsidRPr="005B1F1F" w:rsidRDefault="00F222EB" w:rsidP="00F15577">
      <w:pPr>
        <w:pStyle w:val="DeptBullets"/>
        <w:tabs>
          <w:tab w:val="clear" w:pos="720"/>
        </w:tabs>
        <w:spacing w:after="0"/>
        <w:ind w:left="360" w:firstLine="0"/>
      </w:pPr>
      <w:r w:rsidRPr="005B1F1F">
        <w:rPr>
          <w:b/>
          <w:bCs/>
        </w:rPr>
        <w:t xml:space="preserve">A: </w:t>
      </w:r>
      <w:r w:rsidRPr="005B1F1F">
        <w:t>While ECTs are encouraged to start their induction as soon as possible after gaining QTS, there is no set time limit for starting or completing an induction period. A teacher can complete induction later on their career if that works best for them</w:t>
      </w:r>
      <w:r w:rsidR="0098435F" w:rsidRPr="005B1F1F">
        <w:t>.</w:t>
      </w:r>
      <w:r w:rsidRPr="005B1F1F">
        <w:tab/>
      </w:r>
      <w:r w:rsidR="0085278E">
        <w:t xml:space="preserve">Many academies and independent schools do allow their early career </w:t>
      </w:r>
      <w:r w:rsidR="00740F0A">
        <w:t>teachers</w:t>
      </w:r>
      <w:r w:rsidR="0085278E">
        <w:t xml:space="preserve"> to serve statutory induction, and the</w:t>
      </w:r>
      <w:r w:rsidR="00740F0A">
        <w:t xml:space="preserve"> statutory guidance sets out the conditions where statutory induction may be served in further education settings.</w:t>
      </w:r>
    </w:p>
    <w:p w14:paraId="79FD9704" w14:textId="77777777" w:rsidR="00F222EB" w:rsidRPr="001A40C2" w:rsidRDefault="00F222EB" w:rsidP="00F15577">
      <w:pPr>
        <w:pStyle w:val="DeptBullets"/>
        <w:tabs>
          <w:tab w:val="clear" w:pos="720"/>
        </w:tabs>
        <w:spacing w:after="0"/>
        <w:ind w:left="360" w:firstLine="0"/>
      </w:pPr>
    </w:p>
    <w:p w14:paraId="1AC4D5CF" w14:textId="041CAA51" w:rsidR="00F222EB" w:rsidRPr="001A40C2" w:rsidRDefault="00F222EB" w:rsidP="00F15577">
      <w:pPr>
        <w:pStyle w:val="DeptBullets"/>
        <w:tabs>
          <w:tab w:val="clear" w:pos="720"/>
        </w:tabs>
        <w:spacing w:after="0"/>
        <w:ind w:left="360" w:firstLine="0"/>
        <w:rPr>
          <w:b/>
          <w:bCs/>
        </w:rPr>
      </w:pPr>
      <w:r w:rsidRPr="001A40C2">
        <w:rPr>
          <w:b/>
          <w:bCs/>
        </w:rPr>
        <w:t xml:space="preserve">Q: The guidance states that induction </w:t>
      </w:r>
      <w:r w:rsidR="00844183" w:rsidRPr="001A40C2">
        <w:rPr>
          <w:b/>
          <w:bCs/>
        </w:rPr>
        <w:t>cannot</w:t>
      </w:r>
      <w:r w:rsidRPr="001A40C2">
        <w:rPr>
          <w:b/>
          <w:bCs/>
        </w:rPr>
        <w:t xml:space="preserve"> be deemed to start until training commences</w:t>
      </w:r>
      <w:r w:rsidR="00BF5F53" w:rsidRPr="001A40C2">
        <w:rPr>
          <w:b/>
          <w:bCs/>
        </w:rPr>
        <w:t>. H</w:t>
      </w:r>
      <w:r w:rsidRPr="001A40C2">
        <w:rPr>
          <w:b/>
          <w:bCs/>
        </w:rPr>
        <w:t xml:space="preserve">ow does this potentially impact on </w:t>
      </w:r>
      <w:r w:rsidR="006602B4" w:rsidRPr="001A40C2">
        <w:rPr>
          <w:b/>
          <w:bCs/>
        </w:rPr>
        <w:t>mid-term</w:t>
      </w:r>
      <w:r w:rsidR="001A40C2" w:rsidRPr="001A40C2">
        <w:rPr>
          <w:b/>
          <w:bCs/>
        </w:rPr>
        <w:t xml:space="preserve"> or</w:t>
      </w:r>
      <w:r w:rsidRPr="001A40C2">
        <w:rPr>
          <w:b/>
          <w:bCs/>
        </w:rPr>
        <w:t xml:space="preserve"> </w:t>
      </w:r>
      <w:r w:rsidR="006602B4" w:rsidRPr="001A40C2">
        <w:rPr>
          <w:b/>
          <w:bCs/>
        </w:rPr>
        <w:t>mid-year</w:t>
      </w:r>
      <w:r w:rsidRPr="001A40C2">
        <w:rPr>
          <w:b/>
          <w:bCs/>
        </w:rPr>
        <w:t xml:space="preserve"> appointments?</w:t>
      </w:r>
    </w:p>
    <w:p w14:paraId="2298108C" w14:textId="5319700E" w:rsidR="00F222EB" w:rsidRPr="001A40C2" w:rsidRDefault="00F222EB" w:rsidP="00F15577">
      <w:pPr>
        <w:pStyle w:val="DeptBullets"/>
        <w:tabs>
          <w:tab w:val="clear" w:pos="720"/>
        </w:tabs>
        <w:spacing w:after="0"/>
        <w:ind w:left="360" w:firstLine="0"/>
      </w:pPr>
      <w:r w:rsidRPr="001A40C2">
        <w:rPr>
          <w:b/>
          <w:bCs/>
        </w:rPr>
        <w:t xml:space="preserve">A: </w:t>
      </w:r>
      <w:r w:rsidRPr="001A40C2">
        <w:t xml:space="preserve">Induction posts can still start </w:t>
      </w:r>
      <w:r w:rsidR="006602B4" w:rsidRPr="001A40C2">
        <w:t>mid-term</w:t>
      </w:r>
      <w:r w:rsidRPr="001A40C2">
        <w:t xml:space="preserve">/year. Headteachers should ensure that ECTs can </w:t>
      </w:r>
      <w:r w:rsidRPr="001A40C2">
        <w:lastRenderedPageBreak/>
        <w:t>access an ECF based induction regardless of what point in the year they start their teaching post.</w:t>
      </w:r>
    </w:p>
    <w:p w14:paraId="21B57A8E" w14:textId="77777777" w:rsidR="00F222EB" w:rsidRPr="001A40C2" w:rsidRDefault="00F222EB" w:rsidP="00F15577">
      <w:pPr>
        <w:pStyle w:val="DeptBullets"/>
        <w:tabs>
          <w:tab w:val="clear" w:pos="720"/>
        </w:tabs>
        <w:spacing w:after="0"/>
        <w:ind w:left="360" w:firstLine="0"/>
      </w:pPr>
    </w:p>
    <w:p w14:paraId="1E4B75DA" w14:textId="4B072A65" w:rsidR="00ED6E66" w:rsidRPr="00C841E9" w:rsidRDefault="00F222EB" w:rsidP="00F15577">
      <w:pPr>
        <w:pStyle w:val="DeptBullets"/>
        <w:tabs>
          <w:tab w:val="clear" w:pos="720"/>
        </w:tabs>
        <w:spacing w:after="0"/>
        <w:ind w:left="360" w:firstLine="0"/>
      </w:pPr>
      <w:r w:rsidRPr="00F222EB">
        <w:rPr>
          <w:b/>
          <w:bCs/>
        </w:rPr>
        <w:t xml:space="preserve">Q: </w:t>
      </w:r>
      <w:r w:rsidR="00ED6E66" w:rsidRPr="00E95D47">
        <w:rPr>
          <w:rFonts w:cs="Arial"/>
          <w:b/>
          <w:bCs/>
        </w:rPr>
        <w:t xml:space="preserve">Can an </w:t>
      </w:r>
      <w:r w:rsidR="00BC7823">
        <w:rPr>
          <w:rFonts w:cs="Arial"/>
          <w:b/>
          <w:bCs/>
        </w:rPr>
        <w:t>ECT</w:t>
      </w:r>
      <w:r w:rsidR="00ED6E66" w:rsidRPr="00E95D47">
        <w:rPr>
          <w:rFonts w:cs="Arial"/>
          <w:b/>
          <w:bCs/>
        </w:rPr>
        <w:t xml:space="preserve"> work as a peripatetic music teacher and complete induction?</w:t>
      </w:r>
      <w:r w:rsidR="00ED6E66" w:rsidRPr="00E95D47">
        <w:rPr>
          <w:rFonts w:ascii="Calibri" w:hAnsi="Calibri" w:cs="Calibri"/>
          <w:sz w:val="22"/>
          <w:szCs w:val="22"/>
        </w:rPr>
        <w:br/>
      </w:r>
      <w:r w:rsidR="002A0203" w:rsidRPr="00C841E9">
        <w:t xml:space="preserve">The reforms to induction will not </w:t>
      </w:r>
      <w:r w:rsidR="001C2EA4" w:rsidRPr="00C841E9">
        <w:t xml:space="preserve">affect the requirements for </w:t>
      </w:r>
      <w:r w:rsidR="00B27004" w:rsidRPr="00C841E9">
        <w:t xml:space="preserve">peripatetic teachers. </w:t>
      </w:r>
      <w:r w:rsidR="002E0910" w:rsidRPr="00C841E9">
        <w:t xml:space="preserve">Subject to exemptions set out in statutory </w:t>
      </w:r>
      <w:r w:rsidR="002D043D" w:rsidRPr="00C841E9">
        <w:t>guidance, once</w:t>
      </w:r>
      <w:r w:rsidR="00ED6E66" w:rsidRPr="00C841E9">
        <w:t xml:space="preserve"> a teacher gains QTS they must undertake statutory induction if they wish to teach in a maintained school. Induction must be undertaken in a post which provides a fair opportunity for the </w:t>
      </w:r>
      <w:r w:rsidR="00B27004" w:rsidRPr="00C841E9">
        <w:t>ECT</w:t>
      </w:r>
      <w:r w:rsidR="00ED6E66" w:rsidRPr="00C841E9">
        <w:t xml:space="preserve"> to demonstrate that they are performing satisfactorily against the Teachers’ Standards. To help in achieving this, the statutory guidance on induction for </w:t>
      </w:r>
      <w:r w:rsidR="00B27004" w:rsidRPr="00C841E9">
        <w:t>ECT</w:t>
      </w:r>
      <w:r w:rsidR="0078141E" w:rsidRPr="00C841E9">
        <w:t>s</w:t>
      </w:r>
      <w:r w:rsidR="00ED6E66" w:rsidRPr="00C841E9">
        <w:t xml:space="preserve"> details the necessary elements of a suitable post.</w:t>
      </w:r>
      <w:r w:rsidR="00ED6E66" w:rsidRPr="00C841E9">
        <w:br/>
      </w:r>
      <w:r w:rsidR="00ED6E66" w:rsidRPr="00C841E9">
        <w:br/>
        <w:t>It is therefore possible for peripatetic teachers to serve induction provided that their post is suitable for induction. As peripatetic teachers often teach in more than one school simultaneously, each post would need to be suitable in order for induction to take place. It is for the appropriate body, together with the headteacher, to decide on the suitability of each post for induction, and if agreed, then induction should take place.</w:t>
      </w:r>
    </w:p>
    <w:p w14:paraId="4FF4EF41" w14:textId="65E7B3CD" w:rsidR="00ED6E66" w:rsidRDefault="00ED6E66" w:rsidP="00C841E9">
      <w:pPr>
        <w:pStyle w:val="DeptBullets"/>
        <w:tabs>
          <w:tab w:val="clear" w:pos="720"/>
        </w:tabs>
        <w:spacing w:after="0"/>
        <w:ind w:left="360" w:firstLine="0"/>
      </w:pPr>
      <w:r w:rsidRPr="00C841E9">
        <w:t xml:space="preserve">The headteacher/principal of the institution in which the </w:t>
      </w:r>
      <w:r w:rsidR="0078141E" w:rsidRPr="00C841E9">
        <w:t>ECT</w:t>
      </w:r>
      <w:r w:rsidRPr="00C841E9">
        <w:t xml:space="preserve"> is serving an induction period, and the appropriate body, are jointly responsible for ensuring that the supervision and training of the </w:t>
      </w:r>
      <w:r w:rsidR="0078141E" w:rsidRPr="00C841E9">
        <w:t>ECT</w:t>
      </w:r>
      <w:r w:rsidRPr="00C841E9">
        <w:t xml:space="preserve"> meets their development needs</w:t>
      </w:r>
      <w:r w:rsidR="0078141E" w:rsidRPr="00C841E9">
        <w:t xml:space="preserve"> and that the ECT receives an ECF based induction</w:t>
      </w:r>
      <w:r w:rsidRPr="00C841E9">
        <w:t xml:space="preserve">. The duties assigned to the </w:t>
      </w:r>
      <w:r w:rsidR="0078141E" w:rsidRPr="00C841E9">
        <w:t>ECT</w:t>
      </w:r>
      <w:r w:rsidRPr="00C841E9">
        <w:t xml:space="preserve"> and the conditions under which they work should be such as to facilitate a fair and effective assessment of the </w:t>
      </w:r>
      <w:r w:rsidR="0078141E" w:rsidRPr="00C841E9">
        <w:t>ECT’s</w:t>
      </w:r>
      <w:r w:rsidRPr="00C841E9">
        <w:t xml:space="preserve"> conduct and efficiency as a teacher against the Teachers’ Standards.</w:t>
      </w:r>
    </w:p>
    <w:p w14:paraId="3CD19FA0" w14:textId="77777777" w:rsidR="00C841E9" w:rsidRPr="00C841E9" w:rsidRDefault="00C841E9" w:rsidP="00C841E9">
      <w:pPr>
        <w:pStyle w:val="DeptBullets"/>
        <w:tabs>
          <w:tab w:val="clear" w:pos="720"/>
        </w:tabs>
        <w:spacing w:after="0"/>
        <w:ind w:left="360" w:firstLine="0"/>
      </w:pPr>
    </w:p>
    <w:p w14:paraId="0E084797" w14:textId="5FC624E7" w:rsidR="00F222EB" w:rsidRPr="00C841E9" w:rsidRDefault="00ED6E66" w:rsidP="00C841E9">
      <w:pPr>
        <w:pStyle w:val="DeptBullets"/>
        <w:tabs>
          <w:tab w:val="clear" w:pos="720"/>
        </w:tabs>
        <w:spacing w:after="0"/>
        <w:ind w:left="360" w:firstLine="0"/>
      </w:pPr>
      <w:r w:rsidRPr="00C841E9">
        <w:t xml:space="preserve">Further information is provided in statutory guidance. In particular, the following paragraphs may </w:t>
      </w:r>
      <w:r w:rsidRPr="0089695B">
        <w:t>assist: 2.17–2.18 on what constitutes a suitable post for induction; 2.3</w:t>
      </w:r>
      <w:r w:rsidR="008770C7" w:rsidRPr="0089695B">
        <w:t>5</w:t>
      </w:r>
      <w:r w:rsidRPr="0089695B">
        <w:t>–2.3</w:t>
      </w:r>
      <w:r w:rsidR="008770C7" w:rsidRPr="0089695B">
        <w:t>7</w:t>
      </w:r>
      <w:r w:rsidRPr="0089695B">
        <w:t xml:space="preserve"> on completing induction on a part-time basis; and 3.14 </w:t>
      </w:r>
      <w:r w:rsidR="006B6866" w:rsidRPr="0089695B">
        <w:t xml:space="preserve">– 3.16 </w:t>
      </w:r>
      <w:r w:rsidRPr="0089695B">
        <w:t xml:space="preserve">for </w:t>
      </w:r>
      <w:r w:rsidR="008770C7" w:rsidRPr="0089695B">
        <w:t>ECTs</w:t>
      </w:r>
      <w:r w:rsidRPr="0089695B">
        <w:t xml:space="preserve"> completing induction in more than one school simultaneously.</w:t>
      </w:r>
    </w:p>
    <w:p w14:paraId="06EC613A" w14:textId="77777777" w:rsidR="00823358" w:rsidRPr="000222C6" w:rsidRDefault="00823358" w:rsidP="00F15577">
      <w:pPr>
        <w:pStyle w:val="DeptBullets"/>
        <w:tabs>
          <w:tab w:val="clear" w:pos="720"/>
        </w:tabs>
        <w:spacing w:after="0"/>
        <w:ind w:left="360" w:firstLine="0"/>
        <w:rPr>
          <w:b/>
          <w:bCs/>
        </w:rPr>
      </w:pPr>
    </w:p>
    <w:p w14:paraId="1BE62361" w14:textId="77777777" w:rsidR="00F222EB" w:rsidRPr="000222C6" w:rsidRDefault="00F222EB" w:rsidP="00F15577">
      <w:pPr>
        <w:pStyle w:val="DeptBullets"/>
        <w:tabs>
          <w:tab w:val="clear" w:pos="720"/>
        </w:tabs>
        <w:spacing w:after="0"/>
        <w:ind w:left="360" w:firstLine="0"/>
        <w:rPr>
          <w:b/>
          <w:bCs/>
        </w:rPr>
      </w:pPr>
      <w:r w:rsidRPr="000222C6">
        <w:rPr>
          <w:b/>
          <w:bCs/>
        </w:rPr>
        <w:t>Q: Will teachers undertaking the QTLS route be able to access the ECF training?</w:t>
      </w:r>
    </w:p>
    <w:p w14:paraId="6EAF167D" w14:textId="6F1EB41B" w:rsidR="00F222EB" w:rsidRPr="000222C6" w:rsidRDefault="00F222EB" w:rsidP="00F15577">
      <w:pPr>
        <w:pStyle w:val="DeptBullets"/>
        <w:tabs>
          <w:tab w:val="clear" w:pos="720"/>
        </w:tabs>
        <w:spacing w:after="0"/>
        <w:ind w:left="360" w:firstLine="0"/>
      </w:pPr>
      <w:r w:rsidRPr="000222C6">
        <w:rPr>
          <w:b/>
          <w:bCs/>
        </w:rPr>
        <w:t>A</w:t>
      </w:r>
      <w:r w:rsidR="00A46C0D" w:rsidRPr="000222C6">
        <w:rPr>
          <w:b/>
          <w:bCs/>
        </w:rPr>
        <w:t>:</w:t>
      </w:r>
      <w:r w:rsidRPr="000222C6">
        <w:rPr>
          <w:b/>
          <w:bCs/>
        </w:rPr>
        <w:t xml:space="preserve"> </w:t>
      </w:r>
      <w:r w:rsidRPr="000222C6">
        <w:t xml:space="preserve">Teachers who take the QTLS route are currently exempt from requiring statutory induction. But the DfE-accredited materials are available to all schools, so they would be able to deliver these training materials to those teachers </w:t>
      </w:r>
      <w:r w:rsidR="002F4B4F" w:rsidRPr="000222C6">
        <w:t>outside of</w:t>
      </w:r>
      <w:r w:rsidR="00AB6F5F" w:rsidRPr="000222C6">
        <w:t xml:space="preserve"> </w:t>
      </w:r>
      <w:r w:rsidR="000222C6">
        <w:t>statutory</w:t>
      </w:r>
      <w:r w:rsidR="00AB6F5F" w:rsidRPr="000222C6">
        <w:t xml:space="preserve"> induction</w:t>
      </w:r>
      <w:r w:rsidRPr="000222C6">
        <w:t>.</w:t>
      </w:r>
      <w:r w:rsidRPr="000222C6">
        <w:tab/>
      </w:r>
    </w:p>
    <w:p w14:paraId="5933C673" w14:textId="77777777" w:rsidR="00F708E5" w:rsidRPr="000222C6" w:rsidRDefault="00F708E5" w:rsidP="00F15577">
      <w:pPr>
        <w:pStyle w:val="DeptBullets"/>
        <w:tabs>
          <w:tab w:val="clear" w:pos="720"/>
        </w:tabs>
        <w:spacing w:after="0"/>
        <w:ind w:left="360" w:firstLine="0"/>
      </w:pPr>
    </w:p>
    <w:p w14:paraId="141B795C" w14:textId="2AD59991" w:rsidR="00F708E5" w:rsidRDefault="00F708E5" w:rsidP="00F15577">
      <w:pPr>
        <w:pStyle w:val="DeptBullets"/>
        <w:tabs>
          <w:tab w:val="clear" w:pos="720"/>
        </w:tabs>
        <w:spacing w:after="0"/>
        <w:ind w:left="360" w:firstLine="0"/>
        <w:rPr>
          <w:b/>
          <w:bCs/>
        </w:rPr>
      </w:pPr>
      <w:r w:rsidRPr="00F708E5">
        <w:rPr>
          <w:b/>
          <w:bCs/>
        </w:rPr>
        <w:t xml:space="preserve">Q: </w:t>
      </w:r>
      <w:r w:rsidR="00F222EB" w:rsidRPr="00F708E5">
        <w:rPr>
          <w:b/>
          <w:bCs/>
        </w:rPr>
        <w:t>From an HR point of view it will be important to have clear guidance e</w:t>
      </w:r>
      <w:r w:rsidR="000222C6">
        <w:rPr>
          <w:b/>
          <w:bCs/>
        </w:rPr>
        <w:t>.</w:t>
      </w:r>
      <w:r w:rsidR="00F222EB" w:rsidRPr="00F708E5">
        <w:rPr>
          <w:b/>
          <w:bCs/>
        </w:rPr>
        <w:t>g</w:t>
      </w:r>
      <w:r w:rsidR="000222C6">
        <w:rPr>
          <w:b/>
          <w:bCs/>
        </w:rPr>
        <w:t>.</w:t>
      </w:r>
      <w:r w:rsidR="00F222EB" w:rsidRPr="00F708E5">
        <w:rPr>
          <w:b/>
          <w:bCs/>
        </w:rPr>
        <w:t xml:space="preserve"> on interruptions to induction, when induction can be stopped if it is clear progress is not being made etc.</w:t>
      </w:r>
    </w:p>
    <w:p w14:paraId="7E7A9E1F" w14:textId="1110BC51" w:rsidR="00F708E5" w:rsidRPr="0044469D" w:rsidRDefault="00F708E5" w:rsidP="00F15577">
      <w:pPr>
        <w:pStyle w:val="DeptBullets"/>
        <w:tabs>
          <w:tab w:val="clear" w:pos="720"/>
        </w:tabs>
        <w:spacing w:after="0"/>
        <w:ind w:left="360" w:firstLine="0"/>
        <w:rPr>
          <w:color w:val="00B050"/>
        </w:rPr>
      </w:pPr>
      <w:r>
        <w:rPr>
          <w:b/>
          <w:bCs/>
        </w:rPr>
        <w:t>A:</w:t>
      </w:r>
      <w:r w:rsidR="00552AE1">
        <w:rPr>
          <w:b/>
          <w:bCs/>
        </w:rPr>
        <w:t xml:space="preserve"> </w:t>
      </w:r>
      <w:r w:rsidR="0044469D">
        <w:t xml:space="preserve">We have recently published updated statutory guidance and </w:t>
      </w:r>
      <w:r w:rsidR="002A73D0">
        <w:t xml:space="preserve">new </w:t>
      </w:r>
      <w:r w:rsidR="00D85102">
        <w:t xml:space="preserve">appropriate bodies guidance </w:t>
      </w:r>
      <w:r w:rsidR="008E4E24">
        <w:t xml:space="preserve">to support schools and </w:t>
      </w:r>
      <w:r w:rsidR="0019132D">
        <w:t>appropriate</w:t>
      </w:r>
      <w:r w:rsidR="008E4E24">
        <w:t xml:space="preserve"> bodies in carrying out their roles and responsibilities.</w:t>
      </w:r>
      <w:r w:rsidR="004554D4">
        <w:t xml:space="preserve"> </w:t>
      </w:r>
      <w:r w:rsidR="006F11C5">
        <w:t>Amongst other things the</w:t>
      </w:r>
      <w:r w:rsidR="004554D4">
        <w:t xml:space="preserve"> guidance contains information on </w:t>
      </w:r>
      <w:r w:rsidR="00044FFD">
        <w:t xml:space="preserve">‘non-standard’ inductions and what to </w:t>
      </w:r>
      <w:r w:rsidR="006F11C5">
        <w:t>do when there are causes for concern.</w:t>
      </w:r>
    </w:p>
    <w:p w14:paraId="4550AD38" w14:textId="77777777" w:rsidR="00F708E5" w:rsidRPr="001B3765" w:rsidRDefault="00F708E5" w:rsidP="00F15577">
      <w:pPr>
        <w:pStyle w:val="DeptBullets"/>
        <w:tabs>
          <w:tab w:val="clear" w:pos="720"/>
        </w:tabs>
        <w:spacing w:after="0"/>
        <w:ind w:left="360" w:firstLine="0"/>
        <w:rPr>
          <w:b/>
          <w:bCs/>
        </w:rPr>
      </w:pPr>
    </w:p>
    <w:p w14:paraId="6C311128" w14:textId="77777777" w:rsidR="00F708E5" w:rsidRPr="001B3765" w:rsidRDefault="00F708E5" w:rsidP="00F15577">
      <w:pPr>
        <w:pStyle w:val="DeptBullets"/>
        <w:tabs>
          <w:tab w:val="clear" w:pos="720"/>
        </w:tabs>
        <w:spacing w:after="0"/>
        <w:ind w:left="360" w:firstLine="0"/>
        <w:rPr>
          <w:b/>
          <w:bCs/>
        </w:rPr>
      </w:pPr>
      <w:r w:rsidRPr="001B3765">
        <w:rPr>
          <w:b/>
          <w:bCs/>
        </w:rPr>
        <w:t xml:space="preserve">Q: </w:t>
      </w:r>
      <w:r w:rsidR="00F222EB" w:rsidRPr="001B3765">
        <w:rPr>
          <w:b/>
          <w:bCs/>
        </w:rPr>
        <w:t>Can ECTs complete their second year of induction in an International school</w:t>
      </w:r>
      <w:r w:rsidRPr="001B3765">
        <w:rPr>
          <w:b/>
          <w:bCs/>
        </w:rPr>
        <w:t>?</w:t>
      </w:r>
    </w:p>
    <w:p w14:paraId="3C6C1884" w14:textId="468B63F1" w:rsidR="00F222EB" w:rsidRPr="001B3765" w:rsidRDefault="00F708E5" w:rsidP="00F15577">
      <w:pPr>
        <w:pStyle w:val="DeptBullets"/>
        <w:tabs>
          <w:tab w:val="clear" w:pos="720"/>
        </w:tabs>
        <w:spacing w:after="0"/>
        <w:ind w:left="360" w:firstLine="0"/>
      </w:pPr>
      <w:r w:rsidRPr="001B3765">
        <w:rPr>
          <w:b/>
          <w:bCs/>
        </w:rPr>
        <w:t xml:space="preserve">A: </w:t>
      </w:r>
      <w:r w:rsidR="00F222EB" w:rsidRPr="001B3765">
        <w:t>International schools can continue to offer statutory induction subject to the same conditions as currently i.e. as long as the school is a member of an appropriate membership organisation, has been BSO-inspected and arranges an appropriate body for the induction</w:t>
      </w:r>
      <w:r w:rsidR="003E4DE3" w:rsidRPr="001B3765">
        <w:t>.</w:t>
      </w:r>
      <w:r w:rsidR="00F222EB" w:rsidRPr="001B3765">
        <w:tab/>
      </w:r>
    </w:p>
    <w:p w14:paraId="07EE5116" w14:textId="77777777" w:rsidR="00F708E5" w:rsidRPr="001B3765" w:rsidRDefault="00F708E5" w:rsidP="00F15577">
      <w:pPr>
        <w:pStyle w:val="DeptBullets"/>
        <w:tabs>
          <w:tab w:val="clear" w:pos="720"/>
        </w:tabs>
        <w:spacing w:after="0"/>
        <w:ind w:left="360" w:firstLine="0"/>
      </w:pPr>
    </w:p>
    <w:p w14:paraId="4C5B883F" w14:textId="2FCFF009" w:rsidR="00F708E5" w:rsidRPr="001B3765" w:rsidRDefault="00F708E5" w:rsidP="00F15577">
      <w:pPr>
        <w:pStyle w:val="DeptBullets"/>
        <w:tabs>
          <w:tab w:val="clear" w:pos="720"/>
        </w:tabs>
        <w:spacing w:after="0"/>
        <w:ind w:left="360" w:firstLine="0"/>
        <w:rPr>
          <w:b/>
          <w:bCs/>
        </w:rPr>
      </w:pPr>
      <w:r w:rsidRPr="001B3765">
        <w:rPr>
          <w:b/>
          <w:bCs/>
        </w:rPr>
        <w:t xml:space="preserve">Q: </w:t>
      </w:r>
      <w:r w:rsidR="00F222EB" w:rsidRPr="001B3765">
        <w:rPr>
          <w:b/>
          <w:bCs/>
        </w:rPr>
        <w:t xml:space="preserve">Do ECTs </w:t>
      </w:r>
      <w:r w:rsidR="00E816E1" w:rsidRPr="001B3765">
        <w:rPr>
          <w:b/>
          <w:bCs/>
        </w:rPr>
        <w:t xml:space="preserve">serving a reduced </w:t>
      </w:r>
      <w:r w:rsidR="00474D4C" w:rsidRPr="001B3765">
        <w:rPr>
          <w:b/>
          <w:bCs/>
        </w:rPr>
        <w:t xml:space="preserve">induction period </w:t>
      </w:r>
      <w:r w:rsidR="00F222EB" w:rsidRPr="001B3765">
        <w:rPr>
          <w:b/>
          <w:bCs/>
        </w:rPr>
        <w:t>have to engage in ECF</w:t>
      </w:r>
      <w:r w:rsidR="001B3765" w:rsidRPr="001B3765">
        <w:rPr>
          <w:b/>
          <w:bCs/>
        </w:rPr>
        <w:t>-</w:t>
      </w:r>
      <w:r w:rsidR="00F222EB" w:rsidRPr="001B3765">
        <w:rPr>
          <w:b/>
          <w:bCs/>
        </w:rPr>
        <w:t>based training if they are completing induction in the minimum one term?</w:t>
      </w:r>
    </w:p>
    <w:p w14:paraId="72218BBC" w14:textId="26173F30" w:rsidR="00F222EB" w:rsidRPr="001B3765" w:rsidRDefault="00F708E5" w:rsidP="00F15577">
      <w:pPr>
        <w:pStyle w:val="DeptBullets"/>
        <w:tabs>
          <w:tab w:val="clear" w:pos="720"/>
        </w:tabs>
        <w:spacing w:after="0"/>
        <w:ind w:left="360" w:firstLine="0"/>
      </w:pPr>
      <w:r w:rsidRPr="001B3765">
        <w:rPr>
          <w:b/>
          <w:bCs/>
        </w:rPr>
        <w:t xml:space="preserve">A: </w:t>
      </w:r>
      <w:r w:rsidR="00F222EB" w:rsidRPr="001B3765">
        <w:t>Teachers serving a reduced induction should still receive an ECF</w:t>
      </w:r>
      <w:r w:rsidR="001B3765" w:rsidRPr="001B3765">
        <w:t>-</w:t>
      </w:r>
      <w:r w:rsidR="00F222EB" w:rsidRPr="001B3765">
        <w:t>based induction and headteachers should work with induction tutors (and providers where appropriate) to ensure the training is appropriate in each individual circumstance</w:t>
      </w:r>
      <w:r w:rsidR="00F222EB" w:rsidRPr="001B3765">
        <w:tab/>
      </w:r>
      <w:r w:rsidR="003E4DE3" w:rsidRPr="001B3765">
        <w:t>.</w:t>
      </w:r>
    </w:p>
    <w:p w14:paraId="57CC68C7" w14:textId="77777777" w:rsidR="00F708E5" w:rsidRPr="00680740" w:rsidRDefault="00F708E5" w:rsidP="00F15577">
      <w:pPr>
        <w:pStyle w:val="DeptBullets"/>
        <w:tabs>
          <w:tab w:val="clear" w:pos="720"/>
        </w:tabs>
        <w:spacing w:after="0"/>
        <w:ind w:left="360" w:firstLine="0"/>
      </w:pPr>
    </w:p>
    <w:p w14:paraId="3944F099" w14:textId="53C963D9" w:rsidR="00F708E5" w:rsidRPr="00680740" w:rsidRDefault="00F708E5" w:rsidP="00F15577">
      <w:pPr>
        <w:pStyle w:val="DeptBullets"/>
        <w:tabs>
          <w:tab w:val="clear" w:pos="720"/>
        </w:tabs>
        <w:spacing w:after="0"/>
        <w:ind w:left="360" w:firstLine="0"/>
        <w:rPr>
          <w:b/>
          <w:bCs/>
        </w:rPr>
      </w:pPr>
      <w:r w:rsidRPr="00680740">
        <w:rPr>
          <w:b/>
          <w:bCs/>
        </w:rPr>
        <w:t xml:space="preserve">Q: </w:t>
      </w:r>
      <w:r w:rsidR="00F222EB" w:rsidRPr="00680740">
        <w:rPr>
          <w:b/>
          <w:bCs/>
        </w:rPr>
        <w:t>If the ECF is not an assessment, is there still a formal sign off process at the end to ensure standards have been met and what is the process if there are performance concerns during the 2 years?</w:t>
      </w:r>
    </w:p>
    <w:p w14:paraId="0BFA9553" w14:textId="1ABB05DB" w:rsidR="00F222EB" w:rsidRPr="00680740" w:rsidRDefault="00F708E5" w:rsidP="00F15577">
      <w:pPr>
        <w:pStyle w:val="DeptBullets"/>
        <w:tabs>
          <w:tab w:val="clear" w:pos="720"/>
        </w:tabs>
        <w:spacing w:after="0"/>
        <w:ind w:left="360" w:firstLine="0"/>
      </w:pPr>
      <w:r w:rsidRPr="00680740">
        <w:rPr>
          <w:b/>
          <w:bCs/>
        </w:rPr>
        <w:lastRenderedPageBreak/>
        <w:t xml:space="preserve">A: </w:t>
      </w:r>
      <w:r w:rsidR="00F222EB" w:rsidRPr="00680740">
        <w:t>Yes, assessment as now will continue to be against the teacher standards.</w:t>
      </w:r>
      <w:r w:rsidR="00680740" w:rsidRPr="00680740">
        <w:t xml:space="preserve"> Please see the statutory guidance for more details of monitoring and assessment requirements during induction.</w:t>
      </w:r>
    </w:p>
    <w:p w14:paraId="3709A2C9" w14:textId="07B6DC01" w:rsidR="006460E0" w:rsidRPr="00680740" w:rsidRDefault="006460E0" w:rsidP="00F15577">
      <w:pPr>
        <w:pStyle w:val="DeptBullets"/>
        <w:tabs>
          <w:tab w:val="clear" w:pos="720"/>
        </w:tabs>
        <w:spacing w:after="0"/>
        <w:ind w:left="360" w:firstLine="0"/>
      </w:pPr>
    </w:p>
    <w:p w14:paraId="2FDD7885" w14:textId="77777777" w:rsidR="0098688D" w:rsidRPr="0042436B" w:rsidRDefault="006460E0" w:rsidP="00F15577">
      <w:pPr>
        <w:pStyle w:val="DeptBullets"/>
        <w:tabs>
          <w:tab w:val="clear" w:pos="720"/>
        </w:tabs>
        <w:spacing w:after="0"/>
        <w:ind w:left="360" w:firstLine="0"/>
        <w:rPr>
          <w:b/>
          <w:bCs/>
        </w:rPr>
      </w:pPr>
      <w:r w:rsidRPr="0042436B">
        <w:rPr>
          <w:b/>
          <w:bCs/>
        </w:rPr>
        <w:t xml:space="preserve">Q: </w:t>
      </w:r>
      <w:r w:rsidR="00DE0FA2" w:rsidRPr="0042436B">
        <w:rPr>
          <w:b/>
          <w:bCs/>
        </w:rPr>
        <w:t>I</w:t>
      </w:r>
      <w:r w:rsidRPr="0042436B">
        <w:rPr>
          <w:b/>
          <w:bCs/>
        </w:rPr>
        <w:t xml:space="preserve">f </w:t>
      </w:r>
      <w:r w:rsidR="00DE0FA2" w:rsidRPr="0042436B">
        <w:rPr>
          <w:b/>
          <w:bCs/>
        </w:rPr>
        <w:t>an early career teacher is under</w:t>
      </w:r>
      <w:r w:rsidRPr="0042436B">
        <w:rPr>
          <w:b/>
          <w:bCs/>
        </w:rPr>
        <w:t>performing, two years is a long time if they are not meeting standards - any advice please?</w:t>
      </w:r>
    </w:p>
    <w:p w14:paraId="34F6C814" w14:textId="67323D67" w:rsidR="0098688D" w:rsidRPr="000444D2" w:rsidRDefault="006460E0" w:rsidP="00F15577">
      <w:pPr>
        <w:pStyle w:val="DeptBullets"/>
        <w:tabs>
          <w:tab w:val="clear" w:pos="720"/>
        </w:tabs>
        <w:spacing w:after="0"/>
        <w:ind w:left="360" w:firstLine="0"/>
        <w:rPr>
          <w:highlight w:val="green"/>
        </w:rPr>
      </w:pPr>
      <w:r w:rsidRPr="0042436B">
        <w:rPr>
          <w:b/>
          <w:bCs/>
        </w:rPr>
        <w:t>A:</w:t>
      </w:r>
      <w:r w:rsidR="005D46D9" w:rsidRPr="0042436B">
        <w:rPr>
          <w:b/>
          <w:bCs/>
        </w:rPr>
        <w:t xml:space="preserve"> </w:t>
      </w:r>
      <w:r w:rsidR="005D46D9" w:rsidRPr="0042436B">
        <w:t>Induction tutors should use formal assessments</w:t>
      </w:r>
      <w:r w:rsidR="005D46D9" w:rsidRPr="000444D2">
        <w:t xml:space="preserve"> and progress reviews </w:t>
      </w:r>
      <w:r w:rsidR="00613041" w:rsidRPr="000444D2">
        <w:t>to m</w:t>
      </w:r>
      <w:r w:rsidR="00EE72A0" w:rsidRPr="000444D2">
        <w:t xml:space="preserve">onitor </w:t>
      </w:r>
      <w:r w:rsidR="00F85BAE" w:rsidRPr="000444D2">
        <w:t>the ECT</w:t>
      </w:r>
      <w:r w:rsidR="00764D5A">
        <w:t>’</w:t>
      </w:r>
      <w:r w:rsidR="00F85BAE" w:rsidRPr="000444D2">
        <w:t xml:space="preserve">s </w:t>
      </w:r>
      <w:r w:rsidR="00D27A95" w:rsidRPr="000444D2">
        <w:t>progress</w:t>
      </w:r>
      <w:r w:rsidR="00E43345" w:rsidRPr="000444D2">
        <w:t xml:space="preserve"> throughout induction. </w:t>
      </w:r>
      <w:r w:rsidR="002633EA" w:rsidRPr="000444D2">
        <w:t xml:space="preserve">Where the </w:t>
      </w:r>
      <w:r w:rsidR="00792D65" w:rsidRPr="000444D2">
        <w:t xml:space="preserve">induction tutor determines that the ECT is not making </w:t>
      </w:r>
      <w:r w:rsidR="009D4FEF" w:rsidRPr="000444D2">
        <w:t xml:space="preserve">satisfactory progress against the Teachers’ Standards </w:t>
      </w:r>
      <w:r w:rsidR="003D59AD" w:rsidRPr="000444D2">
        <w:t>this should be recorded clearly in the progress review</w:t>
      </w:r>
      <w:r w:rsidR="00E702C3" w:rsidRPr="000444D2">
        <w:t xml:space="preserve"> and</w:t>
      </w:r>
      <w:r w:rsidR="006B73A0" w:rsidRPr="000444D2">
        <w:t xml:space="preserve">/or formal </w:t>
      </w:r>
      <w:r w:rsidR="003D59AD" w:rsidRPr="000444D2">
        <w:t>assessment record</w:t>
      </w:r>
      <w:r w:rsidR="00B67B0D" w:rsidRPr="000444D2">
        <w:t xml:space="preserve"> and additional support </w:t>
      </w:r>
      <w:r w:rsidR="00B549AD" w:rsidRPr="000444D2">
        <w:t>measures should be put in place immediately.</w:t>
      </w:r>
      <w:r w:rsidR="006F5E16" w:rsidRPr="000444D2">
        <w:t xml:space="preserve"> It is important that the ECT is made aware of where they need to improve their practice and given every opportunity to raise their performance</w:t>
      </w:r>
      <w:r w:rsidR="0098688D" w:rsidRPr="000444D2">
        <w:t>. Where there are continuing concerns about the ECT’s progress the induction tutor should explain to the ECT the consequences of failure to complete the induction period satisfactorily and discuss fully with the</w:t>
      </w:r>
      <w:r w:rsidR="0098688D" w:rsidRPr="000444D2">
        <w:rPr>
          <w:spacing w:val="-18"/>
        </w:rPr>
        <w:t xml:space="preserve"> </w:t>
      </w:r>
      <w:r w:rsidR="0098688D" w:rsidRPr="000444D2">
        <w:t>ECT:</w:t>
      </w:r>
    </w:p>
    <w:p w14:paraId="7A6686F2" w14:textId="77777777" w:rsidR="0098688D" w:rsidRPr="000444D2" w:rsidRDefault="0098688D" w:rsidP="00F15577">
      <w:pPr>
        <w:pStyle w:val="ListParagraph"/>
        <w:numPr>
          <w:ilvl w:val="2"/>
          <w:numId w:val="15"/>
        </w:numPr>
        <w:tabs>
          <w:tab w:val="left" w:pos="1190"/>
          <w:tab w:val="left" w:pos="1191"/>
        </w:tabs>
        <w:overflowPunct/>
        <w:adjustRightInd/>
        <w:ind w:firstLine="0"/>
        <w:contextualSpacing w:val="0"/>
        <w:textAlignment w:val="auto"/>
      </w:pPr>
      <w:r w:rsidRPr="000444D2">
        <w:t>the identified</w:t>
      </w:r>
      <w:r w:rsidRPr="000444D2">
        <w:rPr>
          <w:spacing w:val="1"/>
        </w:rPr>
        <w:t xml:space="preserve"> </w:t>
      </w:r>
      <w:r w:rsidRPr="000444D2">
        <w:t>weaknesses;</w:t>
      </w:r>
    </w:p>
    <w:p w14:paraId="113A1D8C" w14:textId="77777777" w:rsidR="0098688D" w:rsidRPr="000444D2" w:rsidRDefault="0098688D" w:rsidP="00F15577">
      <w:pPr>
        <w:pStyle w:val="ListParagraph"/>
        <w:numPr>
          <w:ilvl w:val="2"/>
          <w:numId w:val="15"/>
        </w:numPr>
        <w:tabs>
          <w:tab w:val="left" w:pos="1190"/>
          <w:tab w:val="left" w:pos="1191"/>
        </w:tabs>
        <w:overflowPunct/>
        <w:adjustRightInd/>
        <w:ind w:right="1267" w:firstLine="0"/>
        <w:contextualSpacing w:val="0"/>
        <w:textAlignment w:val="auto"/>
      </w:pPr>
      <w:r w:rsidRPr="000444D2">
        <w:t>the agreed objectives previously set in relation to the requirements for the satisfactory completion of induction, updating these as</w:t>
      </w:r>
      <w:r w:rsidRPr="000444D2">
        <w:rPr>
          <w:spacing w:val="-20"/>
        </w:rPr>
        <w:t xml:space="preserve"> </w:t>
      </w:r>
      <w:r w:rsidRPr="000444D2">
        <w:t>necessary;</w:t>
      </w:r>
    </w:p>
    <w:p w14:paraId="71547AB8" w14:textId="77777777" w:rsidR="0098688D" w:rsidRPr="000444D2" w:rsidRDefault="0098688D" w:rsidP="00F15577">
      <w:pPr>
        <w:pStyle w:val="ListParagraph"/>
        <w:numPr>
          <w:ilvl w:val="2"/>
          <w:numId w:val="15"/>
        </w:numPr>
        <w:tabs>
          <w:tab w:val="left" w:pos="1190"/>
          <w:tab w:val="left" w:pos="1191"/>
        </w:tabs>
        <w:overflowPunct/>
        <w:adjustRightInd/>
        <w:ind w:firstLine="0"/>
        <w:contextualSpacing w:val="0"/>
        <w:textAlignment w:val="auto"/>
      </w:pPr>
      <w:r w:rsidRPr="000444D2">
        <w:t>details of additional monitoring and support put in</w:t>
      </w:r>
      <w:r w:rsidRPr="000444D2">
        <w:rPr>
          <w:spacing w:val="-8"/>
        </w:rPr>
        <w:t xml:space="preserve"> </w:t>
      </w:r>
      <w:r w:rsidRPr="000444D2">
        <w:t>place;</w:t>
      </w:r>
    </w:p>
    <w:p w14:paraId="1A1BB991" w14:textId="77777777" w:rsidR="0098688D" w:rsidRPr="000444D2" w:rsidRDefault="0098688D" w:rsidP="00F15577">
      <w:pPr>
        <w:pStyle w:val="ListParagraph"/>
        <w:numPr>
          <w:ilvl w:val="2"/>
          <w:numId w:val="15"/>
        </w:numPr>
        <w:tabs>
          <w:tab w:val="left" w:pos="1190"/>
          <w:tab w:val="left" w:pos="1191"/>
        </w:tabs>
        <w:overflowPunct/>
        <w:adjustRightInd/>
        <w:ind w:firstLine="0"/>
        <w:contextualSpacing w:val="0"/>
        <w:textAlignment w:val="auto"/>
      </w:pPr>
      <w:r w:rsidRPr="000444D2">
        <w:t>the evidence used to inform the judgement;</w:t>
      </w:r>
      <w:r w:rsidRPr="000444D2">
        <w:rPr>
          <w:spacing w:val="-5"/>
        </w:rPr>
        <w:t xml:space="preserve"> </w:t>
      </w:r>
      <w:r w:rsidRPr="000444D2">
        <w:t>and</w:t>
      </w:r>
    </w:p>
    <w:p w14:paraId="586F3064" w14:textId="77777777" w:rsidR="000444D2" w:rsidRPr="000444D2" w:rsidRDefault="0098688D" w:rsidP="00F15577">
      <w:pPr>
        <w:pStyle w:val="ListParagraph"/>
        <w:numPr>
          <w:ilvl w:val="2"/>
          <w:numId w:val="15"/>
        </w:numPr>
        <w:tabs>
          <w:tab w:val="left" w:pos="1190"/>
          <w:tab w:val="left" w:pos="1191"/>
        </w:tabs>
        <w:overflowPunct/>
        <w:adjustRightInd/>
        <w:ind w:firstLine="0"/>
        <w:contextualSpacing w:val="0"/>
        <w:textAlignment w:val="auto"/>
      </w:pPr>
      <w:r w:rsidRPr="000444D2">
        <w:t>details of the improvement plan for the next assessment</w:t>
      </w:r>
      <w:r w:rsidRPr="000444D2">
        <w:rPr>
          <w:spacing w:val="-8"/>
        </w:rPr>
        <w:t xml:space="preserve"> </w:t>
      </w:r>
      <w:r w:rsidRPr="000444D2">
        <w:t xml:space="preserve">period. </w:t>
      </w:r>
    </w:p>
    <w:p w14:paraId="3CA04E09" w14:textId="77777777" w:rsidR="000444D2" w:rsidRPr="000444D2" w:rsidRDefault="000444D2" w:rsidP="00F15577">
      <w:pPr>
        <w:pStyle w:val="ListParagraph"/>
        <w:rPr>
          <w:b/>
          <w:bCs/>
        </w:rPr>
      </w:pPr>
    </w:p>
    <w:p w14:paraId="2DA7E6AA" w14:textId="60E21987" w:rsidR="00F708E5" w:rsidRDefault="000444D2" w:rsidP="00F15577">
      <w:pPr>
        <w:pStyle w:val="DeptBullets"/>
        <w:tabs>
          <w:tab w:val="clear" w:pos="720"/>
        </w:tabs>
        <w:spacing w:after="0"/>
        <w:ind w:left="360" w:firstLine="0"/>
      </w:pPr>
      <w:r>
        <w:t xml:space="preserve">Further information on monitoring unsatisfactory progress is provided in statutory guidance.  </w:t>
      </w:r>
    </w:p>
    <w:p w14:paraId="38DE5D81" w14:textId="77777777" w:rsidR="000444D2" w:rsidRDefault="000444D2" w:rsidP="00F15577">
      <w:pPr>
        <w:pStyle w:val="DeptBullets"/>
        <w:tabs>
          <w:tab w:val="clear" w:pos="720"/>
        </w:tabs>
        <w:spacing w:after="0"/>
        <w:ind w:left="360" w:firstLine="0"/>
      </w:pPr>
    </w:p>
    <w:p w14:paraId="7B3E002D" w14:textId="77777777" w:rsidR="00F708E5" w:rsidRPr="00F708E5" w:rsidRDefault="00F222EB" w:rsidP="00F15577">
      <w:pPr>
        <w:pStyle w:val="DeptBullets"/>
        <w:tabs>
          <w:tab w:val="clear" w:pos="720"/>
        </w:tabs>
        <w:spacing w:after="0"/>
        <w:ind w:left="360" w:firstLine="0"/>
        <w:rPr>
          <w:b/>
          <w:bCs/>
          <w:u w:val="single"/>
        </w:rPr>
      </w:pPr>
      <w:r w:rsidRPr="00F708E5">
        <w:rPr>
          <w:b/>
          <w:bCs/>
          <w:u w:val="single"/>
        </w:rPr>
        <w:t>Pay and conditions</w:t>
      </w:r>
    </w:p>
    <w:p w14:paraId="1C2DF8A1" w14:textId="0BAEBF62" w:rsidR="00461C34" w:rsidRDefault="00F708E5" w:rsidP="00F15577">
      <w:pPr>
        <w:pStyle w:val="DeptBullets"/>
        <w:tabs>
          <w:tab w:val="clear" w:pos="720"/>
        </w:tabs>
        <w:spacing w:after="0"/>
        <w:ind w:left="360" w:firstLine="0"/>
        <w:rPr>
          <w:b/>
          <w:bCs/>
        </w:rPr>
      </w:pPr>
      <w:r w:rsidRPr="00F708E5">
        <w:rPr>
          <w:b/>
          <w:bCs/>
        </w:rPr>
        <w:t xml:space="preserve">Q: </w:t>
      </w:r>
      <w:r w:rsidR="00F222EB" w:rsidRPr="00F708E5">
        <w:rPr>
          <w:b/>
          <w:bCs/>
        </w:rPr>
        <w:t>Should mentors receive a pay increase/TLR for this role?</w:t>
      </w:r>
    </w:p>
    <w:p w14:paraId="381A5AE6" w14:textId="1ADF8746" w:rsidR="00F708E5" w:rsidRPr="00F85D00" w:rsidRDefault="00F708E5" w:rsidP="00F15577">
      <w:pPr>
        <w:pStyle w:val="DeptBullets"/>
        <w:tabs>
          <w:tab w:val="clear" w:pos="720"/>
        </w:tabs>
        <w:spacing w:after="0"/>
        <w:ind w:left="360" w:firstLine="0"/>
      </w:pPr>
      <w:r>
        <w:rPr>
          <w:b/>
          <w:bCs/>
        </w:rPr>
        <w:t xml:space="preserve">A: </w:t>
      </w:r>
      <w:r w:rsidR="00F85D00">
        <w:t>The School Teachers Pay and Conditions Document sets out the criteria under which it is suitable to award TLR payments.</w:t>
      </w:r>
    </w:p>
    <w:p w14:paraId="273F4587" w14:textId="37C267F1" w:rsidR="00F222EB" w:rsidRPr="00F708E5" w:rsidRDefault="00F222EB" w:rsidP="00F15577">
      <w:pPr>
        <w:pStyle w:val="DeptBullets"/>
        <w:tabs>
          <w:tab w:val="clear" w:pos="720"/>
        </w:tabs>
        <w:spacing w:after="0"/>
        <w:ind w:left="360" w:firstLine="0"/>
        <w:rPr>
          <w:b/>
          <w:bCs/>
        </w:rPr>
      </w:pPr>
      <w:r w:rsidRPr="00F708E5">
        <w:rPr>
          <w:b/>
          <w:bCs/>
        </w:rPr>
        <w:t xml:space="preserve"> </w:t>
      </w:r>
    </w:p>
    <w:p w14:paraId="415B249C" w14:textId="3FCCF006" w:rsidR="00F222EB" w:rsidRDefault="00F708E5" w:rsidP="00F15577">
      <w:pPr>
        <w:pStyle w:val="DeptBullets"/>
        <w:tabs>
          <w:tab w:val="clear" w:pos="720"/>
        </w:tabs>
        <w:spacing w:after="0"/>
        <w:ind w:left="360" w:firstLine="0"/>
        <w:rPr>
          <w:b/>
          <w:bCs/>
        </w:rPr>
      </w:pPr>
      <w:r w:rsidRPr="00F708E5">
        <w:rPr>
          <w:b/>
          <w:bCs/>
        </w:rPr>
        <w:t xml:space="preserve">Q: </w:t>
      </w:r>
      <w:r w:rsidR="00F222EB" w:rsidRPr="00F708E5">
        <w:rPr>
          <w:b/>
          <w:bCs/>
        </w:rPr>
        <w:t xml:space="preserve">Currently some schools have been offering NQTs a year fixed term contract for a variety of reasons, mainly around uncertainty around lockdown or they themselves have been unsure of what their </w:t>
      </w:r>
      <w:r w:rsidR="003F315F" w:rsidRPr="00F708E5">
        <w:rPr>
          <w:b/>
          <w:bCs/>
        </w:rPr>
        <w:t>longer-term</w:t>
      </w:r>
      <w:r w:rsidR="00F222EB" w:rsidRPr="00F708E5">
        <w:rPr>
          <w:b/>
          <w:bCs/>
        </w:rPr>
        <w:t xml:space="preserve"> plans have been. Would they have to offer a </w:t>
      </w:r>
      <w:r w:rsidR="003F315F" w:rsidRPr="00F708E5">
        <w:rPr>
          <w:b/>
          <w:bCs/>
        </w:rPr>
        <w:t>2-year</w:t>
      </w:r>
      <w:r w:rsidR="00F222EB" w:rsidRPr="00F708E5">
        <w:rPr>
          <w:b/>
          <w:bCs/>
        </w:rPr>
        <w:t xml:space="preserve"> fixed term contract to a staff member who would be joining us under the Early Career Framework, or we can still stick to a </w:t>
      </w:r>
      <w:r w:rsidR="00D20171" w:rsidRPr="00F708E5">
        <w:rPr>
          <w:b/>
          <w:bCs/>
        </w:rPr>
        <w:t>1-year</w:t>
      </w:r>
      <w:r w:rsidR="00F222EB" w:rsidRPr="00F708E5">
        <w:rPr>
          <w:b/>
          <w:bCs/>
        </w:rPr>
        <w:t xml:space="preserve"> contract which could be subject to review at the end of the first year?</w:t>
      </w:r>
    </w:p>
    <w:p w14:paraId="7AE727BF" w14:textId="4C42E14B" w:rsidR="00F708E5" w:rsidRDefault="00F708E5" w:rsidP="00F15577">
      <w:pPr>
        <w:pStyle w:val="DeptBullets"/>
        <w:tabs>
          <w:tab w:val="clear" w:pos="720"/>
        </w:tabs>
        <w:spacing w:after="0"/>
        <w:ind w:left="360" w:firstLine="0"/>
        <w:rPr>
          <w:b/>
          <w:bCs/>
        </w:rPr>
      </w:pPr>
      <w:r>
        <w:rPr>
          <w:b/>
          <w:bCs/>
        </w:rPr>
        <w:t xml:space="preserve">A: </w:t>
      </w:r>
      <w:r w:rsidR="00466A97" w:rsidRPr="00207431">
        <w:t>The introduction of the ECF reforms does not affect</w:t>
      </w:r>
      <w:r w:rsidR="00532BFA" w:rsidRPr="00207431">
        <w:t xml:space="preserve"> </w:t>
      </w:r>
      <w:r w:rsidR="00640536" w:rsidRPr="00207431">
        <w:t>terms of employment</w:t>
      </w:r>
      <w:r w:rsidR="009C415E">
        <w:t>. Decisions around fixed term contracts</w:t>
      </w:r>
      <w:r w:rsidR="00795C3E">
        <w:t xml:space="preserve"> </w:t>
      </w:r>
      <w:r w:rsidR="00655824">
        <w:t xml:space="preserve">should </w:t>
      </w:r>
      <w:r w:rsidR="008F74F2">
        <w:t xml:space="preserve">continue to </w:t>
      </w:r>
      <w:r w:rsidR="00655824">
        <w:t xml:space="preserve">be made with regard to general </w:t>
      </w:r>
      <w:r w:rsidR="00D405FE">
        <w:t>employment law.</w:t>
      </w:r>
    </w:p>
    <w:p w14:paraId="5468CF97" w14:textId="77777777" w:rsidR="00F708E5" w:rsidRPr="00F708E5" w:rsidRDefault="00F708E5" w:rsidP="00F15577">
      <w:pPr>
        <w:pStyle w:val="DeptBullets"/>
        <w:tabs>
          <w:tab w:val="clear" w:pos="720"/>
        </w:tabs>
        <w:spacing w:after="0"/>
        <w:ind w:left="360" w:firstLine="0"/>
        <w:rPr>
          <w:b/>
          <w:bCs/>
        </w:rPr>
      </w:pPr>
    </w:p>
    <w:p w14:paraId="69E3E93E" w14:textId="65C20232" w:rsidR="00F708E5" w:rsidRDefault="00F708E5" w:rsidP="00F15577">
      <w:pPr>
        <w:pStyle w:val="DeptBullets"/>
        <w:tabs>
          <w:tab w:val="clear" w:pos="720"/>
        </w:tabs>
        <w:spacing w:after="0"/>
        <w:ind w:left="360" w:firstLine="0"/>
        <w:rPr>
          <w:b/>
          <w:bCs/>
        </w:rPr>
      </w:pPr>
      <w:r w:rsidRPr="00F708E5">
        <w:rPr>
          <w:b/>
          <w:bCs/>
        </w:rPr>
        <w:t>Q: W</w:t>
      </w:r>
      <w:r w:rsidR="00F222EB" w:rsidRPr="00F708E5">
        <w:rPr>
          <w:b/>
          <w:bCs/>
        </w:rPr>
        <w:t>hat is the expectation for pay progression for an ECT?</w:t>
      </w:r>
      <w:r w:rsidR="00B70906">
        <w:rPr>
          <w:b/>
          <w:bCs/>
        </w:rPr>
        <w:t xml:space="preserve"> </w:t>
      </w:r>
    </w:p>
    <w:p w14:paraId="12BE84ED" w14:textId="76B9878D" w:rsidR="00F708E5" w:rsidRPr="00D044FD" w:rsidRDefault="00F708E5" w:rsidP="00F15577">
      <w:pPr>
        <w:pStyle w:val="DeptBullets"/>
        <w:tabs>
          <w:tab w:val="clear" w:pos="720"/>
        </w:tabs>
        <w:spacing w:after="0"/>
        <w:ind w:left="360" w:firstLine="0"/>
      </w:pPr>
      <w:r>
        <w:rPr>
          <w:b/>
          <w:bCs/>
        </w:rPr>
        <w:t xml:space="preserve">A: </w:t>
      </w:r>
      <w:r w:rsidR="00BC155C" w:rsidRPr="00D044FD">
        <w:t>A 2-year induction will have no adverse impact upon early career teachers’ pay or career progression opportunities. Early career teachers will still be able to progress on the pay scale as current arrangements allow, both during and after induction.</w:t>
      </w:r>
    </w:p>
    <w:p w14:paraId="609842F8" w14:textId="1E8DC18C" w:rsidR="00F222EB" w:rsidRPr="00F708E5" w:rsidRDefault="00F222EB" w:rsidP="00F15577">
      <w:pPr>
        <w:pStyle w:val="DeptBullets"/>
        <w:tabs>
          <w:tab w:val="clear" w:pos="720"/>
        </w:tabs>
        <w:spacing w:after="0"/>
        <w:ind w:left="360" w:firstLine="0"/>
        <w:rPr>
          <w:b/>
          <w:bCs/>
        </w:rPr>
      </w:pPr>
      <w:r w:rsidRPr="00F708E5">
        <w:rPr>
          <w:b/>
          <w:bCs/>
        </w:rPr>
        <w:t xml:space="preserve"> </w:t>
      </w:r>
    </w:p>
    <w:p w14:paraId="4C4E1D2D" w14:textId="6EA96FC8" w:rsidR="00F222EB" w:rsidRDefault="00F708E5" w:rsidP="00F15577">
      <w:pPr>
        <w:pStyle w:val="DeptBullets"/>
        <w:tabs>
          <w:tab w:val="clear" w:pos="720"/>
        </w:tabs>
        <w:spacing w:after="0"/>
        <w:ind w:left="360" w:firstLine="0"/>
      </w:pPr>
      <w:r w:rsidRPr="00F708E5">
        <w:rPr>
          <w:b/>
          <w:bCs/>
        </w:rPr>
        <w:t xml:space="preserve">Q: </w:t>
      </w:r>
      <w:r w:rsidR="00F222EB" w:rsidRPr="00F708E5">
        <w:rPr>
          <w:b/>
          <w:bCs/>
        </w:rPr>
        <w:t>What happens for part-time staff? If, for example, 0.5 FTE, will they take 4 years to complete their training? Will part-time staff rise through pay scales on an annual basis, if so in this example a P/T staff member will be Main Pay Scale 4 when they complete their training, is that correct?</w:t>
      </w:r>
    </w:p>
    <w:p w14:paraId="75323933" w14:textId="375C2735" w:rsidR="00F708E5" w:rsidRDefault="00F708E5" w:rsidP="00F15577">
      <w:pPr>
        <w:pStyle w:val="DeptBullets"/>
        <w:tabs>
          <w:tab w:val="clear" w:pos="720"/>
        </w:tabs>
        <w:spacing w:after="0"/>
        <w:ind w:left="360" w:firstLine="0"/>
      </w:pPr>
      <w:r w:rsidRPr="00F708E5">
        <w:rPr>
          <w:b/>
          <w:bCs/>
        </w:rPr>
        <w:t xml:space="preserve">A: </w:t>
      </w:r>
      <w:r w:rsidR="00945859">
        <w:t>The length of statutory induction for teachers working part time is calculated</w:t>
      </w:r>
      <w:r w:rsidR="00E12A61">
        <w:t xml:space="preserve"> as the full-time equivalent of two year</w:t>
      </w:r>
      <w:r w:rsidR="00607B26">
        <w:t>s. So a</w:t>
      </w:r>
      <w:r w:rsidR="00F06D57">
        <w:t xml:space="preserve"> teacher working 0.5FTE</w:t>
      </w:r>
      <w:r w:rsidR="0096239E">
        <w:t xml:space="preserve"> would</w:t>
      </w:r>
      <w:r w:rsidR="00A71F03">
        <w:t xml:space="preserve"> have an induction length of 4 years.</w:t>
      </w:r>
    </w:p>
    <w:p w14:paraId="1DA70DC5" w14:textId="77777777" w:rsidR="00F873B9" w:rsidRDefault="00F873B9" w:rsidP="00F15577">
      <w:pPr>
        <w:pStyle w:val="DeptBullets"/>
        <w:tabs>
          <w:tab w:val="clear" w:pos="720"/>
        </w:tabs>
        <w:spacing w:after="0"/>
        <w:ind w:left="360" w:firstLine="0"/>
      </w:pPr>
    </w:p>
    <w:p w14:paraId="3825FC54" w14:textId="77777777" w:rsidR="00026A58" w:rsidRDefault="004C399F" w:rsidP="00F15577">
      <w:pPr>
        <w:pStyle w:val="DeptBullets"/>
        <w:tabs>
          <w:tab w:val="clear" w:pos="720"/>
        </w:tabs>
        <w:spacing w:after="0"/>
        <w:ind w:left="360" w:firstLine="0"/>
      </w:pPr>
      <w:r>
        <w:t>If, after two calendar years</w:t>
      </w:r>
      <w:r w:rsidR="002C3983">
        <w:t>, a part time early career teacher</w:t>
      </w:r>
      <w:r w:rsidR="00A523FE">
        <w:t xml:space="preserve"> is felt to be consistently meeting the Teachers’ Standards already, they may</w:t>
      </w:r>
      <w:r w:rsidR="00972BAC">
        <w:t xml:space="preserve"> request</w:t>
      </w:r>
      <w:r w:rsidR="00C02A9F">
        <w:t xml:space="preserve"> a reduction to the</w:t>
      </w:r>
      <w:r w:rsidR="003931B2">
        <w:t>ir induction length</w:t>
      </w:r>
      <w:r w:rsidR="00626B19">
        <w:t xml:space="preserve"> and</w:t>
      </w:r>
      <w:r w:rsidR="00966CB0">
        <w:t xml:space="preserve"> a final assessment.</w:t>
      </w:r>
    </w:p>
    <w:p w14:paraId="5FABB729" w14:textId="77777777" w:rsidR="00026A58" w:rsidRDefault="00026A58" w:rsidP="00F15577">
      <w:pPr>
        <w:pStyle w:val="DeptBullets"/>
        <w:tabs>
          <w:tab w:val="clear" w:pos="720"/>
        </w:tabs>
        <w:spacing w:after="0"/>
        <w:ind w:left="360" w:firstLine="0"/>
      </w:pPr>
    </w:p>
    <w:p w14:paraId="144DBD74" w14:textId="244E01E7" w:rsidR="00314734" w:rsidRPr="00945859" w:rsidRDefault="00BE0C3A" w:rsidP="00F15577">
      <w:pPr>
        <w:pStyle w:val="DeptBullets"/>
        <w:tabs>
          <w:tab w:val="clear" w:pos="720"/>
        </w:tabs>
        <w:spacing w:after="0"/>
        <w:ind w:left="360" w:firstLine="0"/>
      </w:pPr>
      <w:r>
        <w:lastRenderedPageBreak/>
        <w:t>Re</w:t>
      </w:r>
      <w:r w:rsidR="00026A58">
        <w:t>ga</w:t>
      </w:r>
      <w:r>
        <w:t xml:space="preserve">rdless of whether or not the teacher </w:t>
      </w:r>
      <w:r w:rsidR="00026A58">
        <w:t>seeks a reduction, e</w:t>
      </w:r>
      <w:r w:rsidR="00F55061" w:rsidRPr="00D044FD">
        <w:t xml:space="preserve">arly career teachers </w:t>
      </w:r>
      <w:r w:rsidR="00026A58">
        <w:t xml:space="preserve">working part time </w:t>
      </w:r>
      <w:r w:rsidR="00F55061" w:rsidRPr="00D044FD">
        <w:t>will still be able to progress on the pay scale as current arrangements allow, both during and after induction.</w:t>
      </w:r>
    </w:p>
    <w:p w14:paraId="5D40AAE9" w14:textId="77777777" w:rsidR="00F708E5" w:rsidRDefault="00F708E5" w:rsidP="00F15577">
      <w:pPr>
        <w:pStyle w:val="DeptBullets"/>
        <w:tabs>
          <w:tab w:val="clear" w:pos="720"/>
        </w:tabs>
        <w:spacing w:after="0"/>
        <w:ind w:left="360" w:firstLine="0"/>
      </w:pPr>
    </w:p>
    <w:p w14:paraId="6BC23591" w14:textId="6EAB31E4" w:rsidR="00F222EB" w:rsidRDefault="00F708E5" w:rsidP="00F15577">
      <w:pPr>
        <w:pStyle w:val="DeptBullets"/>
        <w:tabs>
          <w:tab w:val="clear" w:pos="720"/>
        </w:tabs>
        <w:spacing w:after="0"/>
        <w:ind w:left="360" w:firstLine="0"/>
        <w:rPr>
          <w:b/>
          <w:bCs/>
        </w:rPr>
      </w:pPr>
      <w:r w:rsidRPr="00F708E5">
        <w:rPr>
          <w:b/>
          <w:bCs/>
        </w:rPr>
        <w:t xml:space="preserve">Q: </w:t>
      </w:r>
      <w:r w:rsidR="00D0217C">
        <w:rPr>
          <w:b/>
          <w:bCs/>
        </w:rPr>
        <w:t xml:space="preserve">Is there </w:t>
      </w:r>
      <w:r w:rsidR="00F222EB" w:rsidRPr="00F708E5">
        <w:rPr>
          <w:b/>
          <w:bCs/>
        </w:rPr>
        <w:t>an expectation that part time staff engage in the ECF programmes</w:t>
      </w:r>
      <w:r w:rsidR="00746002">
        <w:rPr>
          <w:b/>
          <w:bCs/>
        </w:rPr>
        <w:t xml:space="preserve"> </w:t>
      </w:r>
      <w:r w:rsidR="00F222EB" w:rsidRPr="00F708E5">
        <w:rPr>
          <w:b/>
          <w:bCs/>
        </w:rPr>
        <w:t xml:space="preserve">on a </w:t>
      </w:r>
      <w:r w:rsidR="00102643" w:rsidRPr="00F708E5">
        <w:rPr>
          <w:b/>
          <w:bCs/>
        </w:rPr>
        <w:t>full-time</w:t>
      </w:r>
      <w:r w:rsidR="00F222EB" w:rsidRPr="00F708E5">
        <w:rPr>
          <w:b/>
          <w:bCs/>
        </w:rPr>
        <w:t xml:space="preserve"> basis - </w:t>
      </w:r>
      <w:r w:rsidR="00746002" w:rsidRPr="00F708E5">
        <w:rPr>
          <w:b/>
          <w:bCs/>
        </w:rPr>
        <w:t>e.g.</w:t>
      </w:r>
      <w:r w:rsidR="00F222EB" w:rsidRPr="00F708E5">
        <w:rPr>
          <w:b/>
          <w:bCs/>
        </w:rPr>
        <w:t xml:space="preserve"> do all the development and training in two </w:t>
      </w:r>
      <w:r w:rsidR="00FA19E5">
        <w:rPr>
          <w:b/>
          <w:bCs/>
        </w:rPr>
        <w:t>years</w:t>
      </w:r>
    </w:p>
    <w:p w14:paraId="0840CE80" w14:textId="4E8E663E" w:rsidR="00052D88" w:rsidRDefault="00F708E5" w:rsidP="00052D88">
      <w:pPr>
        <w:pStyle w:val="DeptBullets"/>
        <w:tabs>
          <w:tab w:val="clear" w:pos="720"/>
        </w:tabs>
        <w:spacing w:after="0"/>
        <w:ind w:left="360" w:firstLine="0"/>
      </w:pPr>
      <w:r>
        <w:rPr>
          <w:b/>
          <w:bCs/>
        </w:rPr>
        <w:t>A:</w:t>
      </w:r>
      <w:r w:rsidR="00FA19E5">
        <w:rPr>
          <w:b/>
          <w:bCs/>
        </w:rPr>
        <w:t xml:space="preserve"> </w:t>
      </w:r>
      <w:r w:rsidR="00052D88">
        <w:t>The length of statutory induction for teachers working part time is calculated as the full-time equivalent of two years. So a teacher working 0.5FTE would have an induction length of 4 years. There is no expectation that a part-time teacher</w:t>
      </w:r>
      <w:r w:rsidR="002F2DD9">
        <w:t xml:space="preserve"> would engage with</w:t>
      </w:r>
      <w:r w:rsidR="00102643">
        <w:t xml:space="preserve"> ECF-based training on a full-time basis.</w:t>
      </w:r>
    </w:p>
    <w:p w14:paraId="41FC280A" w14:textId="393EC550" w:rsidR="00F708E5" w:rsidRPr="00FA19E5" w:rsidRDefault="00F708E5" w:rsidP="00F15577">
      <w:pPr>
        <w:pStyle w:val="DeptBullets"/>
        <w:tabs>
          <w:tab w:val="clear" w:pos="720"/>
        </w:tabs>
        <w:spacing w:after="0"/>
        <w:ind w:left="360" w:firstLine="0"/>
      </w:pPr>
    </w:p>
    <w:p w14:paraId="1B7AC29D" w14:textId="77777777" w:rsidR="00F708E5" w:rsidRPr="00F708E5" w:rsidRDefault="00F708E5" w:rsidP="00F15577">
      <w:pPr>
        <w:pStyle w:val="DeptBullets"/>
        <w:tabs>
          <w:tab w:val="clear" w:pos="720"/>
        </w:tabs>
        <w:spacing w:after="0"/>
        <w:ind w:left="360" w:firstLine="0"/>
        <w:rPr>
          <w:b/>
          <w:bCs/>
        </w:rPr>
      </w:pPr>
    </w:p>
    <w:p w14:paraId="7413BF14" w14:textId="77777777" w:rsidR="00F708E5" w:rsidRDefault="00F222EB" w:rsidP="00F15577">
      <w:pPr>
        <w:pStyle w:val="DeptBullets"/>
        <w:tabs>
          <w:tab w:val="clear" w:pos="720"/>
        </w:tabs>
        <w:spacing w:after="0"/>
        <w:ind w:left="360" w:firstLine="0"/>
      </w:pPr>
      <w:r w:rsidRPr="00F708E5">
        <w:rPr>
          <w:b/>
          <w:bCs/>
          <w:u w:val="single"/>
        </w:rPr>
        <w:t>Online service</w:t>
      </w:r>
    </w:p>
    <w:p w14:paraId="5666E038" w14:textId="19AB38B8" w:rsidR="00B26B8D" w:rsidRDefault="00B26B8D" w:rsidP="00B26B8D">
      <w:pPr>
        <w:pStyle w:val="DeptBullets"/>
        <w:tabs>
          <w:tab w:val="clear" w:pos="720"/>
        </w:tabs>
        <w:spacing w:after="0"/>
        <w:ind w:left="360" w:firstLine="0"/>
        <w:rPr>
          <w:b/>
          <w:bCs/>
        </w:rPr>
      </w:pPr>
      <w:r w:rsidRPr="00F708E5">
        <w:rPr>
          <w:b/>
          <w:bCs/>
        </w:rPr>
        <w:t>Q: What's the reason for the online service - to signpost?</w:t>
      </w:r>
    </w:p>
    <w:p w14:paraId="43B4B350" w14:textId="28FFA013" w:rsidR="00B26B8D" w:rsidRPr="00C11762" w:rsidRDefault="00B26B8D" w:rsidP="00B26B8D">
      <w:pPr>
        <w:pStyle w:val="DeptBullets"/>
        <w:tabs>
          <w:tab w:val="clear" w:pos="720"/>
        </w:tabs>
        <w:spacing w:after="0"/>
        <w:ind w:left="360" w:firstLine="0"/>
      </w:pPr>
      <w:r>
        <w:rPr>
          <w:b/>
          <w:bCs/>
        </w:rPr>
        <w:t>A:</w:t>
      </w:r>
      <w:r w:rsidR="00C11762">
        <w:rPr>
          <w:b/>
          <w:bCs/>
        </w:rPr>
        <w:t xml:space="preserve"> </w:t>
      </w:r>
      <w:r w:rsidR="007E308E" w:rsidRPr="0091379A">
        <w:t>The DfE’s new online service is being designed to facilitate the delivery of ECF-based training</w:t>
      </w:r>
      <w:r w:rsidR="0091379A" w:rsidRPr="0091379A">
        <w:t>.</w:t>
      </w:r>
      <w:r w:rsidR="0091379A">
        <w:rPr>
          <w:b/>
          <w:bCs/>
        </w:rPr>
        <w:t xml:space="preserve"> </w:t>
      </w:r>
      <w:r w:rsidR="00C11762" w:rsidRPr="00C11762">
        <w:t>The interaction with the online service will differ depending on which delivery route a school has chosen to pursue.</w:t>
      </w:r>
      <w:r w:rsidR="00426A4E">
        <w:t xml:space="preserve"> </w:t>
      </w:r>
      <w:r w:rsidR="00426A4E" w:rsidRPr="00426A4E">
        <w:t>Unless a school is opting to design its own ECF-based programmes, the school will need to get set up on the online service ahead of the early career teachers beginning their inductions.</w:t>
      </w:r>
    </w:p>
    <w:p w14:paraId="064FDE48" w14:textId="77777777" w:rsidR="00B26B8D" w:rsidRPr="00F708E5" w:rsidRDefault="00B26B8D" w:rsidP="00B26B8D">
      <w:pPr>
        <w:pStyle w:val="DeptBullets"/>
        <w:tabs>
          <w:tab w:val="clear" w:pos="720"/>
        </w:tabs>
        <w:spacing w:after="0"/>
        <w:ind w:left="360" w:firstLine="0"/>
        <w:rPr>
          <w:b/>
          <w:bCs/>
        </w:rPr>
      </w:pPr>
    </w:p>
    <w:p w14:paraId="5991249B" w14:textId="77777777" w:rsidR="00F708E5" w:rsidRDefault="00F708E5" w:rsidP="00F15577">
      <w:pPr>
        <w:pStyle w:val="DeptBullets"/>
        <w:tabs>
          <w:tab w:val="clear" w:pos="720"/>
        </w:tabs>
        <w:spacing w:after="0"/>
        <w:ind w:left="360" w:firstLine="0"/>
        <w:rPr>
          <w:b/>
          <w:bCs/>
        </w:rPr>
      </w:pPr>
      <w:r w:rsidRPr="00F708E5">
        <w:rPr>
          <w:b/>
          <w:bCs/>
        </w:rPr>
        <w:t xml:space="preserve">Q: </w:t>
      </w:r>
      <w:r w:rsidR="00F222EB" w:rsidRPr="00F708E5">
        <w:rPr>
          <w:b/>
          <w:bCs/>
        </w:rPr>
        <w:t>Is it the mentor or the tutor that needs to be notified through the online service???</w:t>
      </w:r>
    </w:p>
    <w:p w14:paraId="148DDCF0" w14:textId="6D0EF0FA" w:rsidR="00F222EB" w:rsidRDefault="00F708E5" w:rsidP="00F15577">
      <w:pPr>
        <w:pStyle w:val="DeptBullets"/>
        <w:tabs>
          <w:tab w:val="clear" w:pos="720"/>
        </w:tabs>
        <w:spacing w:after="0"/>
        <w:ind w:left="360" w:firstLine="0"/>
      </w:pPr>
      <w:r>
        <w:rPr>
          <w:b/>
          <w:bCs/>
        </w:rPr>
        <w:t>A:</w:t>
      </w:r>
      <w:r w:rsidR="00837049">
        <w:rPr>
          <w:b/>
          <w:bCs/>
        </w:rPr>
        <w:t xml:space="preserve"> </w:t>
      </w:r>
      <w:r w:rsidR="00FB4485" w:rsidRPr="00FB4485">
        <w:t>From the end of April, schools will begin to be contacted asking them to nominate their induction tutor on the service if they have decided to use an approved training provider (Full Induction Programme FIP) or the DfE-accredited materials (Core Induction Programme CIP).</w:t>
      </w:r>
    </w:p>
    <w:p w14:paraId="67F4936E" w14:textId="77777777" w:rsidR="00250E8A" w:rsidRDefault="00250E8A" w:rsidP="00F15577">
      <w:pPr>
        <w:pStyle w:val="DeptBullets"/>
        <w:tabs>
          <w:tab w:val="clear" w:pos="720"/>
        </w:tabs>
        <w:spacing w:after="0"/>
        <w:ind w:left="360" w:firstLine="0"/>
      </w:pPr>
    </w:p>
    <w:p w14:paraId="2EF6B401" w14:textId="606AD3FB" w:rsidR="00250E8A" w:rsidRPr="00837049" w:rsidRDefault="00250E8A" w:rsidP="00F15577">
      <w:pPr>
        <w:pStyle w:val="DeptBullets"/>
        <w:tabs>
          <w:tab w:val="clear" w:pos="720"/>
        </w:tabs>
        <w:spacing w:after="0"/>
        <w:ind w:left="360" w:firstLine="0"/>
      </w:pPr>
      <w:r>
        <w:t>When known, the induction tutor will add details for</w:t>
      </w:r>
      <w:r w:rsidR="00E66C88">
        <w:t xml:space="preserve"> their early career teacher</w:t>
      </w:r>
      <w:r w:rsidR="00482A22">
        <w:t>s and mentors</w:t>
      </w:r>
      <w:r w:rsidR="00FA0A6B">
        <w:t>.</w:t>
      </w:r>
    </w:p>
    <w:p w14:paraId="2A3E9980" w14:textId="77777777" w:rsidR="00F708E5" w:rsidRDefault="00F708E5" w:rsidP="00F15577">
      <w:pPr>
        <w:pStyle w:val="DeptBullets"/>
        <w:tabs>
          <w:tab w:val="clear" w:pos="720"/>
        </w:tabs>
        <w:spacing w:after="0"/>
        <w:ind w:left="360" w:firstLine="0"/>
      </w:pPr>
    </w:p>
    <w:p w14:paraId="3690586F" w14:textId="2E4B2975" w:rsidR="00F222EB" w:rsidRDefault="00F708E5" w:rsidP="00F15577">
      <w:pPr>
        <w:pStyle w:val="DeptBullets"/>
        <w:tabs>
          <w:tab w:val="clear" w:pos="720"/>
        </w:tabs>
        <w:spacing w:after="0"/>
        <w:ind w:left="360" w:firstLine="0"/>
        <w:rPr>
          <w:b/>
          <w:bCs/>
        </w:rPr>
      </w:pPr>
      <w:r w:rsidRPr="00F708E5">
        <w:rPr>
          <w:b/>
          <w:bCs/>
        </w:rPr>
        <w:t>Q: W</w:t>
      </w:r>
      <w:r w:rsidR="00F222EB" w:rsidRPr="00F708E5">
        <w:rPr>
          <w:b/>
          <w:bCs/>
        </w:rPr>
        <w:t>ill ABs have access to the online service?</w:t>
      </w:r>
    </w:p>
    <w:p w14:paraId="687C1924" w14:textId="62676258" w:rsidR="00F708E5" w:rsidRPr="00407630" w:rsidRDefault="00F708E5" w:rsidP="00F15577">
      <w:pPr>
        <w:pStyle w:val="DeptBullets"/>
        <w:tabs>
          <w:tab w:val="clear" w:pos="720"/>
        </w:tabs>
        <w:spacing w:after="0"/>
        <w:ind w:left="360" w:firstLine="0"/>
      </w:pPr>
      <w:r>
        <w:rPr>
          <w:b/>
          <w:bCs/>
        </w:rPr>
        <w:t xml:space="preserve">A: </w:t>
      </w:r>
      <w:r w:rsidR="00946944" w:rsidRPr="00407630">
        <w:t>Appropriate bodies will have access to the accredited DfE materials</w:t>
      </w:r>
      <w:r w:rsidR="00407630" w:rsidRPr="00407630">
        <w:t xml:space="preserve"> to assist them with their fidelity-checking role for those schools who decide to deliver the accredited training materials themselves.</w:t>
      </w:r>
    </w:p>
    <w:p w14:paraId="4625F1D8" w14:textId="77777777" w:rsidR="00F708E5" w:rsidRPr="00F708E5" w:rsidRDefault="00F708E5" w:rsidP="00F15577">
      <w:pPr>
        <w:pStyle w:val="DeptBullets"/>
        <w:tabs>
          <w:tab w:val="clear" w:pos="720"/>
        </w:tabs>
        <w:spacing w:after="0"/>
        <w:ind w:left="360" w:firstLine="0"/>
        <w:rPr>
          <w:b/>
          <w:bCs/>
        </w:rPr>
      </w:pPr>
    </w:p>
    <w:p w14:paraId="7533A1FD" w14:textId="61730036" w:rsidR="00F708E5" w:rsidRPr="00F708E5" w:rsidRDefault="00F708E5" w:rsidP="00F15577">
      <w:pPr>
        <w:pStyle w:val="DeptBullets"/>
        <w:tabs>
          <w:tab w:val="clear" w:pos="720"/>
        </w:tabs>
        <w:spacing w:after="0"/>
        <w:ind w:left="360" w:firstLine="0"/>
        <w:rPr>
          <w:b/>
          <w:bCs/>
        </w:rPr>
      </w:pPr>
      <w:r w:rsidRPr="00F708E5">
        <w:rPr>
          <w:b/>
          <w:bCs/>
        </w:rPr>
        <w:t xml:space="preserve">Q: </w:t>
      </w:r>
      <w:r w:rsidR="00F222EB" w:rsidRPr="00F708E5">
        <w:rPr>
          <w:b/>
          <w:bCs/>
        </w:rPr>
        <w:t>What is the purpose of schools have to supply the information on DfE portal?</w:t>
      </w:r>
      <w:r w:rsidRPr="00F708E5">
        <w:rPr>
          <w:b/>
          <w:bCs/>
        </w:rPr>
        <w:t xml:space="preserve"> AB will also provide this information to the TRA.</w:t>
      </w:r>
    </w:p>
    <w:p w14:paraId="1EB581C9" w14:textId="77777777" w:rsidR="00A12E98" w:rsidRDefault="00F708E5" w:rsidP="00A12E98">
      <w:pPr>
        <w:pStyle w:val="DeptBullets"/>
        <w:tabs>
          <w:tab w:val="clear" w:pos="720"/>
        </w:tabs>
        <w:spacing w:after="0"/>
        <w:ind w:left="360" w:firstLine="0"/>
      </w:pPr>
      <w:r w:rsidRPr="00A12E98">
        <w:rPr>
          <w:b/>
          <w:bCs/>
        </w:rPr>
        <w:t>A:</w:t>
      </w:r>
      <w:r>
        <w:t xml:space="preserve"> </w:t>
      </w:r>
      <w:r w:rsidR="00A12E98">
        <w:t>The DfE’s new online service is being designed to facilitate the delivery of ECF-based training in as streamlined a way as is possible. For those schools choosing to use a funded training provider, it will be necessary for schools to provide the details of both their early career teachers and their mentors, in order for the providers to coordinate that training. Even though appropriate bodies will start reporting the type of ECF-based induction for inclusion in the Database of Qualified Teachers (DQT), this wouldn’t be an optimal route for data collection on other required data elements.</w:t>
      </w:r>
    </w:p>
    <w:p w14:paraId="3440C2FA" w14:textId="77777777" w:rsidR="00A12E98" w:rsidRDefault="00A12E98" w:rsidP="00A12E98">
      <w:pPr>
        <w:pStyle w:val="DeptBullets"/>
        <w:tabs>
          <w:tab w:val="clear" w:pos="720"/>
        </w:tabs>
        <w:spacing w:after="0"/>
        <w:ind w:left="360" w:firstLine="0"/>
      </w:pPr>
    </w:p>
    <w:p w14:paraId="3384CB2F" w14:textId="77777777" w:rsidR="00A12E98" w:rsidRDefault="00A12E98" w:rsidP="00A12E98">
      <w:pPr>
        <w:pStyle w:val="DeptBullets"/>
        <w:tabs>
          <w:tab w:val="clear" w:pos="720"/>
        </w:tabs>
        <w:spacing w:after="0"/>
        <w:ind w:left="360" w:firstLine="0"/>
      </w:pPr>
      <w:r>
        <w:t>The DfE-accredited materials will be hosted on the online service for those early career teachers and mentors to access in schools who choose to deliver the accredited training material themselves. There will be additional functionality to help ECTs track their progress and for induction tutors and mentors to manage the process.</w:t>
      </w:r>
    </w:p>
    <w:p w14:paraId="0873A62A" w14:textId="77777777" w:rsidR="00A12E98" w:rsidRDefault="00A12E98" w:rsidP="00A12E98">
      <w:pPr>
        <w:pStyle w:val="DeptBullets"/>
        <w:tabs>
          <w:tab w:val="clear" w:pos="720"/>
        </w:tabs>
        <w:spacing w:after="0"/>
        <w:ind w:left="360" w:firstLine="0"/>
      </w:pPr>
    </w:p>
    <w:p w14:paraId="6253A566" w14:textId="57BA55CC" w:rsidR="00F222EB" w:rsidRDefault="00A12E98" w:rsidP="00A12E98">
      <w:pPr>
        <w:pStyle w:val="DeptBullets"/>
        <w:tabs>
          <w:tab w:val="clear" w:pos="720"/>
        </w:tabs>
        <w:spacing w:after="0"/>
        <w:ind w:left="360" w:firstLine="0"/>
      </w:pPr>
      <w:r>
        <w:t>Schools will not need to engage with the new online service if they intend to design and deliver their own ECF-based training.</w:t>
      </w:r>
    </w:p>
    <w:p w14:paraId="78D07B67" w14:textId="77777777" w:rsidR="00F708E5" w:rsidRDefault="00F708E5" w:rsidP="00A12E98">
      <w:pPr>
        <w:pStyle w:val="DeptBullets"/>
        <w:tabs>
          <w:tab w:val="clear" w:pos="720"/>
        </w:tabs>
        <w:spacing w:after="0"/>
        <w:ind w:left="360" w:firstLine="0"/>
      </w:pPr>
    </w:p>
    <w:p w14:paraId="167933DA" w14:textId="0A253EEB" w:rsidR="00F222EB" w:rsidRDefault="00F708E5" w:rsidP="00F15577">
      <w:pPr>
        <w:pStyle w:val="DeptBullets"/>
        <w:tabs>
          <w:tab w:val="clear" w:pos="720"/>
        </w:tabs>
        <w:spacing w:after="0"/>
        <w:ind w:left="360" w:firstLine="0"/>
        <w:rPr>
          <w:b/>
          <w:bCs/>
        </w:rPr>
      </w:pPr>
      <w:r w:rsidRPr="00F708E5">
        <w:rPr>
          <w:b/>
          <w:bCs/>
        </w:rPr>
        <w:t xml:space="preserve">Q: </w:t>
      </w:r>
      <w:r w:rsidR="00F222EB" w:rsidRPr="00F708E5">
        <w:rPr>
          <w:b/>
          <w:bCs/>
        </w:rPr>
        <w:t>Can we have the link that has been sent to schools to register their</w:t>
      </w:r>
      <w:r w:rsidR="008D31D6">
        <w:rPr>
          <w:b/>
          <w:bCs/>
        </w:rPr>
        <w:t xml:space="preserve"> induction tutors</w:t>
      </w:r>
      <w:r w:rsidR="00F222EB" w:rsidRPr="00F708E5">
        <w:rPr>
          <w:b/>
          <w:bCs/>
        </w:rPr>
        <w:t>?</w:t>
      </w:r>
      <w:r w:rsidR="00F222EB" w:rsidRPr="00F708E5">
        <w:rPr>
          <w:b/>
          <w:bCs/>
        </w:rPr>
        <w:tab/>
      </w:r>
    </w:p>
    <w:p w14:paraId="32D8C68A" w14:textId="1FC478F6" w:rsidR="00F708E5" w:rsidRPr="00C11CDB" w:rsidRDefault="00F708E5" w:rsidP="00F15577">
      <w:pPr>
        <w:pStyle w:val="DeptBullets"/>
        <w:tabs>
          <w:tab w:val="clear" w:pos="720"/>
        </w:tabs>
        <w:spacing w:after="0"/>
        <w:ind w:left="360" w:firstLine="0"/>
      </w:pPr>
      <w:r>
        <w:rPr>
          <w:b/>
          <w:bCs/>
        </w:rPr>
        <w:t>A:</w:t>
      </w:r>
      <w:r w:rsidR="00C11CDB">
        <w:rPr>
          <w:b/>
          <w:bCs/>
        </w:rPr>
        <w:t xml:space="preserve"> </w:t>
      </w:r>
      <w:r w:rsidR="00476C82">
        <w:t xml:space="preserve">The invites </w:t>
      </w:r>
      <w:r w:rsidR="00B8684A">
        <w:t xml:space="preserve">that have been sent to schools </w:t>
      </w:r>
      <w:r w:rsidR="00476C82">
        <w:t>so far have a URL that is personalised to each school.</w:t>
      </w:r>
      <w:r w:rsidR="00D47AA2">
        <w:t xml:space="preserve"> The invite will have been sent</w:t>
      </w:r>
      <w:r w:rsidR="00F16AF4">
        <w:t xml:space="preserve"> to the email address(es) registered against the school in </w:t>
      </w:r>
      <w:hyperlink r:id="rId15" w:history="1">
        <w:r w:rsidR="00F16AF4" w:rsidRPr="0052123F">
          <w:rPr>
            <w:rStyle w:val="Hyperlink"/>
          </w:rPr>
          <w:t>GIAS (Get Information About Schools)</w:t>
        </w:r>
      </w:hyperlink>
      <w:r w:rsidR="00F16AF4">
        <w:t xml:space="preserve">. Schools can visit </w:t>
      </w:r>
      <w:hyperlink r:id="rId16" w:history="1">
        <w:r w:rsidR="00F16AF4" w:rsidRPr="001F496F">
          <w:rPr>
            <w:rStyle w:val="Hyperlink"/>
          </w:rPr>
          <w:t>https://manage-training-for-early-</w:t>
        </w:r>
        <w:r w:rsidR="00F16AF4" w:rsidRPr="001F496F">
          <w:rPr>
            <w:rStyle w:val="Hyperlink"/>
          </w:rPr>
          <w:lastRenderedPageBreak/>
          <w:t>career-teachers.education.gov.uk/</w:t>
        </w:r>
      </w:hyperlink>
      <w:r w:rsidR="00E56D1F">
        <w:t xml:space="preserve"> and regenerate an email invite to that address</w:t>
      </w:r>
      <w:r w:rsidR="00E47352">
        <w:t>,</w:t>
      </w:r>
      <w:r w:rsidR="00E56D1F">
        <w:t xml:space="preserve"> if they cannot find the </w:t>
      </w:r>
      <w:r w:rsidR="00E47352">
        <w:t>original invite</w:t>
      </w:r>
      <w:r w:rsidR="00E56D1F">
        <w:t>.</w:t>
      </w:r>
    </w:p>
    <w:p w14:paraId="03DCDF36" w14:textId="77777777" w:rsidR="00F708E5" w:rsidRDefault="00F708E5" w:rsidP="00F15577">
      <w:pPr>
        <w:pStyle w:val="DeptBullets"/>
        <w:tabs>
          <w:tab w:val="clear" w:pos="720"/>
        </w:tabs>
        <w:spacing w:after="0"/>
        <w:ind w:left="360" w:firstLine="0"/>
      </w:pPr>
    </w:p>
    <w:p w14:paraId="497381A7" w14:textId="77777777" w:rsidR="00F708E5" w:rsidRDefault="00F222EB" w:rsidP="00F15577">
      <w:pPr>
        <w:pStyle w:val="DeptBullets"/>
        <w:tabs>
          <w:tab w:val="clear" w:pos="720"/>
        </w:tabs>
        <w:spacing w:after="0"/>
        <w:ind w:left="360" w:firstLine="0"/>
      </w:pPr>
      <w:r w:rsidRPr="00F708E5">
        <w:rPr>
          <w:b/>
          <w:bCs/>
          <w:u w:val="single"/>
        </w:rPr>
        <w:t>Funding</w:t>
      </w:r>
    </w:p>
    <w:p w14:paraId="79E7EB3F" w14:textId="77777777" w:rsidR="00F708E5" w:rsidRPr="006F11C5" w:rsidRDefault="00F708E5" w:rsidP="00F15577">
      <w:pPr>
        <w:pStyle w:val="DeptBullets"/>
        <w:tabs>
          <w:tab w:val="clear" w:pos="720"/>
        </w:tabs>
        <w:spacing w:after="0"/>
        <w:ind w:left="360" w:firstLine="0"/>
        <w:rPr>
          <w:b/>
        </w:rPr>
      </w:pPr>
      <w:r w:rsidRPr="006F11C5">
        <w:rPr>
          <w:b/>
        </w:rPr>
        <w:t xml:space="preserve">Q: </w:t>
      </w:r>
      <w:r w:rsidR="00F222EB" w:rsidRPr="006F11C5">
        <w:rPr>
          <w:b/>
        </w:rPr>
        <w:t xml:space="preserve">Regarding funding, you have said about state schools - what about </w:t>
      </w:r>
      <w:r w:rsidR="00F70C69" w:rsidRPr="006F11C5">
        <w:rPr>
          <w:b/>
        </w:rPr>
        <w:t>independent</w:t>
      </w:r>
      <w:r w:rsidR="00F222EB" w:rsidRPr="006F11C5">
        <w:rPr>
          <w:b/>
        </w:rPr>
        <w:t xml:space="preserve"> schools?</w:t>
      </w:r>
      <w:r w:rsidR="00F222EB" w:rsidRPr="006F11C5">
        <w:rPr>
          <w:b/>
        </w:rPr>
        <w:tab/>
      </w:r>
    </w:p>
    <w:p w14:paraId="5138BF4E" w14:textId="06575277" w:rsidR="00B3320D" w:rsidRDefault="00F708E5" w:rsidP="00F15577">
      <w:pPr>
        <w:pStyle w:val="DeptBullets"/>
        <w:tabs>
          <w:tab w:val="clear" w:pos="720"/>
        </w:tabs>
        <w:spacing w:after="0"/>
        <w:ind w:left="360" w:firstLine="0"/>
        <w:rPr>
          <w:rFonts w:cs="Arial"/>
          <w:szCs w:val="24"/>
        </w:rPr>
      </w:pPr>
      <w:r w:rsidRPr="006F11C5">
        <w:rPr>
          <w:b/>
          <w:bCs/>
        </w:rPr>
        <w:t xml:space="preserve">A: </w:t>
      </w:r>
      <w:r w:rsidR="00020A6B" w:rsidRPr="006F11C5">
        <w:t xml:space="preserve">Independent schools will not </w:t>
      </w:r>
      <w:r w:rsidR="000A2E67" w:rsidRPr="006F11C5">
        <w:t xml:space="preserve">receive </w:t>
      </w:r>
      <w:r w:rsidR="00F877AA" w:rsidRPr="006F11C5">
        <w:t xml:space="preserve">additional </w:t>
      </w:r>
      <w:r w:rsidR="009D50DE" w:rsidRPr="006F11C5">
        <w:t xml:space="preserve">funding. However, </w:t>
      </w:r>
      <w:r w:rsidR="00142EAE" w:rsidRPr="006F11C5">
        <w:t xml:space="preserve">schools </w:t>
      </w:r>
      <w:r w:rsidR="00045825" w:rsidRPr="006F11C5">
        <w:t>which</w:t>
      </w:r>
      <w:r w:rsidR="00142EAE" w:rsidRPr="006F11C5">
        <w:t xml:space="preserve"> </w:t>
      </w:r>
      <w:r w:rsidR="00B3320D" w:rsidRPr="006F11C5">
        <w:rPr>
          <w:rFonts w:cs="Arial"/>
          <w:szCs w:val="24"/>
        </w:rPr>
        <w:t>are not state funded and want to offer their ECTs the provider led programme may enter into arrangements with lead providers directly to access the Full Induction Programme. This is subject solely to the agreement of the lead provider and the institution.</w:t>
      </w:r>
      <w:r w:rsidR="00B3320D" w:rsidRPr="01F588A2">
        <w:rPr>
          <w:rFonts w:cs="Arial"/>
          <w:szCs w:val="24"/>
        </w:rPr>
        <w:t xml:space="preserve">  </w:t>
      </w:r>
    </w:p>
    <w:p w14:paraId="0BB29440" w14:textId="77777777" w:rsidR="001C660B" w:rsidRPr="001B04E1" w:rsidRDefault="001C660B" w:rsidP="00F15577">
      <w:pPr>
        <w:pStyle w:val="DeptBullets"/>
        <w:tabs>
          <w:tab w:val="clear" w:pos="720"/>
        </w:tabs>
        <w:spacing w:after="0"/>
        <w:ind w:left="0" w:firstLine="0"/>
        <w:rPr>
          <w:rFonts w:cs="Arial"/>
          <w:szCs w:val="24"/>
        </w:rPr>
      </w:pPr>
    </w:p>
    <w:p w14:paraId="5CEE03EF" w14:textId="77777777" w:rsidR="001C660B" w:rsidRPr="003A7B97" w:rsidRDefault="001C660B" w:rsidP="00F15577">
      <w:pPr>
        <w:pStyle w:val="DeptBullets"/>
        <w:tabs>
          <w:tab w:val="clear" w:pos="720"/>
        </w:tabs>
        <w:spacing w:after="0"/>
        <w:ind w:left="360" w:firstLine="0"/>
        <w:rPr>
          <w:b/>
          <w:bCs/>
        </w:rPr>
      </w:pPr>
      <w:r w:rsidRPr="001B04E1">
        <w:rPr>
          <w:rFonts w:cs="Arial"/>
          <w:szCs w:val="24"/>
        </w:rPr>
        <w:t>Where agreement cannot be reached these institutions will be able to deliver their own training using the freely available DfE accredited materials and resources or design and deliver their own programmes. In such instances the appropriate body will be responsible for ensuring the ECT receives a programme of training and support based on the ECF.</w:t>
      </w:r>
      <w:r w:rsidRPr="01F588A2">
        <w:rPr>
          <w:rFonts w:cs="Arial"/>
          <w:szCs w:val="24"/>
        </w:rPr>
        <w:t xml:space="preserve"> </w:t>
      </w:r>
    </w:p>
    <w:p w14:paraId="37C3BB3C" w14:textId="77777777" w:rsidR="001C660B" w:rsidRPr="0050251F" w:rsidRDefault="001C660B" w:rsidP="00F15577">
      <w:pPr>
        <w:pStyle w:val="DeptBullets"/>
        <w:tabs>
          <w:tab w:val="clear" w:pos="720"/>
        </w:tabs>
        <w:spacing w:after="0"/>
        <w:ind w:left="360" w:firstLine="0"/>
        <w:rPr>
          <w:b/>
          <w:bCs/>
        </w:rPr>
      </w:pPr>
    </w:p>
    <w:p w14:paraId="7338B134" w14:textId="58ABAEE1" w:rsidR="00F708E5" w:rsidRPr="0079718B" w:rsidRDefault="00F708E5" w:rsidP="00F15577">
      <w:pPr>
        <w:pStyle w:val="DeptBullets"/>
        <w:tabs>
          <w:tab w:val="clear" w:pos="720"/>
        </w:tabs>
        <w:spacing w:after="0"/>
        <w:ind w:left="360" w:firstLine="0"/>
        <w:rPr>
          <w:b/>
          <w:bCs/>
        </w:rPr>
      </w:pPr>
      <w:r w:rsidRPr="0079718B">
        <w:rPr>
          <w:b/>
        </w:rPr>
        <w:t xml:space="preserve">Q: </w:t>
      </w:r>
      <w:r w:rsidR="00F222EB" w:rsidRPr="0079718B">
        <w:rPr>
          <w:b/>
        </w:rPr>
        <w:t>The first year of induction is going to have a greater impact on the time of mentors - in the consultation this was to be funded but it is now not, why is the DfE not funding the expectation with this additional time resource and where do they expect this funding to come from?</w:t>
      </w:r>
    </w:p>
    <w:p w14:paraId="77E11AEC" w14:textId="77777777" w:rsidR="00C94DD9" w:rsidRPr="00C94DD9" w:rsidRDefault="00F708E5" w:rsidP="00F15577">
      <w:pPr>
        <w:pStyle w:val="DeptBullets"/>
        <w:tabs>
          <w:tab w:val="clear" w:pos="720"/>
        </w:tabs>
        <w:spacing w:after="0"/>
        <w:ind w:left="360" w:firstLine="0"/>
      </w:pPr>
      <w:r w:rsidRPr="0079718B">
        <w:rPr>
          <w:b/>
          <w:bCs/>
        </w:rPr>
        <w:t xml:space="preserve">A: </w:t>
      </w:r>
      <w:r w:rsidR="00C94DD9" w:rsidRPr="0079718B">
        <w:t>There are two types of mentor funding available to schools for delivery of the Early Career</w:t>
      </w:r>
      <w:r w:rsidR="00C94DD9" w:rsidRPr="00C94DD9">
        <w:t xml:space="preserve"> Framework:</w:t>
      </w:r>
    </w:p>
    <w:p w14:paraId="3A70FA1B" w14:textId="7778E06B" w:rsidR="0018191C" w:rsidRPr="00C94DD9" w:rsidRDefault="00C94DD9" w:rsidP="00F15577">
      <w:pPr>
        <w:pStyle w:val="DeptBullets"/>
        <w:tabs>
          <w:tab w:val="clear" w:pos="720"/>
        </w:tabs>
        <w:spacing w:after="0"/>
        <w:ind w:left="1440" w:firstLine="0"/>
      </w:pPr>
      <w:r w:rsidRPr="00C94DD9">
        <w:t>1.</w:t>
      </w:r>
      <w:r w:rsidRPr="00C94DD9">
        <w:tab/>
      </w:r>
      <w:r w:rsidR="00BC2D46" w:rsidRPr="00BC2D46">
        <w:t>For those on the FIP, there will be an additional payment to schools for the time that mentors of ECTs spend on Department-funded mentor training, which will consist of 36 hours of backfill time over two years per mentor.</w:t>
      </w:r>
      <w:r w:rsidR="0018191C">
        <w:br/>
      </w:r>
    </w:p>
    <w:tbl>
      <w:tblPr>
        <w:tblW w:w="8290" w:type="dxa"/>
        <w:tblInd w:w="1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1539"/>
        <w:gridCol w:w="1189"/>
        <w:gridCol w:w="1189"/>
        <w:gridCol w:w="1065"/>
      </w:tblGrid>
      <w:tr w:rsidR="0018191C" w:rsidRPr="002B02B6" w14:paraId="5D5A6DE4" w14:textId="77777777" w:rsidTr="00F90449">
        <w:trPr>
          <w:trHeight w:val="585"/>
        </w:trPr>
        <w:tc>
          <w:tcPr>
            <w:tcW w:w="3308"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1B37A777" w14:textId="77777777" w:rsidR="0018191C" w:rsidRPr="002B02B6" w:rsidRDefault="0018191C" w:rsidP="00F90449">
            <w:pPr>
              <w:rPr>
                <w:rFonts w:ascii="Times New Roman" w:hAnsi="Times New Roman"/>
                <w:color w:val="0D0D0D"/>
                <w:szCs w:val="24"/>
                <w:lang w:eastAsia="en-GB"/>
              </w:rPr>
            </w:pPr>
            <w:r w:rsidRPr="002B02B6">
              <w:rPr>
                <w:rFonts w:cs="Arial"/>
                <w:b/>
                <w:bCs/>
                <w:color w:val="000000"/>
                <w:lang w:eastAsia="en-GB"/>
              </w:rPr>
              <w:t>Mentor's Unit Cost</w:t>
            </w:r>
            <w:r w:rsidRPr="002B02B6">
              <w:rPr>
                <w:rFonts w:cs="Arial"/>
                <w:color w:val="000000"/>
                <w:lang w:eastAsia="en-GB"/>
              </w:rPr>
              <w:t> (year</w:t>
            </w:r>
            <w:r>
              <w:rPr>
                <w:rFonts w:cs="Arial"/>
                <w:color w:val="000000"/>
                <w:lang w:eastAsia="en-GB"/>
              </w:rPr>
              <w:t>s 1 &amp;</w:t>
            </w:r>
            <w:r w:rsidRPr="002B02B6">
              <w:rPr>
                <w:rFonts w:cs="Arial"/>
                <w:color w:val="000000"/>
                <w:lang w:eastAsia="en-GB"/>
              </w:rPr>
              <w:t xml:space="preserve"> 2)</w:t>
            </w:r>
            <w:r>
              <w:rPr>
                <w:rFonts w:cs="Arial"/>
                <w:color w:val="000000"/>
                <w:lang w:eastAsia="en-GB"/>
              </w:rPr>
              <w:br/>
            </w:r>
            <w:r>
              <w:rPr>
                <w:color w:val="0D0D0D"/>
                <w:szCs w:val="24"/>
                <w:lang w:eastAsia="en-GB"/>
              </w:rPr>
              <w:t>Time off timetable for training</w:t>
            </w:r>
          </w:p>
        </w:tc>
        <w:tc>
          <w:tcPr>
            <w:tcW w:w="1539" w:type="dxa"/>
            <w:tcBorders>
              <w:top w:val="single" w:sz="6" w:space="0" w:color="auto"/>
              <w:left w:val="nil"/>
              <w:bottom w:val="single" w:sz="6" w:space="0" w:color="auto"/>
              <w:right w:val="single" w:sz="6" w:space="0" w:color="auto"/>
            </w:tcBorders>
            <w:shd w:val="clear" w:color="auto" w:fill="DBE5F1"/>
            <w:vAlign w:val="center"/>
            <w:hideMark/>
          </w:tcPr>
          <w:p w14:paraId="412048E9" w14:textId="77777777" w:rsidR="0018191C" w:rsidRPr="002B02B6" w:rsidRDefault="0018191C" w:rsidP="00F90449">
            <w:pPr>
              <w:rPr>
                <w:rFonts w:ascii="Times New Roman" w:hAnsi="Times New Roman"/>
                <w:color w:val="0D0D0D"/>
                <w:szCs w:val="24"/>
                <w:lang w:eastAsia="en-GB"/>
              </w:rPr>
            </w:pPr>
            <w:r w:rsidRPr="002B02B6">
              <w:rPr>
                <w:rFonts w:cs="Arial"/>
                <w:b/>
                <w:bCs/>
                <w:color w:val="000000"/>
                <w:lang w:eastAsia="en-GB"/>
              </w:rPr>
              <w:t>England (excluding the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0E99F3D4" w14:textId="77777777" w:rsidR="0018191C" w:rsidRPr="002B02B6" w:rsidRDefault="0018191C" w:rsidP="00F90449">
            <w:pPr>
              <w:rPr>
                <w:rFonts w:ascii="Times New Roman" w:hAnsi="Times New Roman"/>
                <w:color w:val="0D0D0D"/>
                <w:szCs w:val="24"/>
                <w:lang w:eastAsia="en-GB"/>
              </w:rPr>
            </w:pPr>
            <w:r w:rsidRPr="002B02B6">
              <w:rPr>
                <w:rFonts w:cs="Arial"/>
                <w:b/>
                <w:bCs/>
                <w:color w:val="000000"/>
                <w:lang w:eastAsia="en-GB"/>
              </w:rPr>
              <w:t>Inner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432BD60B" w14:textId="77777777" w:rsidR="0018191C" w:rsidRPr="002B02B6" w:rsidRDefault="0018191C" w:rsidP="00F90449">
            <w:pPr>
              <w:rPr>
                <w:rFonts w:ascii="Times New Roman" w:hAnsi="Times New Roman"/>
                <w:color w:val="0D0D0D"/>
                <w:szCs w:val="24"/>
                <w:lang w:eastAsia="en-GB"/>
              </w:rPr>
            </w:pPr>
            <w:r w:rsidRPr="002B02B6">
              <w:rPr>
                <w:rFonts w:cs="Arial"/>
                <w:b/>
                <w:bCs/>
                <w:color w:val="000000"/>
                <w:lang w:eastAsia="en-GB"/>
              </w:rPr>
              <w:t>Outer London Area</w:t>
            </w:r>
            <w:r w:rsidRPr="002B02B6">
              <w:rPr>
                <w:rFonts w:cs="Arial"/>
                <w:color w:val="000000"/>
                <w:lang w:eastAsia="en-GB"/>
              </w:rPr>
              <w:t> </w:t>
            </w:r>
          </w:p>
        </w:tc>
        <w:tc>
          <w:tcPr>
            <w:tcW w:w="1065" w:type="dxa"/>
            <w:tcBorders>
              <w:top w:val="single" w:sz="6" w:space="0" w:color="auto"/>
              <w:left w:val="nil"/>
              <w:bottom w:val="single" w:sz="6" w:space="0" w:color="auto"/>
              <w:right w:val="single" w:sz="6" w:space="0" w:color="auto"/>
            </w:tcBorders>
            <w:shd w:val="clear" w:color="auto" w:fill="DBE5F1"/>
            <w:vAlign w:val="center"/>
            <w:hideMark/>
          </w:tcPr>
          <w:p w14:paraId="03BF4F86" w14:textId="77777777" w:rsidR="0018191C" w:rsidRPr="002B02B6" w:rsidRDefault="0018191C" w:rsidP="00F90449">
            <w:pPr>
              <w:rPr>
                <w:rFonts w:ascii="Times New Roman" w:hAnsi="Times New Roman"/>
                <w:color w:val="0D0D0D"/>
                <w:szCs w:val="24"/>
                <w:lang w:eastAsia="en-GB"/>
              </w:rPr>
            </w:pPr>
            <w:r w:rsidRPr="002B02B6">
              <w:rPr>
                <w:rFonts w:cs="Arial"/>
                <w:b/>
                <w:bCs/>
                <w:color w:val="000000"/>
                <w:lang w:eastAsia="en-GB"/>
              </w:rPr>
              <w:t>Fringe Area</w:t>
            </w:r>
            <w:r w:rsidRPr="002B02B6">
              <w:rPr>
                <w:rFonts w:cs="Arial"/>
                <w:color w:val="000000"/>
                <w:lang w:eastAsia="en-GB"/>
              </w:rPr>
              <w:t> </w:t>
            </w:r>
          </w:p>
        </w:tc>
      </w:tr>
      <w:tr w:rsidR="0018191C" w:rsidRPr="002B02B6" w14:paraId="102E738F" w14:textId="77777777" w:rsidTr="00F90449">
        <w:trPr>
          <w:trHeight w:val="300"/>
        </w:trPr>
        <w:tc>
          <w:tcPr>
            <w:tcW w:w="3308" w:type="dxa"/>
            <w:tcBorders>
              <w:top w:val="nil"/>
              <w:left w:val="single" w:sz="6" w:space="0" w:color="auto"/>
              <w:bottom w:val="single" w:sz="6" w:space="0" w:color="auto"/>
              <w:right w:val="single" w:sz="6" w:space="0" w:color="auto"/>
            </w:tcBorders>
            <w:shd w:val="clear" w:color="auto" w:fill="auto"/>
            <w:vAlign w:val="bottom"/>
            <w:hideMark/>
          </w:tcPr>
          <w:p w14:paraId="7136B617" w14:textId="77777777" w:rsidR="0018191C" w:rsidRPr="002B02B6" w:rsidRDefault="0018191C" w:rsidP="00F90449">
            <w:pPr>
              <w:rPr>
                <w:rFonts w:ascii="Times New Roman" w:hAnsi="Times New Roman"/>
                <w:color w:val="0D0D0D"/>
                <w:szCs w:val="24"/>
                <w:lang w:eastAsia="en-GB"/>
              </w:rPr>
            </w:pPr>
            <w:r>
              <w:rPr>
                <w:rFonts w:cs="Arial"/>
                <w:color w:val="000000"/>
                <w:lang w:eastAsia="en-GB"/>
              </w:rPr>
              <w:t>36h cost (2 years of training)</w:t>
            </w:r>
            <w:r w:rsidRPr="002B02B6">
              <w:rPr>
                <w:rFonts w:cs="Arial"/>
                <w:color w:val="000000"/>
                <w:lang w:eastAsia="en-GB"/>
              </w:rPr>
              <w:t> </w:t>
            </w:r>
          </w:p>
        </w:tc>
        <w:tc>
          <w:tcPr>
            <w:tcW w:w="1539" w:type="dxa"/>
            <w:tcBorders>
              <w:top w:val="nil"/>
              <w:left w:val="nil"/>
              <w:bottom w:val="single" w:sz="6" w:space="0" w:color="auto"/>
              <w:right w:val="single" w:sz="6" w:space="0" w:color="auto"/>
            </w:tcBorders>
            <w:shd w:val="clear" w:color="auto" w:fill="auto"/>
            <w:vAlign w:val="bottom"/>
            <w:hideMark/>
          </w:tcPr>
          <w:p w14:paraId="5AF490A2" w14:textId="77777777" w:rsidR="0018191C" w:rsidRPr="002B02B6" w:rsidRDefault="0018191C" w:rsidP="00F90449">
            <w:pPr>
              <w:jc w:val="right"/>
              <w:rPr>
                <w:rFonts w:ascii="Times New Roman" w:hAnsi="Times New Roman"/>
                <w:color w:val="0D0D0D"/>
                <w:szCs w:val="24"/>
                <w:lang w:eastAsia="en-GB"/>
              </w:rPr>
            </w:pPr>
            <w:r>
              <w:rPr>
                <w:color w:val="000000"/>
                <w:lang w:eastAsia="en-GB"/>
              </w:rPr>
              <w:t>£1576.10</w:t>
            </w:r>
          </w:p>
        </w:tc>
        <w:tc>
          <w:tcPr>
            <w:tcW w:w="1189" w:type="dxa"/>
            <w:tcBorders>
              <w:top w:val="nil"/>
              <w:left w:val="nil"/>
              <w:bottom w:val="single" w:sz="6" w:space="0" w:color="auto"/>
              <w:right w:val="single" w:sz="6" w:space="0" w:color="auto"/>
            </w:tcBorders>
            <w:shd w:val="clear" w:color="auto" w:fill="auto"/>
            <w:vAlign w:val="bottom"/>
            <w:hideMark/>
          </w:tcPr>
          <w:p w14:paraId="735D6F7D" w14:textId="77777777" w:rsidR="0018191C" w:rsidRPr="002B02B6" w:rsidRDefault="0018191C" w:rsidP="00F90449">
            <w:pPr>
              <w:jc w:val="right"/>
              <w:rPr>
                <w:rFonts w:ascii="Times New Roman" w:hAnsi="Times New Roman"/>
                <w:color w:val="0D0D0D"/>
                <w:szCs w:val="24"/>
                <w:lang w:eastAsia="en-GB"/>
              </w:rPr>
            </w:pPr>
            <w:r>
              <w:rPr>
                <w:color w:val="000000"/>
                <w:lang w:eastAsia="en-GB"/>
              </w:rPr>
              <w:t>£1929.24</w:t>
            </w:r>
          </w:p>
        </w:tc>
        <w:tc>
          <w:tcPr>
            <w:tcW w:w="1189" w:type="dxa"/>
            <w:tcBorders>
              <w:top w:val="nil"/>
              <w:left w:val="nil"/>
              <w:bottom w:val="single" w:sz="6" w:space="0" w:color="auto"/>
              <w:right w:val="single" w:sz="6" w:space="0" w:color="auto"/>
            </w:tcBorders>
            <w:shd w:val="clear" w:color="auto" w:fill="auto"/>
            <w:vAlign w:val="bottom"/>
            <w:hideMark/>
          </w:tcPr>
          <w:p w14:paraId="628B0A0A" w14:textId="77777777" w:rsidR="0018191C" w:rsidRPr="002B02B6" w:rsidRDefault="0018191C" w:rsidP="00F90449">
            <w:pPr>
              <w:jc w:val="right"/>
              <w:rPr>
                <w:rFonts w:ascii="Times New Roman" w:hAnsi="Times New Roman"/>
                <w:color w:val="0D0D0D"/>
                <w:szCs w:val="24"/>
                <w:lang w:eastAsia="en-GB"/>
              </w:rPr>
            </w:pPr>
            <w:r>
              <w:rPr>
                <w:color w:val="000000"/>
                <w:lang w:eastAsia="en-GB"/>
              </w:rPr>
              <w:t>£1737.14</w:t>
            </w:r>
          </w:p>
        </w:tc>
        <w:tc>
          <w:tcPr>
            <w:tcW w:w="1065" w:type="dxa"/>
            <w:tcBorders>
              <w:top w:val="nil"/>
              <w:left w:val="nil"/>
              <w:bottom w:val="single" w:sz="6" w:space="0" w:color="auto"/>
              <w:right w:val="single" w:sz="6" w:space="0" w:color="auto"/>
            </w:tcBorders>
            <w:shd w:val="clear" w:color="auto" w:fill="auto"/>
            <w:vAlign w:val="bottom"/>
            <w:hideMark/>
          </w:tcPr>
          <w:p w14:paraId="0B0D16C0" w14:textId="77777777" w:rsidR="0018191C" w:rsidRPr="002B02B6" w:rsidRDefault="0018191C" w:rsidP="00F90449">
            <w:pPr>
              <w:jc w:val="right"/>
              <w:rPr>
                <w:rFonts w:ascii="Times New Roman" w:hAnsi="Times New Roman"/>
                <w:color w:val="0D0D0D"/>
                <w:szCs w:val="24"/>
                <w:lang w:eastAsia="en-GB"/>
              </w:rPr>
            </w:pPr>
            <w:r>
              <w:rPr>
                <w:color w:val="000000"/>
                <w:lang w:eastAsia="en-GB"/>
              </w:rPr>
              <w:t>£1623.24</w:t>
            </w:r>
          </w:p>
        </w:tc>
      </w:tr>
    </w:tbl>
    <w:p w14:paraId="5BFF0A72" w14:textId="2FE9E132" w:rsidR="00C94DD9" w:rsidRPr="00C94DD9" w:rsidRDefault="00C94DD9" w:rsidP="00F15577">
      <w:pPr>
        <w:pStyle w:val="DeptBullets"/>
        <w:tabs>
          <w:tab w:val="clear" w:pos="720"/>
        </w:tabs>
        <w:spacing w:after="0"/>
        <w:ind w:left="1440" w:firstLine="0"/>
      </w:pPr>
    </w:p>
    <w:p w14:paraId="29C731B0" w14:textId="77777777" w:rsidR="00AD5D54" w:rsidRDefault="00C94DD9" w:rsidP="00F15577">
      <w:pPr>
        <w:pStyle w:val="DeptBullets"/>
        <w:tabs>
          <w:tab w:val="clear" w:pos="720"/>
        </w:tabs>
        <w:spacing w:after="0"/>
        <w:ind w:left="1440" w:firstLine="0"/>
      </w:pPr>
      <w:r w:rsidRPr="00C94DD9">
        <w:t>2.</w:t>
      </w:r>
      <w:r w:rsidRPr="00C94DD9">
        <w:tab/>
      </w:r>
      <w:r w:rsidR="00B21EA0">
        <w:t>State</w:t>
      </w:r>
      <w:r w:rsidRPr="00C94DD9">
        <w:t xml:space="preserve"> schools providing statutory induction</w:t>
      </w:r>
      <w:r w:rsidR="00B21EA0">
        <w:t>, the following</w:t>
      </w:r>
      <w:r w:rsidRPr="00C94DD9">
        <w:t xml:space="preserve"> funding </w:t>
      </w:r>
      <w:r w:rsidR="00B21EA0">
        <w:t xml:space="preserve">is available </w:t>
      </w:r>
      <w:r w:rsidRPr="00C94DD9">
        <w:t>for mentors to spend with ECTs in the second year of induction. It is available to all state schools regardless of which delivery approach they choose to provide an ECF based induction.</w:t>
      </w:r>
      <w:r w:rsidR="00AD5D54">
        <w:br/>
      </w:r>
      <w:r w:rsidR="00AD5D54">
        <w:br/>
      </w:r>
    </w:p>
    <w:tbl>
      <w:tblPr>
        <w:tblW w:w="8290" w:type="dxa"/>
        <w:tblInd w:w="1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1539"/>
        <w:gridCol w:w="1189"/>
        <w:gridCol w:w="1189"/>
        <w:gridCol w:w="1065"/>
      </w:tblGrid>
      <w:tr w:rsidR="00AD5D54" w:rsidRPr="002B02B6" w14:paraId="3C006B5C" w14:textId="77777777" w:rsidTr="00F90449">
        <w:trPr>
          <w:trHeight w:val="585"/>
        </w:trPr>
        <w:tc>
          <w:tcPr>
            <w:tcW w:w="3308"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9C9F1A5" w14:textId="77777777" w:rsidR="00AD5D54" w:rsidRPr="002B02B6" w:rsidRDefault="00AD5D54" w:rsidP="00F90449">
            <w:pPr>
              <w:rPr>
                <w:rFonts w:ascii="Times New Roman" w:hAnsi="Times New Roman"/>
                <w:color w:val="0D0D0D"/>
                <w:szCs w:val="24"/>
                <w:lang w:eastAsia="en-GB"/>
              </w:rPr>
            </w:pPr>
            <w:r w:rsidRPr="002B02B6">
              <w:rPr>
                <w:rFonts w:cs="Arial"/>
                <w:b/>
                <w:bCs/>
                <w:color w:val="000000"/>
                <w:lang w:eastAsia="en-GB"/>
              </w:rPr>
              <w:t>Mentor's Unit Cost</w:t>
            </w:r>
            <w:r w:rsidRPr="002B02B6">
              <w:rPr>
                <w:rFonts w:cs="Arial"/>
                <w:color w:val="000000"/>
                <w:lang w:eastAsia="en-GB"/>
              </w:rPr>
              <w:t> (year 2)</w:t>
            </w:r>
          </w:p>
        </w:tc>
        <w:tc>
          <w:tcPr>
            <w:tcW w:w="1539" w:type="dxa"/>
            <w:tcBorders>
              <w:top w:val="single" w:sz="6" w:space="0" w:color="auto"/>
              <w:left w:val="nil"/>
              <w:bottom w:val="single" w:sz="6" w:space="0" w:color="auto"/>
              <w:right w:val="single" w:sz="6" w:space="0" w:color="auto"/>
            </w:tcBorders>
            <w:shd w:val="clear" w:color="auto" w:fill="DBE5F1"/>
            <w:vAlign w:val="center"/>
            <w:hideMark/>
          </w:tcPr>
          <w:p w14:paraId="33483670" w14:textId="77777777" w:rsidR="00AD5D54" w:rsidRPr="002B02B6" w:rsidRDefault="00AD5D54" w:rsidP="00F90449">
            <w:pPr>
              <w:rPr>
                <w:rFonts w:ascii="Times New Roman" w:hAnsi="Times New Roman"/>
                <w:color w:val="0D0D0D"/>
                <w:szCs w:val="24"/>
                <w:lang w:eastAsia="en-GB"/>
              </w:rPr>
            </w:pPr>
            <w:r w:rsidRPr="002B02B6">
              <w:rPr>
                <w:rFonts w:cs="Arial"/>
                <w:b/>
                <w:bCs/>
                <w:color w:val="000000"/>
                <w:lang w:eastAsia="en-GB"/>
              </w:rPr>
              <w:t>England (excluding the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745D24F3" w14:textId="77777777" w:rsidR="00AD5D54" w:rsidRPr="002B02B6" w:rsidRDefault="00AD5D54" w:rsidP="00F90449">
            <w:pPr>
              <w:rPr>
                <w:rFonts w:ascii="Times New Roman" w:hAnsi="Times New Roman"/>
                <w:color w:val="0D0D0D"/>
                <w:szCs w:val="24"/>
                <w:lang w:eastAsia="en-GB"/>
              </w:rPr>
            </w:pPr>
            <w:r w:rsidRPr="002B02B6">
              <w:rPr>
                <w:rFonts w:cs="Arial"/>
                <w:b/>
                <w:bCs/>
                <w:color w:val="000000"/>
                <w:lang w:eastAsia="en-GB"/>
              </w:rPr>
              <w:t>Inner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345F7C4F" w14:textId="77777777" w:rsidR="00AD5D54" w:rsidRPr="002B02B6" w:rsidRDefault="00AD5D54" w:rsidP="00F90449">
            <w:pPr>
              <w:rPr>
                <w:rFonts w:ascii="Times New Roman" w:hAnsi="Times New Roman"/>
                <w:color w:val="0D0D0D"/>
                <w:szCs w:val="24"/>
                <w:lang w:eastAsia="en-GB"/>
              </w:rPr>
            </w:pPr>
            <w:r w:rsidRPr="002B02B6">
              <w:rPr>
                <w:rFonts w:cs="Arial"/>
                <w:b/>
                <w:bCs/>
                <w:color w:val="000000"/>
                <w:lang w:eastAsia="en-GB"/>
              </w:rPr>
              <w:t>Outer London Area</w:t>
            </w:r>
            <w:r w:rsidRPr="002B02B6">
              <w:rPr>
                <w:rFonts w:cs="Arial"/>
                <w:color w:val="000000"/>
                <w:lang w:eastAsia="en-GB"/>
              </w:rPr>
              <w:t> </w:t>
            </w:r>
          </w:p>
        </w:tc>
        <w:tc>
          <w:tcPr>
            <w:tcW w:w="1065" w:type="dxa"/>
            <w:tcBorders>
              <w:top w:val="single" w:sz="6" w:space="0" w:color="auto"/>
              <w:left w:val="nil"/>
              <w:bottom w:val="single" w:sz="6" w:space="0" w:color="auto"/>
              <w:right w:val="single" w:sz="6" w:space="0" w:color="auto"/>
            </w:tcBorders>
            <w:shd w:val="clear" w:color="auto" w:fill="DBE5F1"/>
            <w:vAlign w:val="center"/>
            <w:hideMark/>
          </w:tcPr>
          <w:p w14:paraId="4E30AA41" w14:textId="77777777" w:rsidR="00AD5D54" w:rsidRPr="002B02B6" w:rsidRDefault="00AD5D54" w:rsidP="00F90449">
            <w:pPr>
              <w:rPr>
                <w:rFonts w:ascii="Times New Roman" w:hAnsi="Times New Roman"/>
                <w:color w:val="0D0D0D"/>
                <w:szCs w:val="24"/>
                <w:lang w:eastAsia="en-GB"/>
              </w:rPr>
            </w:pPr>
            <w:r w:rsidRPr="002B02B6">
              <w:rPr>
                <w:rFonts w:cs="Arial"/>
                <w:b/>
                <w:bCs/>
                <w:color w:val="000000"/>
                <w:lang w:eastAsia="en-GB"/>
              </w:rPr>
              <w:t>Fringe Area</w:t>
            </w:r>
            <w:r w:rsidRPr="002B02B6">
              <w:rPr>
                <w:rFonts w:cs="Arial"/>
                <w:color w:val="000000"/>
                <w:lang w:eastAsia="en-GB"/>
              </w:rPr>
              <w:t> </w:t>
            </w:r>
          </w:p>
        </w:tc>
      </w:tr>
      <w:tr w:rsidR="00AD5D54" w:rsidRPr="002B02B6" w14:paraId="222D697E" w14:textId="77777777" w:rsidTr="00F90449">
        <w:trPr>
          <w:trHeight w:val="300"/>
        </w:trPr>
        <w:tc>
          <w:tcPr>
            <w:tcW w:w="3308" w:type="dxa"/>
            <w:tcBorders>
              <w:top w:val="nil"/>
              <w:left w:val="single" w:sz="6" w:space="0" w:color="auto"/>
              <w:bottom w:val="single" w:sz="6" w:space="0" w:color="auto"/>
              <w:right w:val="single" w:sz="6" w:space="0" w:color="auto"/>
            </w:tcBorders>
            <w:shd w:val="clear" w:color="auto" w:fill="auto"/>
            <w:vAlign w:val="bottom"/>
            <w:hideMark/>
          </w:tcPr>
          <w:p w14:paraId="772389E7" w14:textId="77777777" w:rsidR="00AD5D54" w:rsidRPr="002B02B6" w:rsidRDefault="00AD5D54" w:rsidP="00F90449">
            <w:pPr>
              <w:rPr>
                <w:rFonts w:ascii="Times New Roman" w:hAnsi="Times New Roman"/>
                <w:color w:val="0D0D0D"/>
                <w:szCs w:val="24"/>
                <w:lang w:eastAsia="en-GB"/>
              </w:rPr>
            </w:pPr>
            <w:r w:rsidRPr="002B02B6">
              <w:rPr>
                <w:rFonts w:cs="Arial"/>
                <w:color w:val="000000"/>
                <w:lang w:eastAsia="en-GB"/>
              </w:rPr>
              <w:t>Rounded Mentor Unit cost </w:t>
            </w:r>
          </w:p>
        </w:tc>
        <w:tc>
          <w:tcPr>
            <w:tcW w:w="1539" w:type="dxa"/>
            <w:tcBorders>
              <w:top w:val="nil"/>
              <w:left w:val="nil"/>
              <w:bottom w:val="single" w:sz="6" w:space="0" w:color="auto"/>
              <w:right w:val="single" w:sz="6" w:space="0" w:color="auto"/>
            </w:tcBorders>
            <w:shd w:val="clear" w:color="auto" w:fill="auto"/>
            <w:vAlign w:val="bottom"/>
            <w:hideMark/>
          </w:tcPr>
          <w:p w14:paraId="296E48D2" w14:textId="77777777" w:rsidR="00AD5D54" w:rsidRPr="002B02B6" w:rsidRDefault="00AD5D54" w:rsidP="00F90449">
            <w:pPr>
              <w:jc w:val="right"/>
              <w:rPr>
                <w:rFonts w:ascii="Times New Roman" w:hAnsi="Times New Roman"/>
                <w:color w:val="0D0D0D"/>
                <w:szCs w:val="24"/>
                <w:lang w:eastAsia="en-GB"/>
              </w:rPr>
            </w:pPr>
            <w:r w:rsidRPr="002B02B6">
              <w:rPr>
                <w:color w:val="000000"/>
                <w:lang w:eastAsia="en-GB"/>
              </w:rPr>
              <w:t>£900 </w:t>
            </w:r>
          </w:p>
        </w:tc>
        <w:tc>
          <w:tcPr>
            <w:tcW w:w="1189" w:type="dxa"/>
            <w:tcBorders>
              <w:top w:val="nil"/>
              <w:left w:val="nil"/>
              <w:bottom w:val="single" w:sz="6" w:space="0" w:color="auto"/>
              <w:right w:val="single" w:sz="6" w:space="0" w:color="auto"/>
            </w:tcBorders>
            <w:shd w:val="clear" w:color="auto" w:fill="auto"/>
            <w:vAlign w:val="bottom"/>
            <w:hideMark/>
          </w:tcPr>
          <w:p w14:paraId="06EC7B55" w14:textId="77777777" w:rsidR="00AD5D54" w:rsidRPr="002B02B6" w:rsidRDefault="00AD5D54" w:rsidP="00F90449">
            <w:pPr>
              <w:jc w:val="right"/>
              <w:rPr>
                <w:rFonts w:ascii="Times New Roman" w:hAnsi="Times New Roman"/>
                <w:color w:val="0D0D0D"/>
                <w:szCs w:val="24"/>
                <w:lang w:eastAsia="en-GB"/>
              </w:rPr>
            </w:pPr>
            <w:r w:rsidRPr="002B02B6">
              <w:rPr>
                <w:color w:val="000000"/>
                <w:lang w:eastAsia="en-GB"/>
              </w:rPr>
              <w:t>£1,100 </w:t>
            </w:r>
          </w:p>
        </w:tc>
        <w:tc>
          <w:tcPr>
            <w:tcW w:w="1189" w:type="dxa"/>
            <w:tcBorders>
              <w:top w:val="nil"/>
              <w:left w:val="nil"/>
              <w:bottom w:val="single" w:sz="6" w:space="0" w:color="auto"/>
              <w:right w:val="single" w:sz="6" w:space="0" w:color="auto"/>
            </w:tcBorders>
            <w:shd w:val="clear" w:color="auto" w:fill="auto"/>
            <w:vAlign w:val="bottom"/>
            <w:hideMark/>
          </w:tcPr>
          <w:p w14:paraId="39441397" w14:textId="77777777" w:rsidR="00AD5D54" w:rsidRPr="002B02B6" w:rsidRDefault="00AD5D54" w:rsidP="00F90449">
            <w:pPr>
              <w:jc w:val="right"/>
              <w:rPr>
                <w:rFonts w:ascii="Times New Roman" w:hAnsi="Times New Roman"/>
                <w:color w:val="0D0D0D"/>
                <w:szCs w:val="24"/>
                <w:lang w:eastAsia="en-GB"/>
              </w:rPr>
            </w:pPr>
            <w:r w:rsidRPr="002B02B6">
              <w:rPr>
                <w:color w:val="000000"/>
                <w:lang w:eastAsia="en-GB"/>
              </w:rPr>
              <w:t>£1,000 </w:t>
            </w:r>
          </w:p>
        </w:tc>
        <w:tc>
          <w:tcPr>
            <w:tcW w:w="1065" w:type="dxa"/>
            <w:tcBorders>
              <w:top w:val="nil"/>
              <w:left w:val="nil"/>
              <w:bottom w:val="single" w:sz="6" w:space="0" w:color="auto"/>
              <w:right w:val="single" w:sz="6" w:space="0" w:color="auto"/>
            </w:tcBorders>
            <w:shd w:val="clear" w:color="auto" w:fill="auto"/>
            <w:vAlign w:val="bottom"/>
            <w:hideMark/>
          </w:tcPr>
          <w:p w14:paraId="03B06C0A" w14:textId="77777777" w:rsidR="00AD5D54" w:rsidRPr="002B02B6" w:rsidRDefault="00AD5D54" w:rsidP="00F90449">
            <w:pPr>
              <w:jc w:val="right"/>
              <w:rPr>
                <w:rFonts w:ascii="Times New Roman" w:hAnsi="Times New Roman"/>
                <w:color w:val="0D0D0D"/>
                <w:szCs w:val="24"/>
                <w:lang w:eastAsia="en-GB"/>
              </w:rPr>
            </w:pPr>
            <w:r w:rsidRPr="002B02B6">
              <w:rPr>
                <w:color w:val="000000"/>
                <w:lang w:eastAsia="en-GB"/>
              </w:rPr>
              <w:t>£900 </w:t>
            </w:r>
          </w:p>
        </w:tc>
      </w:tr>
    </w:tbl>
    <w:p w14:paraId="393F19E4" w14:textId="438D962E" w:rsidR="00F708E5" w:rsidRDefault="009F0743" w:rsidP="00F15577">
      <w:pPr>
        <w:pStyle w:val="DeptBullets"/>
        <w:tabs>
          <w:tab w:val="clear" w:pos="720"/>
        </w:tabs>
        <w:spacing w:after="0"/>
        <w:ind w:left="1440" w:firstLine="0"/>
      </w:pPr>
      <w:r>
        <w:br/>
      </w:r>
    </w:p>
    <w:p w14:paraId="68A81139" w14:textId="2331936E" w:rsidR="008D5E89" w:rsidRPr="00C94DD9" w:rsidRDefault="003479B8" w:rsidP="00F15577">
      <w:pPr>
        <w:pStyle w:val="DeptBullets"/>
        <w:tabs>
          <w:tab w:val="clear" w:pos="720"/>
        </w:tabs>
        <w:spacing w:after="0"/>
        <w:ind w:firstLine="0"/>
      </w:pPr>
      <w:r>
        <w:rPr>
          <w:szCs w:val="24"/>
        </w:rPr>
        <w:t>For those not enrolled on the Full Induction Programme, w</w:t>
      </w:r>
      <w:r w:rsidR="008D5E89" w:rsidRPr="00FC6A01">
        <w:rPr>
          <w:szCs w:val="24"/>
        </w:rPr>
        <w:t>e are not currently proposing to fund time for mentor training, as we would expect schools</w:t>
      </w:r>
      <w:r w:rsidR="008D5E89">
        <w:rPr>
          <w:szCs w:val="24"/>
        </w:rPr>
        <w:t xml:space="preserve"> </w:t>
      </w:r>
      <w:r w:rsidR="008D5E89" w:rsidRPr="00FC6A01">
        <w:rPr>
          <w:szCs w:val="24"/>
        </w:rPr>
        <w:t>to release teachers for C</w:t>
      </w:r>
      <w:r w:rsidR="008D5E89">
        <w:rPr>
          <w:szCs w:val="24"/>
        </w:rPr>
        <w:t xml:space="preserve">ontinuing </w:t>
      </w:r>
      <w:r w:rsidR="008D5E89" w:rsidRPr="00FC6A01">
        <w:rPr>
          <w:szCs w:val="24"/>
        </w:rPr>
        <w:t>P</w:t>
      </w:r>
      <w:r w:rsidR="008D5E89">
        <w:rPr>
          <w:szCs w:val="24"/>
        </w:rPr>
        <w:t xml:space="preserve">rofessional </w:t>
      </w:r>
      <w:r w:rsidR="008D5E89" w:rsidRPr="00FC6A01">
        <w:rPr>
          <w:szCs w:val="24"/>
        </w:rPr>
        <w:t>D</w:t>
      </w:r>
      <w:r w:rsidR="008D5E89">
        <w:rPr>
          <w:szCs w:val="24"/>
        </w:rPr>
        <w:t>evelopment (CPD)</w:t>
      </w:r>
      <w:r w:rsidR="008D5E89" w:rsidRPr="00FC6A01">
        <w:rPr>
          <w:szCs w:val="24"/>
        </w:rPr>
        <w:t xml:space="preserve"> opportunities which contribute to their learning and development. We remain committed to offering funded training for mentors</w:t>
      </w:r>
      <w:r w:rsidR="008D5E89">
        <w:rPr>
          <w:szCs w:val="24"/>
        </w:rPr>
        <w:t>, which school can access if they choose to utilise a provider led programme</w:t>
      </w:r>
    </w:p>
    <w:p w14:paraId="32498F92" w14:textId="77777777" w:rsidR="00F708E5" w:rsidRDefault="00F708E5" w:rsidP="00F15577">
      <w:pPr>
        <w:pStyle w:val="DeptBullets"/>
        <w:tabs>
          <w:tab w:val="clear" w:pos="720"/>
        </w:tabs>
        <w:spacing w:after="0"/>
        <w:ind w:left="360" w:firstLine="0"/>
        <w:rPr>
          <w:b/>
          <w:bCs/>
        </w:rPr>
      </w:pPr>
    </w:p>
    <w:p w14:paraId="4DFA547D" w14:textId="4793F68A" w:rsidR="00F222EB" w:rsidRDefault="00F708E5" w:rsidP="00F15577">
      <w:pPr>
        <w:pStyle w:val="DeptBullets"/>
        <w:tabs>
          <w:tab w:val="clear" w:pos="720"/>
        </w:tabs>
        <w:spacing w:after="0"/>
        <w:ind w:left="360" w:firstLine="0"/>
        <w:rPr>
          <w:b/>
          <w:bCs/>
        </w:rPr>
      </w:pPr>
      <w:r w:rsidRPr="00F2038A">
        <w:rPr>
          <w:b/>
          <w:bCs/>
        </w:rPr>
        <w:t xml:space="preserve">Q: </w:t>
      </w:r>
      <w:r w:rsidR="00F222EB" w:rsidRPr="00F2038A">
        <w:rPr>
          <w:b/>
          <w:bCs/>
        </w:rPr>
        <w:t>What happens to the payment if an ECT leaves the school before the summer of Year 2?</w:t>
      </w:r>
    </w:p>
    <w:p w14:paraId="1118C94F" w14:textId="1D84F22C" w:rsidR="00F708E5" w:rsidRDefault="00F708E5" w:rsidP="00F15577">
      <w:pPr>
        <w:pStyle w:val="DeptBullets"/>
        <w:tabs>
          <w:tab w:val="clear" w:pos="720"/>
        </w:tabs>
        <w:spacing w:after="0"/>
        <w:ind w:left="360" w:firstLine="0"/>
        <w:rPr>
          <w:b/>
          <w:bCs/>
        </w:rPr>
      </w:pPr>
      <w:r>
        <w:rPr>
          <w:b/>
          <w:bCs/>
        </w:rPr>
        <w:t>A:</w:t>
      </w:r>
      <w:r w:rsidR="0088288E" w:rsidRPr="0088288E">
        <w:t xml:space="preserve"> If an ECT leaves part way through their second year of induction, then part funding will be calculated based on the School Workforce Census returns. Year one funding is already </w:t>
      </w:r>
      <w:r w:rsidR="0088288E" w:rsidRPr="0088288E">
        <w:lastRenderedPageBreak/>
        <w:t>included in the National Funding Formula so schools will continue to receive this as normal.</w:t>
      </w:r>
    </w:p>
    <w:p w14:paraId="76905815" w14:textId="518F22E4" w:rsidR="00F708E5" w:rsidRDefault="000D130F" w:rsidP="00F15577">
      <w:pPr>
        <w:pStyle w:val="DeptBullets"/>
        <w:tabs>
          <w:tab w:val="clear" w:pos="720"/>
          <w:tab w:val="left" w:pos="4161"/>
        </w:tabs>
        <w:spacing w:after="0"/>
        <w:ind w:left="0" w:firstLine="0"/>
      </w:pPr>
      <w:r>
        <w:tab/>
      </w:r>
    </w:p>
    <w:p w14:paraId="7F149E1D" w14:textId="1D84F22C" w:rsidR="006D5A18" w:rsidRPr="006D5A18" w:rsidRDefault="00F708E5" w:rsidP="00F15577">
      <w:pPr>
        <w:pStyle w:val="DeptBullets"/>
        <w:tabs>
          <w:tab w:val="clear" w:pos="720"/>
        </w:tabs>
        <w:spacing w:after="0"/>
        <w:ind w:left="360" w:firstLine="0"/>
        <w:rPr>
          <w:b/>
          <w:bCs/>
        </w:rPr>
      </w:pPr>
      <w:r w:rsidRPr="006D5A18">
        <w:rPr>
          <w:b/>
          <w:bCs/>
        </w:rPr>
        <w:t xml:space="preserve">Q: </w:t>
      </w:r>
      <w:r w:rsidR="00F222EB" w:rsidRPr="006D5A18">
        <w:rPr>
          <w:b/>
          <w:bCs/>
        </w:rPr>
        <w:t>Can you clarify the difference between funding with the full and core?  Does the full get 20 hours + 36 hours and the core just gets the 20?</w:t>
      </w:r>
    </w:p>
    <w:p w14:paraId="7126CFE8" w14:textId="6E7732EB" w:rsidR="006D5A18" w:rsidRPr="002B02B6" w:rsidRDefault="00FB7006" w:rsidP="383F7298">
      <w:pPr>
        <w:ind w:left="360"/>
        <w:rPr>
          <w:highlight w:val="yellow"/>
        </w:rPr>
      </w:pPr>
      <w:r w:rsidRPr="383F7298">
        <w:rPr>
          <w:b/>
          <w:bCs/>
        </w:rPr>
        <w:t xml:space="preserve">A: </w:t>
      </w:r>
      <w:r w:rsidR="006D5A18" w:rsidRPr="383F7298">
        <w:rPr>
          <w:color w:val="000000" w:themeColor="text1"/>
          <w:lang w:eastAsia="en-GB"/>
        </w:rPr>
        <w:t>From September 2021, the government is funding an entitlement for all early career teachers in England to access high quality professional development at the start of their career.</w:t>
      </w:r>
      <w:r w:rsidR="006D5A18">
        <w:br/>
      </w:r>
      <w:r w:rsidR="006D5A18">
        <w:br/>
      </w:r>
      <w:r w:rsidR="16F9527D" w:rsidRPr="383F7298">
        <w:rPr>
          <w:rFonts w:eastAsia="Arial" w:cs="Arial"/>
          <w:szCs w:val="24"/>
        </w:rPr>
        <w:t xml:space="preserve">Schools receive their core funding through the dedicated schools grant (DSG), which is calculated using the </w:t>
      </w:r>
      <w:r w:rsidR="0BC2B781" w:rsidRPr="383F7298">
        <w:rPr>
          <w:rFonts w:eastAsia="Arial" w:cs="Arial"/>
          <w:szCs w:val="24"/>
        </w:rPr>
        <w:t>NFF</w:t>
      </w:r>
      <w:r w:rsidR="16F9527D" w:rsidRPr="383F7298">
        <w:rPr>
          <w:rFonts w:eastAsia="Arial" w:cs="Arial"/>
          <w:szCs w:val="24"/>
        </w:rPr>
        <w:t xml:space="preserve">. The NFF allocates funding primarily based on the characteristics of the schools and their pupils. </w:t>
      </w:r>
      <w:r w:rsidR="006D5A18">
        <w:br/>
      </w:r>
      <w:r w:rsidR="006D5A18">
        <w:br/>
      </w:r>
      <w:r w:rsidR="16F9527D" w:rsidRPr="383F7298">
        <w:rPr>
          <w:rFonts w:eastAsia="Arial" w:cs="Arial"/>
          <w:szCs w:val="24"/>
        </w:rPr>
        <w:t>Schools initially received funding for the time off timetable through the “standards fund”. Nowadays the</w:t>
      </w:r>
      <w:r w:rsidR="3AFB0949" w:rsidRPr="383F7298">
        <w:rPr>
          <w:rFonts w:eastAsia="Arial" w:cs="Arial"/>
          <w:szCs w:val="24"/>
        </w:rPr>
        <w:t xml:space="preserve"> year 1</w:t>
      </w:r>
      <w:r w:rsidR="16F9527D" w:rsidRPr="383F7298">
        <w:rPr>
          <w:rFonts w:eastAsia="Arial" w:cs="Arial"/>
          <w:szCs w:val="24"/>
        </w:rPr>
        <w:t xml:space="preserve"> funding is incorporated into the core schools funding that schools now receive through the DSG. As such, schools are expected to meet the cost of the 10% release time for newly qualified teachers as part of their core funding. </w:t>
      </w:r>
      <w:r w:rsidR="006D5A18">
        <w:br/>
      </w:r>
      <w:r w:rsidR="006D5A18">
        <w:br/>
      </w:r>
      <w:r w:rsidR="16F9527D" w:rsidRPr="383F7298">
        <w:rPr>
          <w:rFonts w:eastAsia="Arial" w:cs="Arial"/>
          <w:szCs w:val="24"/>
        </w:rPr>
        <w:t>The NFF does not “earmark” a certain amount of funding which schools receive for, or should spend on, their NQTs. It is up to head teachers to manage the funding they receive.</w:t>
      </w:r>
      <w:r w:rsidR="006D5A18">
        <w:br/>
      </w:r>
    </w:p>
    <w:p w14:paraId="7902E08D" w14:textId="3303736E" w:rsidR="006D5A18" w:rsidRDefault="006D5A18" w:rsidP="00F15577">
      <w:pPr>
        <w:pStyle w:val="DeptBullets"/>
        <w:tabs>
          <w:tab w:val="clear" w:pos="720"/>
        </w:tabs>
        <w:spacing w:after="0"/>
        <w:ind w:left="360" w:firstLine="0"/>
      </w:pPr>
      <w:r>
        <w:t xml:space="preserve">For year 2, the funding amount will be calculated by taking the average salary of mentors and early career teachers, split by region. </w:t>
      </w:r>
      <w:r>
        <w:br/>
      </w:r>
    </w:p>
    <w:p w14:paraId="7E6D895D" w14:textId="77777777" w:rsidR="006D5A18" w:rsidRPr="002451B0" w:rsidRDefault="006D5A18" w:rsidP="00F15577">
      <w:pPr>
        <w:pStyle w:val="DeptBullets"/>
        <w:tabs>
          <w:tab w:val="clear" w:pos="720"/>
        </w:tabs>
        <w:spacing w:after="0"/>
        <w:ind w:left="0" w:firstLine="0"/>
        <w:rPr>
          <w:szCs w:val="24"/>
        </w:rPr>
      </w:pPr>
      <w:r>
        <w:rPr>
          <w:szCs w:val="24"/>
        </w:rPr>
        <w:t>This covers 5% off timetable in the second year of induction for all ECTs.</w:t>
      </w:r>
    </w:p>
    <w:tbl>
      <w:tblPr>
        <w:tblW w:w="8290" w:type="dxa"/>
        <w:tblInd w:w="10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4"/>
        <w:gridCol w:w="1551"/>
        <w:gridCol w:w="1190"/>
        <w:gridCol w:w="1190"/>
        <w:gridCol w:w="1065"/>
      </w:tblGrid>
      <w:tr w:rsidR="006D5A18" w:rsidRPr="002B02B6" w14:paraId="5CEFC668" w14:textId="77777777" w:rsidTr="006D5A18">
        <w:trPr>
          <w:trHeight w:val="600"/>
        </w:trPr>
        <w:tc>
          <w:tcPr>
            <w:tcW w:w="329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4B3BB6A3" w14:textId="77777777" w:rsidR="006D5A18" w:rsidRPr="002B02B6" w:rsidRDefault="006D5A18" w:rsidP="00F15577">
            <w:pPr>
              <w:rPr>
                <w:rFonts w:ascii="Times New Roman" w:hAnsi="Times New Roman"/>
                <w:color w:val="0D0D0D"/>
                <w:szCs w:val="24"/>
                <w:lang w:eastAsia="en-GB"/>
              </w:rPr>
            </w:pPr>
            <w:r w:rsidRPr="002B02B6">
              <w:rPr>
                <w:rFonts w:cs="Arial"/>
                <w:b/>
                <w:bCs/>
                <w:color w:val="000000"/>
                <w:lang w:eastAsia="en-GB"/>
              </w:rPr>
              <w:t>ECT's Unit Cost</w:t>
            </w:r>
            <w:r w:rsidRPr="002B02B6">
              <w:rPr>
                <w:rFonts w:cs="Arial"/>
                <w:color w:val="000000"/>
                <w:lang w:eastAsia="en-GB"/>
              </w:rPr>
              <w:t> (year 2)</w:t>
            </w:r>
          </w:p>
        </w:tc>
        <w:tc>
          <w:tcPr>
            <w:tcW w:w="1551" w:type="dxa"/>
            <w:tcBorders>
              <w:top w:val="single" w:sz="6" w:space="0" w:color="auto"/>
              <w:left w:val="nil"/>
              <w:bottom w:val="single" w:sz="6" w:space="0" w:color="auto"/>
              <w:right w:val="single" w:sz="6" w:space="0" w:color="auto"/>
            </w:tcBorders>
            <w:shd w:val="clear" w:color="auto" w:fill="DBE5F1"/>
            <w:vAlign w:val="center"/>
            <w:hideMark/>
          </w:tcPr>
          <w:p w14:paraId="4CDA5CD0" w14:textId="77777777" w:rsidR="006D5A18" w:rsidRPr="002B02B6" w:rsidRDefault="006D5A18" w:rsidP="00F15577">
            <w:pPr>
              <w:rPr>
                <w:rFonts w:ascii="Times New Roman" w:hAnsi="Times New Roman"/>
                <w:color w:val="0D0D0D"/>
                <w:szCs w:val="24"/>
                <w:lang w:eastAsia="en-GB"/>
              </w:rPr>
            </w:pPr>
            <w:r w:rsidRPr="002B02B6">
              <w:rPr>
                <w:rFonts w:cs="Arial"/>
                <w:b/>
                <w:bCs/>
                <w:color w:val="000000"/>
                <w:lang w:eastAsia="en-GB"/>
              </w:rPr>
              <w:t>England (excluding the London Area)</w:t>
            </w:r>
            <w:r w:rsidRPr="002B02B6">
              <w:rPr>
                <w:rFonts w:cs="Arial"/>
                <w:color w:val="000000"/>
                <w:lang w:eastAsia="en-GB"/>
              </w:rPr>
              <w:t> </w:t>
            </w:r>
          </w:p>
        </w:tc>
        <w:tc>
          <w:tcPr>
            <w:tcW w:w="1190" w:type="dxa"/>
            <w:tcBorders>
              <w:top w:val="single" w:sz="6" w:space="0" w:color="auto"/>
              <w:left w:val="nil"/>
              <w:bottom w:val="single" w:sz="6" w:space="0" w:color="auto"/>
              <w:right w:val="single" w:sz="6" w:space="0" w:color="auto"/>
            </w:tcBorders>
            <w:shd w:val="clear" w:color="auto" w:fill="DBE5F1"/>
            <w:vAlign w:val="center"/>
            <w:hideMark/>
          </w:tcPr>
          <w:p w14:paraId="702769FB" w14:textId="77777777" w:rsidR="006D5A18" w:rsidRPr="002B02B6" w:rsidRDefault="006D5A18" w:rsidP="00F15577">
            <w:pPr>
              <w:rPr>
                <w:rFonts w:ascii="Times New Roman" w:hAnsi="Times New Roman"/>
                <w:color w:val="0D0D0D"/>
                <w:szCs w:val="24"/>
                <w:lang w:eastAsia="en-GB"/>
              </w:rPr>
            </w:pPr>
            <w:r w:rsidRPr="002B02B6">
              <w:rPr>
                <w:rFonts w:cs="Arial"/>
                <w:b/>
                <w:bCs/>
                <w:color w:val="000000"/>
                <w:lang w:eastAsia="en-GB"/>
              </w:rPr>
              <w:t>Inner London Area</w:t>
            </w:r>
            <w:r w:rsidRPr="002B02B6">
              <w:rPr>
                <w:rFonts w:cs="Arial"/>
                <w:color w:val="000000"/>
                <w:lang w:eastAsia="en-GB"/>
              </w:rPr>
              <w:t> </w:t>
            </w:r>
          </w:p>
        </w:tc>
        <w:tc>
          <w:tcPr>
            <w:tcW w:w="1190" w:type="dxa"/>
            <w:tcBorders>
              <w:top w:val="single" w:sz="6" w:space="0" w:color="auto"/>
              <w:left w:val="nil"/>
              <w:bottom w:val="single" w:sz="6" w:space="0" w:color="auto"/>
              <w:right w:val="single" w:sz="6" w:space="0" w:color="auto"/>
            </w:tcBorders>
            <w:shd w:val="clear" w:color="auto" w:fill="DBE5F1"/>
            <w:vAlign w:val="center"/>
            <w:hideMark/>
          </w:tcPr>
          <w:p w14:paraId="3319BAE5" w14:textId="77777777" w:rsidR="006D5A18" w:rsidRPr="002B02B6" w:rsidRDefault="006D5A18" w:rsidP="00F15577">
            <w:pPr>
              <w:rPr>
                <w:rFonts w:ascii="Times New Roman" w:hAnsi="Times New Roman"/>
                <w:color w:val="0D0D0D"/>
                <w:szCs w:val="24"/>
                <w:lang w:eastAsia="en-GB"/>
              </w:rPr>
            </w:pPr>
            <w:r w:rsidRPr="002B02B6">
              <w:rPr>
                <w:rFonts w:cs="Arial"/>
                <w:b/>
                <w:bCs/>
                <w:color w:val="000000"/>
                <w:lang w:eastAsia="en-GB"/>
              </w:rPr>
              <w:t>Outer London Area</w:t>
            </w:r>
            <w:r w:rsidRPr="002B02B6">
              <w:rPr>
                <w:rFonts w:cs="Arial"/>
                <w:color w:val="000000"/>
                <w:lang w:eastAsia="en-GB"/>
              </w:rPr>
              <w:t> </w:t>
            </w:r>
          </w:p>
        </w:tc>
        <w:tc>
          <w:tcPr>
            <w:tcW w:w="1065" w:type="dxa"/>
            <w:tcBorders>
              <w:top w:val="single" w:sz="6" w:space="0" w:color="auto"/>
              <w:left w:val="nil"/>
              <w:bottom w:val="single" w:sz="6" w:space="0" w:color="auto"/>
              <w:right w:val="single" w:sz="6" w:space="0" w:color="auto"/>
            </w:tcBorders>
            <w:shd w:val="clear" w:color="auto" w:fill="DBE5F1"/>
            <w:vAlign w:val="center"/>
            <w:hideMark/>
          </w:tcPr>
          <w:p w14:paraId="7D23AEA4" w14:textId="77777777" w:rsidR="006D5A18" w:rsidRPr="002B02B6" w:rsidRDefault="006D5A18" w:rsidP="00F15577">
            <w:pPr>
              <w:rPr>
                <w:rFonts w:ascii="Times New Roman" w:hAnsi="Times New Roman"/>
                <w:color w:val="0D0D0D"/>
                <w:szCs w:val="24"/>
                <w:lang w:eastAsia="en-GB"/>
              </w:rPr>
            </w:pPr>
            <w:r w:rsidRPr="002B02B6">
              <w:rPr>
                <w:rFonts w:cs="Arial"/>
                <w:b/>
                <w:bCs/>
                <w:color w:val="000000"/>
                <w:lang w:eastAsia="en-GB"/>
              </w:rPr>
              <w:t>Fringe Area</w:t>
            </w:r>
            <w:r w:rsidRPr="002B02B6">
              <w:rPr>
                <w:rFonts w:cs="Arial"/>
                <w:color w:val="000000"/>
                <w:lang w:eastAsia="en-GB"/>
              </w:rPr>
              <w:t> </w:t>
            </w:r>
          </w:p>
        </w:tc>
      </w:tr>
      <w:tr w:rsidR="006D5A18" w:rsidRPr="002B02B6" w14:paraId="3CDD5BC9" w14:textId="77777777" w:rsidTr="006D5A18">
        <w:trPr>
          <w:trHeight w:val="300"/>
        </w:trPr>
        <w:tc>
          <w:tcPr>
            <w:tcW w:w="3294" w:type="dxa"/>
            <w:tcBorders>
              <w:top w:val="nil"/>
              <w:left w:val="single" w:sz="6" w:space="0" w:color="auto"/>
              <w:bottom w:val="single" w:sz="6" w:space="0" w:color="auto"/>
              <w:right w:val="single" w:sz="6" w:space="0" w:color="auto"/>
            </w:tcBorders>
            <w:shd w:val="clear" w:color="auto" w:fill="auto"/>
            <w:vAlign w:val="bottom"/>
            <w:hideMark/>
          </w:tcPr>
          <w:p w14:paraId="759B754B" w14:textId="77777777" w:rsidR="006D5A18" w:rsidRPr="002B02B6" w:rsidRDefault="006D5A18" w:rsidP="00F15577">
            <w:pPr>
              <w:rPr>
                <w:rFonts w:ascii="Times New Roman" w:hAnsi="Times New Roman"/>
                <w:color w:val="0D0D0D"/>
                <w:szCs w:val="24"/>
                <w:lang w:eastAsia="en-GB"/>
              </w:rPr>
            </w:pPr>
            <w:r w:rsidRPr="002B02B6">
              <w:rPr>
                <w:rFonts w:cs="Arial"/>
                <w:color w:val="000000"/>
                <w:lang w:eastAsia="en-GB"/>
              </w:rPr>
              <w:t>Rounded ECT's Unit cost </w:t>
            </w:r>
          </w:p>
        </w:tc>
        <w:tc>
          <w:tcPr>
            <w:tcW w:w="1551" w:type="dxa"/>
            <w:tcBorders>
              <w:top w:val="nil"/>
              <w:left w:val="nil"/>
              <w:bottom w:val="single" w:sz="6" w:space="0" w:color="auto"/>
              <w:right w:val="single" w:sz="6" w:space="0" w:color="auto"/>
            </w:tcBorders>
            <w:shd w:val="clear" w:color="auto" w:fill="auto"/>
            <w:vAlign w:val="bottom"/>
            <w:hideMark/>
          </w:tcPr>
          <w:p w14:paraId="67EFC591" w14:textId="77777777" w:rsidR="006D5A18" w:rsidRPr="002B02B6" w:rsidRDefault="006D5A18" w:rsidP="00F15577">
            <w:pPr>
              <w:jc w:val="right"/>
              <w:rPr>
                <w:rFonts w:ascii="Times New Roman" w:hAnsi="Times New Roman"/>
                <w:color w:val="0D0D0D"/>
                <w:szCs w:val="24"/>
                <w:lang w:eastAsia="en-GB"/>
              </w:rPr>
            </w:pPr>
            <w:r w:rsidRPr="002B02B6">
              <w:rPr>
                <w:color w:val="000000"/>
                <w:lang w:eastAsia="en-GB"/>
              </w:rPr>
              <w:t>£1,200 </w:t>
            </w:r>
          </w:p>
        </w:tc>
        <w:tc>
          <w:tcPr>
            <w:tcW w:w="1190" w:type="dxa"/>
            <w:tcBorders>
              <w:top w:val="nil"/>
              <w:left w:val="nil"/>
              <w:bottom w:val="single" w:sz="6" w:space="0" w:color="auto"/>
              <w:right w:val="single" w:sz="6" w:space="0" w:color="auto"/>
            </w:tcBorders>
            <w:shd w:val="clear" w:color="auto" w:fill="auto"/>
            <w:vAlign w:val="bottom"/>
            <w:hideMark/>
          </w:tcPr>
          <w:p w14:paraId="747B274F" w14:textId="77777777" w:rsidR="006D5A18" w:rsidRPr="002B02B6" w:rsidRDefault="006D5A18" w:rsidP="00F15577">
            <w:pPr>
              <w:jc w:val="right"/>
              <w:rPr>
                <w:rFonts w:ascii="Times New Roman" w:hAnsi="Times New Roman"/>
                <w:color w:val="0D0D0D"/>
                <w:szCs w:val="24"/>
                <w:lang w:eastAsia="en-GB"/>
              </w:rPr>
            </w:pPr>
            <w:r w:rsidRPr="002B02B6">
              <w:rPr>
                <w:color w:val="000000"/>
                <w:lang w:eastAsia="en-GB"/>
              </w:rPr>
              <w:t>£1,500 </w:t>
            </w:r>
          </w:p>
        </w:tc>
        <w:tc>
          <w:tcPr>
            <w:tcW w:w="1190" w:type="dxa"/>
            <w:tcBorders>
              <w:top w:val="nil"/>
              <w:left w:val="nil"/>
              <w:bottom w:val="single" w:sz="6" w:space="0" w:color="auto"/>
              <w:right w:val="single" w:sz="6" w:space="0" w:color="auto"/>
            </w:tcBorders>
            <w:shd w:val="clear" w:color="auto" w:fill="auto"/>
            <w:vAlign w:val="bottom"/>
            <w:hideMark/>
          </w:tcPr>
          <w:p w14:paraId="33A00786" w14:textId="77777777" w:rsidR="006D5A18" w:rsidRPr="002B02B6" w:rsidRDefault="006D5A18" w:rsidP="00F15577">
            <w:pPr>
              <w:jc w:val="right"/>
              <w:rPr>
                <w:rFonts w:ascii="Times New Roman" w:hAnsi="Times New Roman"/>
                <w:color w:val="0D0D0D"/>
                <w:szCs w:val="24"/>
                <w:lang w:eastAsia="en-GB"/>
              </w:rPr>
            </w:pPr>
            <w:r w:rsidRPr="002B02B6">
              <w:rPr>
                <w:color w:val="000000"/>
                <w:lang w:eastAsia="en-GB"/>
              </w:rPr>
              <w:t>£1,400 </w:t>
            </w:r>
          </w:p>
        </w:tc>
        <w:tc>
          <w:tcPr>
            <w:tcW w:w="1065" w:type="dxa"/>
            <w:tcBorders>
              <w:top w:val="nil"/>
              <w:left w:val="nil"/>
              <w:bottom w:val="single" w:sz="6" w:space="0" w:color="auto"/>
              <w:right w:val="single" w:sz="6" w:space="0" w:color="auto"/>
            </w:tcBorders>
            <w:shd w:val="clear" w:color="auto" w:fill="auto"/>
            <w:vAlign w:val="bottom"/>
            <w:hideMark/>
          </w:tcPr>
          <w:p w14:paraId="1D4D630B" w14:textId="77777777" w:rsidR="006D5A18" w:rsidRPr="002B02B6" w:rsidRDefault="006D5A18" w:rsidP="00F15577">
            <w:pPr>
              <w:jc w:val="right"/>
              <w:rPr>
                <w:rFonts w:ascii="Times New Roman" w:hAnsi="Times New Roman"/>
                <w:color w:val="0D0D0D"/>
                <w:szCs w:val="24"/>
                <w:lang w:eastAsia="en-GB"/>
              </w:rPr>
            </w:pPr>
            <w:r w:rsidRPr="002B02B6">
              <w:rPr>
                <w:color w:val="000000"/>
                <w:lang w:eastAsia="en-GB"/>
              </w:rPr>
              <w:t>£1,300 </w:t>
            </w:r>
          </w:p>
        </w:tc>
      </w:tr>
    </w:tbl>
    <w:p w14:paraId="1317101B" w14:textId="77777777" w:rsidR="006D5A18" w:rsidRDefault="006D5A18" w:rsidP="00F15577">
      <w:pPr>
        <w:ind w:left="555"/>
        <w:rPr>
          <w:rFonts w:cs="Arial"/>
          <w:color w:val="0D0D0D"/>
          <w:szCs w:val="24"/>
          <w:lang w:eastAsia="en-GB"/>
        </w:rPr>
      </w:pPr>
    </w:p>
    <w:p w14:paraId="76D1865D" w14:textId="77777777" w:rsidR="006D5A18" w:rsidRDefault="006D5A18" w:rsidP="00F15577">
      <w:pPr>
        <w:ind w:left="720"/>
        <w:rPr>
          <w:rFonts w:cs="Arial"/>
          <w:color w:val="0D0D0D"/>
          <w:szCs w:val="24"/>
          <w:lang w:eastAsia="en-GB"/>
        </w:rPr>
      </w:pPr>
      <w:r>
        <w:rPr>
          <w:rFonts w:cs="Arial"/>
          <w:color w:val="0D0D0D"/>
          <w:szCs w:val="24"/>
          <w:lang w:eastAsia="en-GB"/>
        </w:rPr>
        <w:t>This is funding for mentors to spend with early career teachers in the second year of induction and is based on 20 hours of mentoring across the academic year.</w:t>
      </w:r>
    </w:p>
    <w:p w14:paraId="314E048D" w14:textId="77777777" w:rsidR="006D5A18" w:rsidRDefault="006D5A18" w:rsidP="00F15577">
      <w:pPr>
        <w:ind w:left="720"/>
        <w:rPr>
          <w:rFonts w:cs="Arial"/>
          <w:color w:val="0D0D0D"/>
          <w:szCs w:val="24"/>
          <w:lang w:eastAsia="en-GB"/>
        </w:rPr>
      </w:pPr>
    </w:p>
    <w:p w14:paraId="5F1CA494" w14:textId="77777777" w:rsidR="006D5A18" w:rsidRPr="002B02B6" w:rsidRDefault="006D5A18" w:rsidP="00F15577">
      <w:pPr>
        <w:ind w:left="555"/>
        <w:rPr>
          <w:rFonts w:ascii="Segoe UI" w:hAnsi="Segoe UI" w:cs="Segoe UI"/>
          <w:color w:val="0D0D0D"/>
          <w:sz w:val="18"/>
          <w:szCs w:val="18"/>
          <w:lang w:eastAsia="en-GB"/>
        </w:rPr>
      </w:pPr>
      <w:r w:rsidRPr="002B02B6">
        <w:rPr>
          <w:rFonts w:cs="Arial"/>
          <w:color w:val="0D0D0D"/>
          <w:szCs w:val="24"/>
          <w:lang w:eastAsia="en-GB"/>
        </w:rPr>
        <w:t> </w:t>
      </w:r>
    </w:p>
    <w:tbl>
      <w:tblPr>
        <w:tblW w:w="8290" w:type="dxa"/>
        <w:tblInd w:w="1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1539"/>
        <w:gridCol w:w="1189"/>
        <w:gridCol w:w="1189"/>
        <w:gridCol w:w="1065"/>
      </w:tblGrid>
      <w:tr w:rsidR="006D5A18" w:rsidRPr="002B02B6" w14:paraId="7DF55673" w14:textId="77777777" w:rsidTr="006D5A18">
        <w:trPr>
          <w:trHeight w:val="585"/>
        </w:trPr>
        <w:tc>
          <w:tcPr>
            <w:tcW w:w="3308"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8E2B946" w14:textId="77777777" w:rsidR="006D5A18" w:rsidRPr="002B02B6" w:rsidRDefault="006D5A18" w:rsidP="00F15577">
            <w:pPr>
              <w:rPr>
                <w:rFonts w:ascii="Times New Roman" w:hAnsi="Times New Roman"/>
                <w:color w:val="0D0D0D"/>
                <w:szCs w:val="24"/>
                <w:lang w:eastAsia="en-GB"/>
              </w:rPr>
            </w:pPr>
            <w:bookmarkStart w:id="0" w:name="_Hlk71814607"/>
            <w:r w:rsidRPr="002B02B6">
              <w:rPr>
                <w:rFonts w:cs="Arial"/>
                <w:b/>
                <w:bCs/>
                <w:color w:val="000000"/>
                <w:lang w:eastAsia="en-GB"/>
              </w:rPr>
              <w:t>Mentor's Unit Cost</w:t>
            </w:r>
            <w:r w:rsidRPr="002B02B6">
              <w:rPr>
                <w:rFonts w:cs="Arial"/>
                <w:color w:val="000000"/>
                <w:lang w:eastAsia="en-GB"/>
              </w:rPr>
              <w:t> (year 2)</w:t>
            </w:r>
          </w:p>
        </w:tc>
        <w:tc>
          <w:tcPr>
            <w:tcW w:w="1539" w:type="dxa"/>
            <w:tcBorders>
              <w:top w:val="single" w:sz="6" w:space="0" w:color="auto"/>
              <w:left w:val="nil"/>
              <w:bottom w:val="single" w:sz="6" w:space="0" w:color="auto"/>
              <w:right w:val="single" w:sz="6" w:space="0" w:color="auto"/>
            </w:tcBorders>
            <w:shd w:val="clear" w:color="auto" w:fill="DBE5F1"/>
            <w:vAlign w:val="center"/>
            <w:hideMark/>
          </w:tcPr>
          <w:p w14:paraId="5CEAA7C4" w14:textId="77777777" w:rsidR="006D5A18" w:rsidRPr="002B02B6" w:rsidRDefault="006D5A18" w:rsidP="00F15577">
            <w:pPr>
              <w:rPr>
                <w:rFonts w:ascii="Times New Roman" w:hAnsi="Times New Roman"/>
                <w:color w:val="0D0D0D"/>
                <w:szCs w:val="24"/>
                <w:lang w:eastAsia="en-GB"/>
              </w:rPr>
            </w:pPr>
            <w:r w:rsidRPr="002B02B6">
              <w:rPr>
                <w:rFonts w:cs="Arial"/>
                <w:b/>
                <w:bCs/>
                <w:color w:val="000000"/>
                <w:lang w:eastAsia="en-GB"/>
              </w:rPr>
              <w:t>England (excluding the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3132F547" w14:textId="77777777" w:rsidR="006D5A18" w:rsidRPr="002B02B6" w:rsidRDefault="006D5A18" w:rsidP="00F15577">
            <w:pPr>
              <w:rPr>
                <w:rFonts w:ascii="Times New Roman" w:hAnsi="Times New Roman"/>
                <w:color w:val="0D0D0D"/>
                <w:szCs w:val="24"/>
                <w:lang w:eastAsia="en-GB"/>
              </w:rPr>
            </w:pPr>
            <w:r w:rsidRPr="002B02B6">
              <w:rPr>
                <w:rFonts w:cs="Arial"/>
                <w:b/>
                <w:bCs/>
                <w:color w:val="000000"/>
                <w:lang w:eastAsia="en-GB"/>
              </w:rPr>
              <w:t>Inner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0AF86DED" w14:textId="77777777" w:rsidR="006D5A18" w:rsidRPr="002B02B6" w:rsidRDefault="006D5A18" w:rsidP="00F15577">
            <w:pPr>
              <w:rPr>
                <w:rFonts w:ascii="Times New Roman" w:hAnsi="Times New Roman"/>
                <w:color w:val="0D0D0D"/>
                <w:szCs w:val="24"/>
                <w:lang w:eastAsia="en-GB"/>
              </w:rPr>
            </w:pPr>
            <w:r w:rsidRPr="002B02B6">
              <w:rPr>
                <w:rFonts w:cs="Arial"/>
                <w:b/>
                <w:bCs/>
                <w:color w:val="000000"/>
                <w:lang w:eastAsia="en-GB"/>
              </w:rPr>
              <w:t>Outer London Area</w:t>
            </w:r>
            <w:r w:rsidRPr="002B02B6">
              <w:rPr>
                <w:rFonts w:cs="Arial"/>
                <w:color w:val="000000"/>
                <w:lang w:eastAsia="en-GB"/>
              </w:rPr>
              <w:t> </w:t>
            </w:r>
          </w:p>
        </w:tc>
        <w:tc>
          <w:tcPr>
            <w:tcW w:w="1065" w:type="dxa"/>
            <w:tcBorders>
              <w:top w:val="single" w:sz="6" w:space="0" w:color="auto"/>
              <w:left w:val="nil"/>
              <w:bottom w:val="single" w:sz="6" w:space="0" w:color="auto"/>
              <w:right w:val="single" w:sz="6" w:space="0" w:color="auto"/>
            </w:tcBorders>
            <w:shd w:val="clear" w:color="auto" w:fill="DBE5F1"/>
            <w:vAlign w:val="center"/>
            <w:hideMark/>
          </w:tcPr>
          <w:p w14:paraId="779DDB5C" w14:textId="77777777" w:rsidR="006D5A18" w:rsidRPr="002B02B6" w:rsidRDefault="006D5A18" w:rsidP="00F15577">
            <w:pPr>
              <w:rPr>
                <w:rFonts w:ascii="Times New Roman" w:hAnsi="Times New Roman"/>
                <w:color w:val="0D0D0D"/>
                <w:szCs w:val="24"/>
                <w:lang w:eastAsia="en-GB"/>
              </w:rPr>
            </w:pPr>
            <w:r w:rsidRPr="002B02B6">
              <w:rPr>
                <w:rFonts w:cs="Arial"/>
                <w:b/>
                <w:bCs/>
                <w:color w:val="000000"/>
                <w:lang w:eastAsia="en-GB"/>
              </w:rPr>
              <w:t>Fringe Area</w:t>
            </w:r>
            <w:r w:rsidRPr="002B02B6">
              <w:rPr>
                <w:rFonts w:cs="Arial"/>
                <w:color w:val="000000"/>
                <w:lang w:eastAsia="en-GB"/>
              </w:rPr>
              <w:t> </w:t>
            </w:r>
          </w:p>
        </w:tc>
      </w:tr>
      <w:tr w:rsidR="006D5A18" w:rsidRPr="002B02B6" w14:paraId="01FE5F95" w14:textId="77777777" w:rsidTr="006D5A18">
        <w:trPr>
          <w:trHeight w:val="300"/>
        </w:trPr>
        <w:tc>
          <w:tcPr>
            <w:tcW w:w="3308" w:type="dxa"/>
            <w:tcBorders>
              <w:top w:val="nil"/>
              <w:left w:val="single" w:sz="6" w:space="0" w:color="auto"/>
              <w:bottom w:val="single" w:sz="6" w:space="0" w:color="auto"/>
              <w:right w:val="single" w:sz="6" w:space="0" w:color="auto"/>
            </w:tcBorders>
            <w:shd w:val="clear" w:color="auto" w:fill="auto"/>
            <w:vAlign w:val="bottom"/>
            <w:hideMark/>
          </w:tcPr>
          <w:p w14:paraId="480267B2" w14:textId="77777777" w:rsidR="006D5A18" w:rsidRPr="002B02B6" w:rsidRDefault="006D5A18" w:rsidP="00F15577">
            <w:pPr>
              <w:rPr>
                <w:rFonts w:ascii="Times New Roman" w:hAnsi="Times New Roman"/>
                <w:color w:val="0D0D0D"/>
                <w:szCs w:val="24"/>
                <w:lang w:eastAsia="en-GB"/>
              </w:rPr>
            </w:pPr>
            <w:r w:rsidRPr="002B02B6">
              <w:rPr>
                <w:rFonts w:cs="Arial"/>
                <w:color w:val="000000"/>
                <w:lang w:eastAsia="en-GB"/>
              </w:rPr>
              <w:t>Rounded Mentor Unit cost </w:t>
            </w:r>
          </w:p>
        </w:tc>
        <w:tc>
          <w:tcPr>
            <w:tcW w:w="1539" w:type="dxa"/>
            <w:tcBorders>
              <w:top w:val="nil"/>
              <w:left w:val="nil"/>
              <w:bottom w:val="single" w:sz="6" w:space="0" w:color="auto"/>
              <w:right w:val="single" w:sz="6" w:space="0" w:color="auto"/>
            </w:tcBorders>
            <w:shd w:val="clear" w:color="auto" w:fill="auto"/>
            <w:vAlign w:val="bottom"/>
            <w:hideMark/>
          </w:tcPr>
          <w:p w14:paraId="1F51037D" w14:textId="77777777" w:rsidR="006D5A18" w:rsidRPr="002B02B6" w:rsidRDefault="006D5A18" w:rsidP="00F15577">
            <w:pPr>
              <w:jc w:val="right"/>
              <w:rPr>
                <w:rFonts w:ascii="Times New Roman" w:hAnsi="Times New Roman"/>
                <w:color w:val="0D0D0D"/>
                <w:szCs w:val="24"/>
                <w:lang w:eastAsia="en-GB"/>
              </w:rPr>
            </w:pPr>
            <w:r w:rsidRPr="002B02B6">
              <w:rPr>
                <w:color w:val="000000"/>
                <w:lang w:eastAsia="en-GB"/>
              </w:rPr>
              <w:t>£900 </w:t>
            </w:r>
          </w:p>
        </w:tc>
        <w:tc>
          <w:tcPr>
            <w:tcW w:w="1189" w:type="dxa"/>
            <w:tcBorders>
              <w:top w:val="nil"/>
              <w:left w:val="nil"/>
              <w:bottom w:val="single" w:sz="6" w:space="0" w:color="auto"/>
              <w:right w:val="single" w:sz="6" w:space="0" w:color="auto"/>
            </w:tcBorders>
            <w:shd w:val="clear" w:color="auto" w:fill="auto"/>
            <w:vAlign w:val="bottom"/>
            <w:hideMark/>
          </w:tcPr>
          <w:p w14:paraId="01FF9480" w14:textId="77777777" w:rsidR="006D5A18" w:rsidRPr="002B02B6" w:rsidRDefault="006D5A18" w:rsidP="00F15577">
            <w:pPr>
              <w:jc w:val="right"/>
              <w:rPr>
                <w:rFonts w:ascii="Times New Roman" w:hAnsi="Times New Roman"/>
                <w:color w:val="0D0D0D"/>
                <w:szCs w:val="24"/>
                <w:lang w:eastAsia="en-GB"/>
              </w:rPr>
            </w:pPr>
            <w:r w:rsidRPr="002B02B6">
              <w:rPr>
                <w:color w:val="000000"/>
                <w:lang w:eastAsia="en-GB"/>
              </w:rPr>
              <w:t>£1,100 </w:t>
            </w:r>
          </w:p>
        </w:tc>
        <w:tc>
          <w:tcPr>
            <w:tcW w:w="1189" w:type="dxa"/>
            <w:tcBorders>
              <w:top w:val="nil"/>
              <w:left w:val="nil"/>
              <w:bottom w:val="single" w:sz="6" w:space="0" w:color="auto"/>
              <w:right w:val="single" w:sz="6" w:space="0" w:color="auto"/>
            </w:tcBorders>
            <w:shd w:val="clear" w:color="auto" w:fill="auto"/>
            <w:vAlign w:val="bottom"/>
            <w:hideMark/>
          </w:tcPr>
          <w:p w14:paraId="44F0ADEB" w14:textId="77777777" w:rsidR="006D5A18" w:rsidRPr="002B02B6" w:rsidRDefault="006D5A18" w:rsidP="00F15577">
            <w:pPr>
              <w:jc w:val="right"/>
              <w:rPr>
                <w:rFonts w:ascii="Times New Roman" w:hAnsi="Times New Roman"/>
                <w:color w:val="0D0D0D"/>
                <w:szCs w:val="24"/>
                <w:lang w:eastAsia="en-GB"/>
              </w:rPr>
            </w:pPr>
            <w:r w:rsidRPr="002B02B6">
              <w:rPr>
                <w:color w:val="000000"/>
                <w:lang w:eastAsia="en-GB"/>
              </w:rPr>
              <w:t>£1,000 </w:t>
            </w:r>
          </w:p>
        </w:tc>
        <w:tc>
          <w:tcPr>
            <w:tcW w:w="1065" w:type="dxa"/>
            <w:tcBorders>
              <w:top w:val="nil"/>
              <w:left w:val="nil"/>
              <w:bottom w:val="single" w:sz="6" w:space="0" w:color="auto"/>
              <w:right w:val="single" w:sz="6" w:space="0" w:color="auto"/>
            </w:tcBorders>
            <w:shd w:val="clear" w:color="auto" w:fill="auto"/>
            <w:vAlign w:val="bottom"/>
            <w:hideMark/>
          </w:tcPr>
          <w:p w14:paraId="604CEBC9" w14:textId="77777777" w:rsidR="006D5A18" w:rsidRPr="002B02B6" w:rsidRDefault="006D5A18" w:rsidP="00F15577">
            <w:pPr>
              <w:jc w:val="right"/>
              <w:rPr>
                <w:rFonts w:ascii="Times New Roman" w:hAnsi="Times New Roman"/>
                <w:color w:val="0D0D0D"/>
                <w:szCs w:val="24"/>
                <w:lang w:eastAsia="en-GB"/>
              </w:rPr>
            </w:pPr>
            <w:r w:rsidRPr="002B02B6">
              <w:rPr>
                <w:color w:val="000000"/>
                <w:lang w:eastAsia="en-GB"/>
              </w:rPr>
              <w:t>£900 </w:t>
            </w:r>
          </w:p>
        </w:tc>
      </w:tr>
      <w:bookmarkEnd w:id="0"/>
    </w:tbl>
    <w:p w14:paraId="16A57747" w14:textId="77777777" w:rsidR="006D5A18" w:rsidRPr="002451B0" w:rsidRDefault="006D5A18" w:rsidP="00F15577">
      <w:pPr>
        <w:pStyle w:val="DeptBullets"/>
        <w:tabs>
          <w:tab w:val="clear" w:pos="720"/>
        </w:tabs>
        <w:spacing w:after="0"/>
        <w:ind w:left="0" w:firstLine="0"/>
        <w:rPr>
          <w:b/>
          <w:szCs w:val="24"/>
        </w:rPr>
      </w:pPr>
    </w:p>
    <w:p w14:paraId="54859C3E" w14:textId="77777777" w:rsidR="00D434AB" w:rsidRDefault="00D434AB" w:rsidP="00D434AB">
      <w:pPr>
        <w:widowControl/>
        <w:overflowPunct/>
        <w:autoSpaceDE/>
        <w:autoSpaceDN/>
        <w:adjustRightInd/>
        <w:spacing w:before="100" w:beforeAutospacing="1" w:after="240"/>
        <w:ind w:left="720"/>
        <w:textAlignment w:val="auto"/>
        <w:rPr>
          <w:rFonts w:cs="Arial"/>
          <w:szCs w:val="24"/>
          <w:lang w:eastAsia="en-GB"/>
        </w:rPr>
      </w:pPr>
      <w:r w:rsidRPr="00D434AB">
        <w:rPr>
          <w:rFonts w:cs="Arial"/>
          <w:szCs w:val="24"/>
          <w:lang w:eastAsia="en-GB"/>
        </w:rPr>
        <w:t xml:space="preserve">For those on the FIP, there will be an additional payment to schools for the time that mentors of ECTs spend on Department-funded mentor training, which will consist of 36 hours of backfill time over two years per mentor. </w:t>
      </w:r>
    </w:p>
    <w:tbl>
      <w:tblPr>
        <w:tblW w:w="8290" w:type="dxa"/>
        <w:tblInd w:w="1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1539"/>
        <w:gridCol w:w="1189"/>
        <w:gridCol w:w="1189"/>
        <w:gridCol w:w="1065"/>
      </w:tblGrid>
      <w:tr w:rsidR="00D434AB" w:rsidRPr="002B02B6" w14:paraId="2B221CAD" w14:textId="77777777" w:rsidTr="00D434AB">
        <w:trPr>
          <w:trHeight w:val="585"/>
        </w:trPr>
        <w:tc>
          <w:tcPr>
            <w:tcW w:w="3308"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29D438F" w14:textId="253E6D6C" w:rsidR="00D434AB" w:rsidRPr="002B02B6" w:rsidRDefault="00D434AB" w:rsidP="00E31B3E">
            <w:pPr>
              <w:rPr>
                <w:rFonts w:ascii="Times New Roman" w:hAnsi="Times New Roman"/>
                <w:color w:val="0D0D0D"/>
                <w:szCs w:val="24"/>
                <w:lang w:eastAsia="en-GB"/>
              </w:rPr>
            </w:pPr>
            <w:r w:rsidRPr="002B02B6">
              <w:rPr>
                <w:rFonts w:cs="Arial"/>
                <w:b/>
                <w:bCs/>
                <w:color w:val="000000"/>
                <w:lang w:eastAsia="en-GB"/>
              </w:rPr>
              <w:t>Mentor's Unit Cost</w:t>
            </w:r>
            <w:r w:rsidRPr="002B02B6">
              <w:rPr>
                <w:rFonts w:cs="Arial"/>
                <w:color w:val="000000"/>
                <w:lang w:eastAsia="en-GB"/>
              </w:rPr>
              <w:t> (year</w:t>
            </w:r>
            <w:r>
              <w:rPr>
                <w:rFonts w:cs="Arial"/>
                <w:color w:val="000000"/>
                <w:lang w:eastAsia="en-GB"/>
              </w:rPr>
              <w:t>s 1 &amp;</w:t>
            </w:r>
            <w:r w:rsidRPr="002B02B6">
              <w:rPr>
                <w:rFonts w:cs="Arial"/>
                <w:color w:val="000000"/>
                <w:lang w:eastAsia="en-GB"/>
              </w:rPr>
              <w:t xml:space="preserve"> 2)</w:t>
            </w:r>
            <w:r>
              <w:rPr>
                <w:rFonts w:cs="Arial"/>
                <w:color w:val="000000"/>
                <w:lang w:eastAsia="en-GB"/>
              </w:rPr>
              <w:br/>
            </w:r>
            <w:r>
              <w:rPr>
                <w:color w:val="0D0D0D"/>
                <w:szCs w:val="24"/>
                <w:lang w:eastAsia="en-GB"/>
              </w:rPr>
              <w:t>Time off timetable for training</w:t>
            </w:r>
          </w:p>
        </w:tc>
        <w:tc>
          <w:tcPr>
            <w:tcW w:w="1539" w:type="dxa"/>
            <w:tcBorders>
              <w:top w:val="single" w:sz="6" w:space="0" w:color="auto"/>
              <w:left w:val="nil"/>
              <w:bottom w:val="single" w:sz="6" w:space="0" w:color="auto"/>
              <w:right w:val="single" w:sz="6" w:space="0" w:color="auto"/>
            </w:tcBorders>
            <w:shd w:val="clear" w:color="auto" w:fill="DBE5F1"/>
            <w:vAlign w:val="center"/>
            <w:hideMark/>
          </w:tcPr>
          <w:p w14:paraId="4635BBA3" w14:textId="77777777" w:rsidR="00D434AB" w:rsidRPr="002B02B6" w:rsidRDefault="00D434AB" w:rsidP="00E31B3E">
            <w:pPr>
              <w:rPr>
                <w:rFonts w:ascii="Times New Roman" w:hAnsi="Times New Roman"/>
                <w:color w:val="0D0D0D"/>
                <w:szCs w:val="24"/>
                <w:lang w:eastAsia="en-GB"/>
              </w:rPr>
            </w:pPr>
            <w:r w:rsidRPr="002B02B6">
              <w:rPr>
                <w:rFonts w:cs="Arial"/>
                <w:b/>
                <w:bCs/>
                <w:color w:val="000000"/>
                <w:lang w:eastAsia="en-GB"/>
              </w:rPr>
              <w:t>England (excluding the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166C2B44" w14:textId="77777777" w:rsidR="00D434AB" w:rsidRPr="002B02B6" w:rsidRDefault="00D434AB" w:rsidP="00E31B3E">
            <w:pPr>
              <w:rPr>
                <w:rFonts w:ascii="Times New Roman" w:hAnsi="Times New Roman"/>
                <w:color w:val="0D0D0D"/>
                <w:szCs w:val="24"/>
                <w:lang w:eastAsia="en-GB"/>
              </w:rPr>
            </w:pPr>
            <w:r w:rsidRPr="002B02B6">
              <w:rPr>
                <w:rFonts w:cs="Arial"/>
                <w:b/>
                <w:bCs/>
                <w:color w:val="000000"/>
                <w:lang w:eastAsia="en-GB"/>
              </w:rPr>
              <w:t>Inner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4EC49B61" w14:textId="77777777" w:rsidR="00D434AB" w:rsidRPr="002B02B6" w:rsidRDefault="00D434AB" w:rsidP="00E31B3E">
            <w:pPr>
              <w:rPr>
                <w:rFonts w:ascii="Times New Roman" w:hAnsi="Times New Roman"/>
                <w:color w:val="0D0D0D"/>
                <w:szCs w:val="24"/>
                <w:lang w:eastAsia="en-GB"/>
              </w:rPr>
            </w:pPr>
            <w:r w:rsidRPr="002B02B6">
              <w:rPr>
                <w:rFonts w:cs="Arial"/>
                <w:b/>
                <w:bCs/>
                <w:color w:val="000000"/>
                <w:lang w:eastAsia="en-GB"/>
              </w:rPr>
              <w:t>Outer London Area</w:t>
            </w:r>
            <w:r w:rsidRPr="002B02B6">
              <w:rPr>
                <w:rFonts w:cs="Arial"/>
                <w:color w:val="000000"/>
                <w:lang w:eastAsia="en-GB"/>
              </w:rPr>
              <w:t> </w:t>
            </w:r>
          </w:p>
        </w:tc>
        <w:tc>
          <w:tcPr>
            <w:tcW w:w="1065" w:type="dxa"/>
            <w:tcBorders>
              <w:top w:val="single" w:sz="6" w:space="0" w:color="auto"/>
              <w:left w:val="nil"/>
              <w:bottom w:val="single" w:sz="6" w:space="0" w:color="auto"/>
              <w:right w:val="single" w:sz="6" w:space="0" w:color="auto"/>
            </w:tcBorders>
            <w:shd w:val="clear" w:color="auto" w:fill="DBE5F1"/>
            <w:vAlign w:val="center"/>
            <w:hideMark/>
          </w:tcPr>
          <w:p w14:paraId="6789C39C" w14:textId="77777777" w:rsidR="00D434AB" w:rsidRPr="002B02B6" w:rsidRDefault="00D434AB" w:rsidP="00E31B3E">
            <w:pPr>
              <w:rPr>
                <w:rFonts w:ascii="Times New Roman" w:hAnsi="Times New Roman"/>
                <w:color w:val="0D0D0D"/>
                <w:szCs w:val="24"/>
                <w:lang w:eastAsia="en-GB"/>
              </w:rPr>
            </w:pPr>
            <w:r w:rsidRPr="002B02B6">
              <w:rPr>
                <w:rFonts w:cs="Arial"/>
                <w:b/>
                <w:bCs/>
                <w:color w:val="000000"/>
                <w:lang w:eastAsia="en-GB"/>
              </w:rPr>
              <w:t>Fringe Area</w:t>
            </w:r>
            <w:r w:rsidRPr="002B02B6">
              <w:rPr>
                <w:rFonts w:cs="Arial"/>
                <w:color w:val="000000"/>
                <w:lang w:eastAsia="en-GB"/>
              </w:rPr>
              <w:t> </w:t>
            </w:r>
          </w:p>
        </w:tc>
      </w:tr>
      <w:tr w:rsidR="00D434AB" w:rsidRPr="002B02B6" w14:paraId="3084050E" w14:textId="77777777" w:rsidTr="00D434AB">
        <w:trPr>
          <w:trHeight w:val="300"/>
        </w:trPr>
        <w:tc>
          <w:tcPr>
            <w:tcW w:w="3308" w:type="dxa"/>
            <w:tcBorders>
              <w:top w:val="nil"/>
              <w:left w:val="single" w:sz="6" w:space="0" w:color="auto"/>
              <w:bottom w:val="single" w:sz="6" w:space="0" w:color="auto"/>
              <w:right w:val="single" w:sz="6" w:space="0" w:color="auto"/>
            </w:tcBorders>
            <w:shd w:val="clear" w:color="auto" w:fill="auto"/>
            <w:vAlign w:val="bottom"/>
            <w:hideMark/>
          </w:tcPr>
          <w:p w14:paraId="56B2ECFE" w14:textId="3C5DBD39" w:rsidR="00D434AB" w:rsidRPr="002B02B6" w:rsidRDefault="00D434AB" w:rsidP="00E31B3E">
            <w:pPr>
              <w:rPr>
                <w:rFonts w:ascii="Times New Roman" w:hAnsi="Times New Roman"/>
                <w:color w:val="0D0D0D"/>
                <w:szCs w:val="24"/>
                <w:lang w:eastAsia="en-GB"/>
              </w:rPr>
            </w:pPr>
            <w:r>
              <w:rPr>
                <w:rFonts w:cs="Arial"/>
                <w:color w:val="000000"/>
                <w:lang w:eastAsia="en-GB"/>
              </w:rPr>
              <w:t>36h cost (2 years of training)</w:t>
            </w:r>
            <w:r w:rsidRPr="002B02B6">
              <w:rPr>
                <w:rFonts w:cs="Arial"/>
                <w:color w:val="000000"/>
                <w:lang w:eastAsia="en-GB"/>
              </w:rPr>
              <w:t> </w:t>
            </w:r>
          </w:p>
        </w:tc>
        <w:tc>
          <w:tcPr>
            <w:tcW w:w="1539" w:type="dxa"/>
            <w:tcBorders>
              <w:top w:val="nil"/>
              <w:left w:val="nil"/>
              <w:bottom w:val="single" w:sz="6" w:space="0" w:color="auto"/>
              <w:right w:val="single" w:sz="6" w:space="0" w:color="auto"/>
            </w:tcBorders>
            <w:shd w:val="clear" w:color="auto" w:fill="auto"/>
            <w:vAlign w:val="bottom"/>
            <w:hideMark/>
          </w:tcPr>
          <w:p w14:paraId="293AA571" w14:textId="0942CDE0" w:rsidR="00D434AB" w:rsidRPr="002B02B6" w:rsidRDefault="00D434AB" w:rsidP="00E31B3E">
            <w:pPr>
              <w:jc w:val="right"/>
              <w:rPr>
                <w:rFonts w:ascii="Times New Roman" w:hAnsi="Times New Roman"/>
                <w:color w:val="0D0D0D"/>
                <w:szCs w:val="24"/>
                <w:lang w:eastAsia="en-GB"/>
              </w:rPr>
            </w:pPr>
            <w:r>
              <w:rPr>
                <w:color w:val="000000"/>
                <w:lang w:eastAsia="en-GB"/>
              </w:rPr>
              <w:t>£1576.10</w:t>
            </w:r>
          </w:p>
        </w:tc>
        <w:tc>
          <w:tcPr>
            <w:tcW w:w="1189" w:type="dxa"/>
            <w:tcBorders>
              <w:top w:val="nil"/>
              <w:left w:val="nil"/>
              <w:bottom w:val="single" w:sz="6" w:space="0" w:color="auto"/>
              <w:right w:val="single" w:sz="6" w:space="0" w:color="auto"/>
            </w:tcBorders>
            <w:shd w:val="clear" w:color="auto" w:fill="auto"/>
            <w:vAlign w:val="bottom"/>
            <w:hideMark/>
          </w:tcPr>
          <w:p w14:paraId="49E9995F" w14:textId="2B4DEA08" w:rsidR="00D434AB" w:rsidRPr="002B02B6" w:rsidRDefault="00D434AB" w:rsidP="00E31B3E">
            <w:pPr>
              <w:jc w:val="right"/>
              <w:rPr>
                <w:rFonts w:ascii="Times New Roman" w:hAnsi="Times New Roman"/>
                <w:color w:val="0D0D0D"/>
                <w:szCs w:val="24"/>
                <w:lang w:eastAsia="en-GB"/>
              </w:rPr>
            </w:pPr>
            <w:r>
              <w:rPr>
                <w:color w:val="000000"/>
                <w:lang w:eastAsia="en-GB"/>
              </w:rPr>
              <w:t>£1929.24</w:t>
            </w:r>
          </w:p>
        </w:tc>
        <w:tc>
          <w:tcPr>
            <w:tcW w:w="1189" w:type="dxa"/>
            <w:tcBorders>
              <w:top w:val="nil"/>
              <w:left w:val="nil"/>
              <w:bottom w:val="single" w:sz="6" w:space="0" w:color="auto"/>
              <w:right w:val="single" w:sz="6" w:space="0" w:color="auto"/>
            </w:tcBorders>
            <w:shd w:val="clear" w:color="auto" w:fill="auto"/>
            <w:vAlign w:val="bottom"/>
            <w:hideMark/>
          </w:tcPr>
          <w:p w14:paraId="21ADA9A1" w14:textId="72593B7F" w:rsidR="00D434AB" w:rsidRPr="002B02B6" w:rsidRDefault="00D434AB" w:rsidP="00E31B3E">
            <w:pPr>
              <w:jc w:val="right"/>
              <w:rPr>
                <w:rFonts w:ascii="Times New Roman" w:hAnsi="Times New Roman"/>
                <w:color w:val="0D0D0D"/>
                <w:szCs w:val="24"/>
                <w:lang w:eastAsia="en-GB"/>
              </w:rPr>
            </w:pPr>
            <w:r>
              <w:rPr>
                <w:color w:val="000000"/>
                <w:lang w:eastAsia="en-GB"/>
              </w:rPr>
              <w:t>£1737.14</w:t>
            </w:r>
          </w:p>
        </w:tc>
        <w:tc>
          <w:tcPr>
            <w:tcW w:w="1065" w:type="dxa"/>
            <w:tcBorders>
              <w:top w:val="nil"/>
              <w:left w:val="nil"/>
              <w:bottom w:val="single" w:sz="6" w:space="0" w:color="auto"/>
              <w:right w:val="single" w:sz="6" w:space="0" w:color="auto"/>
            </w:tcBorders>
            <w:shd w:val="clear" w:color="auto" w:fill="auto"/>
            <w:vAlign w:val="bottom"/>
            <w:hideMark/>
          </w:tcPr>
          <w:p w14:paraId="1E515058" w14:textId="15BF4958" w:rsidR="00D434AB" w:rsidRPr="002B02B6" w:rsidRDefault="00D434AB" w:rsidP="00E31B3E">
            <w:pPr>
              <w:jc w:val="right"/>
              <w:rPr>
                <w:rFonts w:ascii="Times New Roman" w:hAnsi="Times New Roman"/>
                <w:color w:val="0D0D0D"/>
                <w:szCs w:val="24"/>
                <w:lang w:eastAsia="en-GB"/>
              </w:rPr>
            </w:pPr>
            <w:r>
              <w:rPr>
                <w:color w:val="000000"/>
                <w:lang w:eastAsia="en-GB"/>
              </w:rPr>
              <w:t>£1623.24</w:t>
            </w:r>
          </w:p>
        </w:tc>
      </w:tr>
    </w:tbl>
    <w:p w14:paraId="61D0A807" w14:textId="77777777" w:rsidR="00FB7006" w:rsidRPr="00FB7006" w:rsidRDefault="00FB7006" w:rsidP="00F15577">
      <w:pPr>
        <w:pStyle w:val="DeptBullets"/>
        <w:tabs>
          <w:tab w:val="clear" w:pos="720"/>
        </w:tabs>
        <w:spacing w:after="0"/>
        <w:ind w:left="360" w:firstLine="0"/>
        <w:rPr>
          <w:b/>
          <w:bCs/>
        </w:rPr>
      </w:pPr>
    </w:p>
    <w:p w14:paraId="11B8EBB0" w14:textId="2F0E3F04" w:rsidR="00F222EB" w:rsidRPr="00C47DB1" w:rsidRDefault="00FB7006" w:rsidP="00F15577">
      <w:pPr>
        <w:pStyle w:val="DeptBullets"/>
        <w:tabs>
          <w:tab w:val="clear" w:pos="720"/>
        </w:tabs>
        <w:spacing w:after="0"/>
        <w:ind w:left="360" w:firstLine="0"/>
        <w:rPr>
          <w:b/>
          <w:highlight w:val="yellow"/>
        </w:rPr>
      </w:pPr>
      <w:r w:rsidRPr="00C47DB1">
        <w:rPr>
          <w:b/>
          <w:bCs/>
        </w:rPr>
        <w:t xml:space="preserve">Q: </w:t>
      </w:r>
      <w:r w:rsidR="00F222EB" w:rsidRPr="00C47DB1">
        <w:rPr>
          <w:b/>
          <w:bCs/>
        </w:rPr>
        <w:t>Please can you clarify what funding schools will receive in Year 1 if they are choosing to design their own programme or use the online materials?</w:t>
      </w:r>
    </w:p>
    <w:p w14:paraId="50944ECC" w14:textId="6F81BA37" w:rsidR="00FB7006" w:rsidRDefault="00FB7006" w:rsidP="00F15577">
      <w:pPr>
        <w:pStyle w:val="DeptBullets"/>
        <w:tabs>
          <w:tab w:val="clear" w:pos="720"/>
        </w:tabs>
        <w:spacing w:after="0"/>
        <w:ind w:left="360" w:firstLine="0"/>
        <w:rPr>
          <w:b/>
          <w:bCs/>
        </w:rPr>
      </w:pPr>
      <w:r w:rsidRPr="0079718B">
        <w:rPr>
          <w:b/>
        </w:rPr>
        <w:t>A:</w:t>
      </w:r>
      <w:r w:rsidR="00E861A6" w:rsidRPr="0079718B">
        <w:rPr>
          <w:b/>
        </w:rPr>
        <w:t xml:space="preserve"> </w:t>
      </w:r>
      <w:r w:rsidR="00E861A6" w:rsidRPr="0079718B">
        <w:t xml:space="preserve">Year 1 funding </w:t>
      </w:r>
      <w:r w:rsidR="1C4DFD53" w:rsidRPr="0079718B">
        <w:t xml:space="preserve">to deliver induction </w:t>
      </w:r>
      <w:r w:rsidR="00E861A6" w:rsidRPr="0079718B">
        <w:t>has been rolled into the National Funding Formula.</w:t>
      </w:r>
      <w:r w:rsidR="00EE3033">
        <w:br/>
      </w:r>
      <w:r w:rsidR="00EE3033">
        <w:br/>
      </w:r>
      <w:r w:rsidR="00532BFF" w:rsidRPr="004F6A00">
        <w:t xml:space="preserve">Schools receive their core funding through the dedicated schools grant (DSG), which is </w:t>
      </w:r>
      <w:r w:rsidR="00532BFF" w:rsidRPr="004F6A00">
        <w:lastRenderedPageBreak/>
        <w:t>calculated using the national funding formula (NFF). The NFF allocates funding primarily based on the characteristics of the schools and their pupils.</w:t>
      </w:r>
      <w:r w:rsidR="00DC4BD6" w:rsidRPr="004F6A00">
        <w:br/>
      </w:r>
      <w:r w:rsidR="00DC4BD6" w:rsidRPr="004F6A00">
        <w:br/>
        <w:t xml:space="preserve">Schools initially received funding for </w:t>
      </w:r>
      <w:r w:rsidR="4FE89A76">
        <w:t>induction</w:t>
      </w:r>
      <w:r w:rsidR="00DC4BD6" w:rsidRPr="004F6A00">
        <w:t xml:space="preserve"> through the “standards fund”. Nowadays the funding is incorporated into the core schools funding that schools now receive through the DSG. As such, schools are expected to meet the cost of </w:t>
      </w:r>
      <w:r w:rsidR="4AB0443C">
        <w:t>induction</w:t>
      </w:r>
      <w:r w:rsidR="00DC4BD6" w:rsidRPr="004F6A00">
        <w:t xml:space="preserve"> for newly qualified teachers as part of their core funding.</w:t>
      </w:r>
      <w:r w:rsidR="00817F8F" w:rsidRPr="004F6A00">
        <w:br/>
      </w:r>
      <w:r w:rsidR="00817F8F" w:rsidRPr="004F6A00">
        <w:br/>
        <w:t>The NFF does not “earmark” a certain amount of funding which schools receive for, or should spend on, their NQTs. It is up to head teachers to manage the funding they receive.</w:t>
      </w:r>
    </w:p>
    <w:p w14:paraId="768A3488" w14:textId="77777777" w:rsidR="00FB7006" w:rsidRPr="00FB7006" w:rsidRDefault="00FB7006" w:rsidP="00F15577">
      <w:pPr>
        <w:pStyle w:val="DeptBullets"/>
        <w:tabs>
          <w:tab w:val="clear" w:pos="720"/>
        </w:tabs>
        <w:spacing w:after="0"/>
        <w:ind w:left="360" w:firstLine="0"/>
        <w:rPr>
          <w:b/>
          <w:bCs/>
        </w:rPr>
      </w:pPr>
    </w:p>
    <w:p w14:paraId="317A6198" w14:textId="77777777" w:rsidR="00FB7006" w:rsidRPr="006B667D" w:rsidRDefault="00FB7006" w:rsidP="00F15577">
      <w:pPr>
        <w:pStyle w:val="DeptBullets"/>
        <w:tabs>
          <w:tab w:val="clear" w:pos="720"/>
        </w:tabs>
        <w:spacing w:after="0"/>
        <w:ind w:left="360" w:firstLine="0"/>
        <w:rPr>
          <w:b/>
          <w:bCs/>
        </w:rPr>
      </w:pPr>
      <w:r w:rsidRPr="006B667D">
        <w:rPr>
          <w:b/>
          <w:bCs/>
        </w:rPr>
        <w:t xml:space="preserve">Q: </w:t>
      </w:r>
      <w:r w:rsidR="00F222EB" w:rsidRPr="006B667D">
        <w:rPr>
          <w:b/>
          <w:bCs/>
        </w:rPr>
        <w:t>Did you say schools won’t actually receive any funding until 2023?</w:t>
      </w:r>
    </w:p>
    <w:p w14:paraId="7E3669B8" w14:textId="4115368F" w:rsidR="00F222EB" w:rsidRDefault="00FB7006" w:rsidP="00F15577">
      <w:pPr>
        <w:pStyle w:val="DeptBullets"/>
        <w:tabs>
          <w:tab w:val="clear" w:pos="720"/>
        </w:tabs>
        <w:spacing w:after="0"/>
        <w:ind w:left="360" w:firstLine="0"/>
      </w:pPr>
      <w:r w:rsidRPr="006B667D">
        <w:rPr>
          <w:b/>
          <w:bCs/>
        </w:rPr>
        <w:t>A:</w:t>
      </w:r>
      <w:r w:rsidR="00F222EB" w:rsidRPr="006B667D">
        <w:tab/>
      </w:r>
      <w:r w:rsidR="009D6AFF" w:rsidRPr="006B667D">
        <w:t>Funding for</w:t>
      </w:r>
      <w:r w:rsidR="00A172DF" w:rsidRPr="006B667D">
        <w:t xml:space="preserve"> the</w:t>
      </w:r>
      <w:r w:rsidR="009D6AFF" w:rsidRPr="006B667D">
        <w:t xml:space="preserve"> ECT time off timetable and mentor time off timetable for mentoring will be awarded to schools</w:t>
      </w:r>
      <w:r w:rsidR="009D6AFF" w:rsidRPr="009D6AFF">
        <w:t xml:space="preserve"> based on the number of second year ECTs they have as identified in the School Workforce Census return. Schools should expect this payment to made in the summer term of Year 2.</w:t>
      </w:r>
      <w:r w:rsidR="0073689C">
        <w:t xml:space="preserve"> </w:t>
      </w:r>
      <w:r w:rsidR="00A32CEA">
        <w:br/>
      </w:r>
      <w:r w:rsidR="00A32CEA">
        <w:br/>
      </w:r>
      <w:r w:rsidR="00A32CEA" w:rsidRPr="00A32CEA">
        <w:t>To note, Lead Providers will be paid directly by the DfE for the provision of training to schools who have signed up to the Full Induction Programme; schools will not therefore face any payment burdens.</w:t>
      </w:r>
    </w:p>
    <w:p w14:paraId="450F48FD" w14:textId="77777777" w:rsidR="00FB7006" w:rsidRDefault="00FB7006" w:rsidP="00F15577">
      <w:pPr>
        <w:pStyle w:val="DeptBullets"/>
        <w:tabs>
          <w:tab w:val="clear" w:pos="720"/>
        </w:tabs>
        <w:spacing w:after="0"/>
        <w:ind w:left="360" w:firstLine="0"/>
      </w:pPr>
    </w:p>
    <w:p w14:paraId="0882AD2F" w14:textId="1F75B9E9" w:rsidR="00F222EB" w:rsidRPr="00DA7BE9" w:rsidRDefault="00FB7006" w:rsidP="00F15577">
      <w:pPr>
        <w:pStyle w:val="DeptBullets"/>
        <w:tabs>
          <w:tab w:val="clear" w:pos="720"/>
        </w:tabs>
        <w:spacing w:after="0"/>
        <w:ind w:left="360" w:firstLine="0"/>
        <w:rPr>
          <w:b/>
          <w:bCs/>
        </w:rPr>
      </w:pPr>
      <w:r w:rsidRPr="00DA7BE9">
        <w:rPr>
          <w:b/>
          <w:bCs/>
        </w:rPr>
        <w:t xml:space="preserve">Q: </w:t>
      </w:r>
      <w:r w:rsidR="00F222EB" w:rsidRPr="00DA7BE9">
        <w:rPr>
          <w:b/>
          <w:bCs/>
        </w:rPr>
        <w:t>Will both MENTOR and INDUCTION TUTOR be funded for the second year (for 5% time)?</w:t>
      </w:r>
    </w:p>
    <w:p w14:paraId="3AFB894D" w14:textId="77777777" w:rsidR="00C96646" w:rsidRPr="00D434AB" w:rsidRDefault="00FB7006" w:rsidP="00C96646">
      <w:pPr>
        <w:widowControl/>
        <w:overflowPunct/>
        <w:autoSpaceDE/>
        <w:autoSpaceDN/>
        <w:adjustRightInd/>
        <w:spacing w:before="100" w:beforeAutospacing="1" w:after="240"/>
        <w:textAlignment w:val="auto"/>
        <w:rPr>
          <w:rFonts w:cs="Arial"/>
          <w:szCs w:val="24"/>
          <w:lang w:eastAsia="en-GB"/>
        </w:rPr>
      </w:pPr>
      <w:r w:rsidRPr="00DA7BE9">
        <w:rPr>
          <w:b/>
          <w:bCs/>
        </w:rPr>
        <w:t>A:</w:t>
      </w:r>
      <w:r w:rsidR="00DA7BE9" w:rsidRPr="00DA7BE9">
        <w:rPr>
          <w:rFonts w:asciiTheme="minorHAnsi" w:hAnsiTheme="minorHAnsi" w:cstheme="minorHAnsi"/>
          <w:color w:val="0070C0"/>
          <w:sz w:val="22"/>
          <w:szCs w:val="18"/>
        </w:rPr>
        <w:t xml:space="preserve"> </w:t>
      </w:r>
      <w:r w:rsidR="00DA7BE9" w:rsidRPr="00DA7BE9">
        <w:t>There is no additional funding provided for the role of induction tutor. There is however mentor funding available to schools for delivery of the Early Career Framework:</w:t>
      </w:r>
      <w:r w:rsidR="005A256A">
        <w:br/>
      </w:r>
      <w:r w:rsidR="005A256A" w:rsidRPr="00D434AB">
        <w:rPr>
          <w:rFonts w:cs="Arial"/>
          <w:szCs w:val="24"/>
          <w:lang w:eastAsia="en-GB"/>
        </w:rPr>
        <w:t xml:space="preserve">For those on the FIP, there will be an additional payment to schools for the time that mentors of ECTs spend on Department-funded mentor training, which will consist of </w:t>
      </w:r>
    </w:p>
    <w:tbl>
      <w:tblPr>
        <w:tblpPr w:leftFromText="180" w:rightFromText="180" w:vertAnchor="text" w:horzAnchor="page" w:tblpX="2131" w:tblpY="652"/>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1539"/>
        <w:gridCol w:w="1189"/>
        <w:gridCol w:w="1189"/>
        <w:gridCol w:w="1065"/>
      </w:tblGrid>
      <w:tr w:rsidR="00C96646" w:rsidRPr="002B02B6" w14:paraId="7F97EDF4" w14:textId="77777777" w:rsidTr="00C96646">
        <w:trPr>
          <w:trHeight w:val="585"/>
        </w:trPr>
        <w:tc>
          <w:tcPr>
            <w:tcW w:w="3308"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3F66825" w14:textId="77777777" w:rsidR="00C96646" w:rsidRPr="002B02B6" w:rsidRDefault="00C96646" w:rsidP="00C96646">
            <w:pPr>
              <w:rPr>
                <w:rFonts w:ascii="Times New Roman" w:hAnsi="Times New Roman"/>
                <w:color w:val="0D0D0D"/>
                <w:szCs w:val="24"/>
                <w:lang w:eastAsia="en-GB"/>
              </w:rPr>
            </w:pPr>
            <w:r w:rsidRPr="002B02B6">
              <w:rPr>
                <w:rFonts w:cs="Arial"/>
                <w:b/>
                <w:bCs/>
                <w:color w:val="000000"/>
                <w:lang w:eastAsia="en-GB"/>
              </w:rPr>
              <w:t>Mentor's Unit Cost</w:t>
            </w:r>
            <w:r w:rsidRPr="002B02B6">
              <w:rPr>
                <w:rFonts w:cs="Arial"/>
                <w:color w:val="000000"/>
                <w:lang w:eastAsia="en-GB"/>
              </w:rPr>
              <w:t> (year</w:t>
            </w:r>
            <w:r>
              <w:rPr>
                <w:rFonts w:cs="Arial"/>
                <w:color w:val="000000"/>
                <w:lang w:eastAsia="en-GB"/>
              </w:rPr>
              <w:t>s 1 &amp;</w:t>
            </w:r>
            <w:r w:rsidRPr="002B02B6">
              <w:rPr>
                <w:rFonts w:cs="Arial"/>
                <w:color w:val="000000"/>
                <w:lang w:eastAsia="en-GB"/>
              </w:rPr>
              <w:t xml:space="preserve"> 2)</w:t>
            </w:r>
            <w:r>
              <w:rPr>
                <w:rFonts w:cs="Arial"/>
                <w:color w:val="000000"/>
                <w:lang w:eastAsia="en-GB"/>
              </w:rPr>
              <w:br/>
            </w:r>
            <w:r>
              <w:rPr>
                <w:color w:val="0D0D0D"/>
                <w:szCs w:val="24"/>
                <w:lang w:eastAsia="en-GB"/>
              </w:rPr>
              <w:t>Time off timetable for training</w:t>
            </w:r>
          </w:p>
        </w:tc>
        <w:tc>
          <w:tcPr>
            <w:tcW w:w="1539" w:type="dxa"/>
            <w:tcBorders>
              <w:top w:val="single" w:sz="6" w:space="0" w:color="auto"/>
              <w:left w:val="nil"/>
              <w:bottom w:val="single" w:sz="6" w:space="0" w:color="auto"/>
              <w:right w:val="single" w:sz="6" w:space="0" w:color="auto"/>
            </w:tcBorders>
            <w:shd w:val="clear" w:color="auto" w:fill="DBE5F1"/>
            <w:vAlign w:val="center"/>
            <w:hideMark/>
          </w:tcPr>
          <w:p w14:paraId="2F063B98" w14:textId="77777777" w:rsidR="00C96646" w:rsidRPr="002B02B6" w:rsidRDefault="00C96646" w:rsidP="00C96646">
            <w:pPr>
              <w:rPr>
                <w:rFonts w:ascii="Times New Roman" w:hAnsi="Times New Roman"/>
                <w:color w:val="0D0D0D"/>
                <w:szCs w:val="24"/>
                <w:lang w:eastAsia="en-GB"/>
              </w:rPr>
            </w:pPr>
            <w:r w:rsidRPr="002B02B6">
              <w:rPr>
                <w:rFonts w:cs="Arial"/>
                <w:b/>
                <w:bCs/>
                <w:color w:val="000000"/>
                <w:lang w:eastAsia="en-GB"/>
              </w:rPr>
              <w:t>England (excluding the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1D28FC21" w14:textId="77777777" w:rsidR="00C96646" w:rsidRPr="002B02B6" w:rsidRDefault="00C96646" w:rsidP="00C96646">
            <w:pPr>
              <w:rPr>
                <w:rFonts w:ascii="Times New Roman" w:hAnsi="Times New Roman"/>
                <w:color w:val="0D0D0D"/>
                <w:szCs w:val="24"/>
                <w:lang w:eastAsia="en-GB"/>
              </w:rPr>
            </w:pPr>
            <w:r w:rsidRPr="002B02B6">
              <w:rPr>
                <w:rFonts w:cs="Arial"/>
                <w:b/>
                <w:bCs/>
                <w:color w:val="000000"/>
                <w:lang w:eastAsia="en-GB"/>
              </w:rPr>
              <w:t>Inner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485D4386" w14:textId="77777777" w:rsidR="00C96646" w:rsidRPr="002B02B6" w:rsidRDefault="00C96646" w:rsidP="00C96646">
            <w:pPr>
              <w:rPr>
                <w:rFonts w:ascii="Times New Roman" w:hAnsi="Times New Roman"/>
                <w:color w:val="0D0D0D"/>
                <w:szCs w:val="24"/>
                <w:lang w:eastAsia="en-GB"/>
              </w:rPr>
            </w:pPr>
            <w:r w:rsidRPr="002B02B6">
              <w:rPr>
                <w:rFonts w:cs="Arial"/>
                <w:b/>
                <w:bCs/>
                <w:color w:val="000000"/>
                <w:lang w:eastAsia="en-GB"/>
              </w:rPr>
              <w:t>Outer London Area</w:t>
            </w:r>
            <w:r w:rsidRPr="002B02B6">
              <w:rPr>
                <w:rFonts w:cs="Arial"/>
                <w:color w:val="000000"/>
                <w:lang w:eastAsia="en-GB"/>
              </w:rPr>
              <w:t> </w:t>
            </w:r>
          </w:p>
        </w:tc>
        <w:tc>
          <w:tcPr>
            <w:tcW w:w="1065" w:type="dxa"/>
            <w:tcBorders>
              <w:top w:val="single" w:sz="6" w:space="0" w:color="auto"/>
              <w:left w:val="nil"/>
              <w:bottom w:val="single" w:sz="6" w:space="0" w:color="auto"/>
              <w:right w:val="single" w:sz="6" w:space="0" w:color="auto"/>
            </w:tcBorders>
            <w:shd w:val="clear" w:color="auto" w:fill="DBE5F1"/>
            <w:vAlign w:val="center"/>
            <w:hideMark/>
          </w:tcPr>
          <w:p w14:paraId="3CF434BC" w14:textId="77777777" w:rsidR="00C96646" w:rsidRPr="002B02B6" w:rsidRDefault="00C96646" w:rsidP="00C96646">
            <w:pPr>
              <w:rPr>
                <w:rFonts w:ascii="Times New Roman" w:hAnsi="Times New Roman"/>
                <w:color w:val="0D0D0D"/>
                <w:szCs w:val="24"/>
                <w:lang w:eastAsia="en-GB"/>
              </w:rPr>
            </w:pPr>
            <w:r w:rsidRPr="002B02B6">
              <w:rPr>
                <w:rFonts w:cs="Arial"/>
                <w:b/>
                <w:bCs/>
                <w:color w:val="000000"/>
                <w:lang w:eastAsia="en-GB"/>
              </w:rPr>
              <w:t>Fringe Area</w:t>
            </w:r>
            <w:r w:rsidRPr="002B02B6">
              <w:rPr>
                <w:rFonts w:cs="Arial"/>
                <w:color w:val="000000"/>
                <w:lang w:eastAsia="en-GB"/>
              </w:rPr>
              <w:t> </w:t>
            </w:r>
          </w:p>
        </w:tc>
      </w:tr>
      <w:tr w:rsidR="00C96646" w:rsidRPr="002B02B6" w14:paraId="5B6380C0" w14:textId="77777777" w:rsidTr="00C96646">
        <w:trPr>
          <w:trHeight w:val="300"/>
        </w:trPr>
        <w:tc>
          <w:tcPr>
            <w:tcW w:w="3308" w:type="dxa"/>
            <w:tcBorders>
              <w:top w:val="nil"/>
              <w:left w:val="single" w:sz="6" w:space="0" w:color="auto"/>
              <w:bottom w:val="single" w:sz="6" w:space="0" w:color="auto"/>
              <w:right w:val="single" w:sz="6" w:space="0" w:color="auto"/>
            </w:tcBorders>
            <w:shd w:val="clear" w:color="auto" w:fill="auto"/>
            <w:vAlign w:val="bottom"/>
            <w:hideMark/>
          </w:tcPr>
          <w:p w14:paraId="0290ABCC" w14:textId="77777777" w:rsidR="00C96646" w:rsidRPr="002B02B6" w:rsidRDefault="00C96646" w:rsidP="00C96646">
            <w:pPr>
              <w:rPr>
                <w:rFonts w:ascii="Times New Roman" w:hAnsi="Times New Roman"/>
                <w:color w:val="0D0D0D"/>
                <w:szCs w:val="24"/>
                <w:lang w:eastAsia="en-GB"/>
              </w:rPr>
            </w:pPr>
            <w:r>
              <w:rPr>
                <w:rFonts w:cs="Arial"/>
                <w:color w:val="000000"/>
                <w:lang w:eastAsia="en-GB"/>
              </w:rPr>
              <w:t>36h cost (2 years of training)</w:t>
            </w:r>
            <w:r w:rsidRPr="002B02B6">
              <w:rPr>
                <w:rFonts w:cs="Arial"/>
                <w:color w:val="000000"/>
                <w:lang w:eastAsia="en-GB"/>
              </w:rPr>
              <w:t> </w:t>
            </w:r>
          </w:p>
        </w:tc>
        <w:tc>
          <w:tcPr>
            <w:tcW w:w="1539" w:type="dxa"/>
            <w:tcBorders>
              <w:top w:val="nil"/>
              <w:left w:val="nil"/>
              <w:bottom w:val="single" w:sz="6" w:space="0" w:color="auto"/>
              <w:right w:val="single" w:sz="6" w:space="0" w:color="auto"/>
            </w:tcBorders>
            <w:shd w:val="clear" w:color="auto" w:fill="auto"/>
            <w:vAlign w:val="bottom"/>
            <w:hideMark/>
          </w:tcPr>
          <w:p w14:paraId="031B51DB" w14:textId="77777777" w:rsidR="00C96646" w:rsidRPr="002B02B6" w:rsidRDefault="00C96646" w:rsidP="00C96646">
            <w:pPr>
              <w:jc w:val="right"/>
              <w:rPr>
                <w:rFonts w:ascii="Times New Roman" w:hAnsi="Times New Roman"/>
                <w:color w:val="0D0D0D"/>
                <w:szCs w:val="24"/>
                <w:lang w:eastAsia="en-GB"/>
              </w:rPr>
            </w:pPr>
            <w:r>
              <w:rPr>
                <w:color w:val="000000"/>
                <w:lang w:eastAsia="en-GB"/>
              </w:rPr>
              <w:t>£1576.10</w:t>
            </w:r>
          </w:p>
        </w:tc>
        <w:tc>
          <w:tcPr>
            <w:tcW w:w="1189" w:type="dxa"/>
            <w:tcBorders>
              <w:top w:val="nil"/>
              <w:left w:val="nil"/>
              <w:bottom w:val="single" w:sz="6" w:space="0" w:color="auto"/>
              <w:right w:val="single" w:sz="6" w:space="0" w:color="auto"/>
            </w:tcBorders>
            <w:shd w:val="clear" w:color="auto" w:fill="auto"/>
            <w:vAlign w:val="bottom"/>
            <w:hideMark/>
          </w:tcPr>
          <w:p w14:paraId="4A20007F" w14:textId="77777777" w:rsidR="00C96646" w:rsidRPr="002B02B6" w:rsidRDefault="00C96646" w:rsidP="00C96646">
            <w:pPr>
              <w:jc w:val="right"/>
              <w:rPr>
                <w:rFonts w:ascii="Times New Roman" w:hAnsi="Times New Roman"/>
                <w:color w:val="0D0D0D"/>
                <w:szCs w:val="24"/>
                <w:lang w:eastAsia="en-GB"/>
              </w:rPr>
            </w:pPr>
            <w:r>
              <w:rPr>
                <w:color w:val="000000"/>
                <w:lang w:eastAsia="en-GB"/>
              </w:rPr>
              <w:t>£1929.24</w:t>
            </w:r>
          </w:p>
        </w:tc>
        <w:tc>
          <w:tcPr>
            <w:tcW w:w="1189" w:type="dxa"/>
            <w:tcBorders>
              <w:top w:val="nil"/>
              <w:left w:val="nil"/>
              <w:bottom w:val="single" w:sz="6" w:space="0" w:color="auto"/>
              <w:right w:val="single" w:sz="6" w:space="0" w:color="auto"/>
            </w:tcBorders>
            <w:shd w:val="clear" w:color="auto" w:fill="auto"/>
            <w:vAlign w:val="bottom"/>
            <w:hideMark/>
          </w:tcPr>
          <w:p w14:paraId="48BFF2FB" w14:textId="77777777" w:rsidR="00C96646" w:rsidRPr="002B02B6" w:rsidRDefault="00C96646" w:rsidP="00C96646">
            <w:pPr>
              <w:jc w:val="right"/>
              <w:rPr>
                <w:rFonts w:ascii="Times New Roman" w:hAnsi="Times New Roman"/>
                <w:color w:val="0D0D0D"/>
                <w:szCs w:val="24"/>
                <w:lang w:eastAsia="en-GB"/>
              </w:rPr>
            </w:pPr>
            <w:r>
              <w:rPr>
                <w:color w:val="000000"/>
                <w:lang w:eastAsia="en-GB"/>
              </w:rPr>
              <w:t>£1737.14</w:t>
            </w:r>
          </w:p>
        </w:tc>
        <w:tc>
          <w:tcPr>
            <w:tcW w:w="1065" w:type="dxa"/>
            <w:tcBorders>
              <w:top w:val="nil"/>
              <w:left w:val="nil"/>
              <w:bottom w:val="single" w:sz="6" w:space="0" w:color="auto"/>
              <w:right w:val="single" w:sz="6" w:space="0" w:color="auto"/>
            </w:tcBorders>
            <w:shd w:val="clear" w:color="auto" w:fill="auto"/>
            <w:vAlign w:val="bottom"/>
            <w:hideMark/>
          </w:tcPr>
          <w:p w14:paraId="06D95A22" w14:textId="77777777" w:rsidR="00C96646" w:rsidRPr="002B02B6" w:rsidRDefault="00C96646" w:rsidP="00C96646">
            <w:pPr>
              <w:jc w:val="right"/>
              <w:rPr>
                <w:rFonts w:ascii="Times New Roman" w:hAnsi="Times New Roman"/>
                <w:color w:val="0D0D0D"/>
                <w:szCs w:val="24"/>
                <w:lang w:eastAsia="en-GB"/>
              </w:rPr>
            </w:pPr>
            <w:r>
              <w:rPr>
                <w:color w:val="000000"/>
                <w:lang w:eastAsia="en-GB"/>
              </w:rPr>
              <w:t>£1623.24</w:t>
            </w:r>
          </w:p>
        </w:tc>
      </w:tr>
    </w:tbl>
    <w:p w14:paraId="4EFF0E3F" w14:textId="6B4E6EBF" w:rsidR="005A256A" w:rsidRDefault="005A256A" w:rsidP="00C96646">
      <w:pPr>
        <w:widowControl/>
        <w:overflowPunct/>
        <w:autoSpaceDE/>
        <w:autoSpaceDN/>
        <w:adjustRightInd/>
        <w:spacing w:before="100" w:beforeAutospacing="1" w:after="240"/>
        <w:textAlignment w:val="auto"/>
        <w:rPr>
          <w:rFonts w:cs="Arial"/>
          <w:szCs w:val="24"/>
          <w:lang w:eastAsia="en-GB"/>
        </w:rPr>
      </w:pPr>
      <w:r w:rsidRPr="00D434AB">
        <w:rPr>
          <w:rFonts w:cs="Arial"/>
          <w:szCs w:val="24"/>
          <w:lang w:eastAsia="en-GB"/>
        </w:rPr>
        <w:t xml:space="preserve">36 hours of backfill time over two years per mentor. </w:t>
      </w:r>
    </w:p>
    <w:p w14:paraId="21EAD3FB" w14:textId="43969FEF" w:rsidR="00DA7BE9" w:rsidRPr="00DA7BE9" w:rsidRDefault="00DA7BE9" w:rsidP="00F15577">
      <w:pPr>
        <w:pStyle w:val="DeptBullets"/>
        <w:tabs>
          <w:tab w:val="clear" w:pos="720"/>
        </w:tabs>
        <w:spacing w:after="0"/>
        <w:ind w:left="360" w:firstLine="0"/>
      </w:pPr>
    </w:p>
    <w:p w14:paraId="5CBDFE10" w14:textId="77777777" w:rsidR="00C96646" w:rsidRDefault="00C96646" w:rsidP="00C96646">
      <w:pPr>
        <w:pStyle w:val="DeptBullets"/>
        <w:tabs>
          <w:tab w:val="clear" w:pos="720"/>
        </w:tabs>
        <w:spacing w:after="0"/>
        <w:ind w:left="1440" w:firstLine="0"/>
      </w:pPr>
    </w:p>
    <w:p w14:paraId="4B2F242B" w14:textId="77777777" w:rsidR="00C96646" w:rsidRDefault="00C96646" w:rsidP="00C96646">
      <w:pPr>
        <w:pStyle w:val="DeptBullets"/>
        <w:tabs>
          <w:tab w:val="clear" w:pos="720"/>
        </w:tabs>
        <w:spacing w:after="0"/>
        <w:ind w:left="1440" w:firstLine="0"/>
      </w:pPr>
    </w:p>
    <w:p w14:paraId="7E1997B6" w14:textId="77777777" w:rsidR="00C96646" w:rsidRDefault="00C96646" w:rsidP="00C96646">
      <w:pPr>
        <w:pStyle w:val="DeptBullets"/>
        <w:tabs>
          <w:tab w:val="clear" w:pos="720"/>
        </w:tabs>
        <w:spacing w:after="0"/>
        <w:ind w:left="1440" w:firstLine="0"/>
      </w:pPr>
    </w:p>
    <w:p w14:paraId="013B695A" w14:textId="77777777" w:rsidR="00C96646" w:rsidRDefault="00C96646" w:rsidP="00C96646">
      <w:pPr>
        <w:pStyle w:val="DeptBullets"/>
        <w:tabs>
          <w:tab w:val="clear" w:pos="720"/>
        </w:tabs>
        <w:spacing w:after="0"/>
        <w:ind w:left="1440" w:firstLine="0"/>
      </w:pPr>
    </w:p>
    <w:p w14:paraId="02A7A1BD" w14:textId="77777777" w:rsidR="00C96646" w:rsidRDefault="00C96646" w:rsidP="00C96646">
      <w:pPr>
        <w:pStyle w:val="DeptBullets"/>
        <w:tabs>
          <w:tab w:val="clear" w:pos="720"/>
        </w:tabs>
        <w:spacing w:after="0"/>
        <w:ind w:left="1440" w:firstLine="0"/>
      </w:pPr>
    </w:p>
    <w:p w14:paraId="059FAFAB" w14:textId="77777777" w:rsidR="00C96646" w:rsidRDefault="00C96646" w:rsidP="00C96646">
      <w:pPr>
        <w:pStyle w:val="DeptBullets"/>
        <w:tabs>
          <w:tab w:val="clear" w:pos="720"/>
        </w:tabs>
        <w:spacing w:after="0"/>
        <w:ind w:left="1440" w:firstLine="0"/>
      </w:pPr>
    </w:p>
    <w:tbl>
      <w:tblPr>
        <w:tblpPr w:leftFromText="180" w:rightFromText="180" w:vertAnchor="text" w:horzAnchor="page" w:tblpX="2087" w:tblpY="1346"/>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1539"/>
        <w:gridCol w:w="1189"/>
        <w:gridCol w:w="1189"/>
        <w:gridCol w:w="1065"/>
      </w:tblGrid>
      <w:tr w:rsidR="00C96646" w:rsidRPr="002B02B6" w14:paraId="175D8CDE" w14:textId="77777777" w:rsidTr="00C96646">
        <w:trPr>
          <w:trHeight w:val="585"/>
        </w:trPr>
        <w:tc>
          <w:tcPr>
            <w:tcW w:w="3308"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4E366D9" w14:textId="77777777" w:rsidR="00C96646" w:rsidRPr="002B02B6" w:rsidRDefault="00C96646" w:rsidP="00C96646">
            <w:pPr>
              <w:rPr>
                <w:rFonts w:ascii="Times New Roman" w:hAnsi="Times New Roman"/>
                <w:color w:val="0D0D0D"/>
                <w:szCs w:val="24"/>
                <w:lang w:eastAsia="en-GB"/>
              </w:rPr>
            </w:pPr>
            <w:r w:rsidRPr="002B02B6">
              <w:rPr>
                <w:rFonts w:cs="Arial"/>
                <w:b/>
                <w:bCs/>
                <w:color w:val="000000"/>
                <w:lang w:eastAsia="en-GB"/>
              </w:rPr>
              <w:t>Mentor's Unit Cost</w:t>
            </w:r>
            <w:r w:rsidRPr="002B02B6">
              <w:rPr>
                <w:rFonts w:cs="Arial"/>
                <w:color w:val="000000"/>
                <w:lang w:eastAsia="en-GB"/>
              </w:rPr>
              <w:t> (year 2)</w:t>
            </w:r>
          </w:p>
        </w:tc>
        <w:tc>
          <w:tcPr>
            <w:tcW w:w="1539" w:type="dxa"/>
            <w:tcBorders>
              <w:top w:val="single" w:sz="6" w:space="0" w:color="auto"/>
              <w:left w:val="nil"/>
              <w:bottom w:val="single" w:sz="6" w:space="0" w:color="auto"/>
              <w:right w:val="single" w:sz="6" w:space="0" w:color="auto"/>
            </w:tcBorders>
            <w:shd w:val="clear" w:color="auto" w:fill="DBE5F1"/>
            <w:vAlign w:val="center"/>
            <w:hideMark/>
          </w:tcPr>
          <w:p w14:paraId="52ED7BA8" w14:textId="77777777" w:rsidR="00C96646" w:rsidRPr="002B02B6" w:rsidRDefault="00C96646" w:rsidP="00C96646">
            <w:pPr>
              <w:rPr>
                <w:rFonts w:ascii="Times New Roman" w:hAnsi="Times New Roman"/>
                <w:color w:val="0D0D0D"/>
                <w:szCs w:val="24"/>
                <w:lang w:eastAsia="en-GB"/>
              </w:rPr>
            </w:pPr>
            <w:r w:rsidRPr="002B02B6">
              <w:rPr>
                <w:rFonts w:cs="Arial"/>
                <w:b/>
                <w:bCs/>
                <w:color w:val="000000"/>
                <w:lang w:eastAsia="en-GB"/>
              </w:rPr>
              <w:t>England (excluding the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7BADBA5D" w14:textId="77777777" w:rsidR="00C96646" w:rsidRPr="002B02B6" w:rsidRDefault="00C96646" w:rsidP="00C96646">
            <w:pPr>
              <w:rPr>
                <w:rFonts w:ascii="Times New Roman" w:hAnsi="Times New Roman"/>
                <w:color w:val="0D0D0D"/>
                <w:szCs w:val="24"/>
                <w:lang w:eastAsia="en-GB"/>
              </w:rPr>
            </w:pPr>
            <w:r w:rsidRPr="002B02B6">
              <w:rPr>
                <w:rFonts w:cs="Arial"/>
                <w:b/>
                <w:bCs/>
                <w:color w:val="000000"/>
                <w:lang w:eastAsia="en-GB"/>
              </w:rPr>
              <w:t>Inner London Area</w:t>
            </w:r>
            <w:r w:rsidRPr="002B02B6">
              <w:rPr>
                <w:rFonts w:cs="Arial"/>
                <w:color w:val="000000"/>
                <w:lang w:eastAsia="en-GB"/>
              </w:rPr>
              <w:t> </w:t>
            </w:r>
          </w:p>
        </w:tc>
        <w:tc>
          <w:tcPr>
            <w:tcW w:w="1189" w:type="dxa"/>
            <w:tcBorders>
              <w:top w:val="single" w:sz="6" w:space="0" w:color="auto"/>
              <w:left w:val="nil"/>
              <w:bottom w:val="single" w:sz="6" w:space="0" w:color="auto"/>
              <w:right w:val="single" w:sz="6" w:space="0" w:color="auto"/>
            </w:tcBorders>
            <w:shd w:val="clear" w:color="auto" w:fill="DBE5F1"/>
            <w:vAlign w:val="center"/>
            <w:hideMark/>
          </w:tcPr>
          <w:p w14:paraId="52D375EC" w14:textId="77777777" w:rsidR="00C96646" w:rsidRPr="002B02B6" w:rsidRDefault="00C96646" w:rsidP="00C96646">
            <w:pPr>
              <w:rPr>
                <w:rFonts w:ascii="Times New Roman" w:hAnsi="Times New Roman"/>
                <w:color w:val="0D0D0D"/>
                <w:szCs w:val="24"/>
                <w:lang w:eastAsia="en-GB"/>
              </w:rPr>
            </w:pPr>
            <w:r w:rsidRPr="002B02B6">
              <w:rPr>
                <w:rFonts w:cs="Arial"/>
                <w:b/>
                <w:bCs/>
                <w:color w:val="000000"/>
                <w:lang w:eastAsia="en-GB"/>
              </w:rPr>
              <w:t>Outer London Area</w:t>
            </w:r>
            <w:r w:rsidRPr="002B02B6">
              <w:rPr>
                <w:rFonts w:cs="Arial"/>
                <w:color w:val="000000"/>
                <w:lang w:eastAsia="en-GB"/>
              </w:rPr>
              <w:t> </w:t>
            </w:r>
          </w:p>
        </w:tc>
        <w:tc>
          <w:tcPr>
            <w:tcW w:w="1065" w:type="dxa"/>
            <w:tcBorders>
              <w:top w:val="single" w:sz="6" w:space="0" w:color="auto"/>
              <w:left w:val="nil"/>
              <w:bottom w:val="single" w:sz="6" w:space="0" w:color="auto"/>
              <w:right w:val="single" w:sz="6" w:space="0" w:color="auto"/>
            </w:tcBorders>
            <w:shd w:val="clear" w:color="auto" w:fill="DBE5F1"/>
            <w:vAlign w:val="center"/>
            <w:hideMark/>
          </w:tcPr>
          <w:p w14:paraId="155FCD8E" w14:textId="77777777" w:rsidR="00C96646" w:rsidRPr="002B02B6" w:rsidRDefault="00C96646" w:rsidP="00C96646">
            <w:pPr>
              <w:rPr>
                <w:rFonts w:ascii="Times New Roman" w:hAnsi="Times New Roman"/>
                <w:color w:val="0D0D0D"/>
                <w:szCs w:val="24"/>
                <w:lang w:eastAsia="en-GB"/>
              </w:rPr>
            </w:pPr>
            <w:r w:rsidRPr="002B02B6">
              <w:rPr>
                <w:rFonts w:cs="Arial"/>
                <w:b/>
                <w:bCs/>
                <w:color w:val="000000"/>
                <w:lang w:eastAsia="en-GB"/>
              </w:rPr>
              <w:t>Fringe Area</w:t>
            </w:r>
            <w:r w:rsidRPr="002B02B6">
              <w:rPr>
                <w:rFonts w:cs="Arial"/>
                <w:color w:val="000000"/>
                <w:lang w:eastAsia="en-GB"/>
              </w:rPr>
              <w:t> </w:t>
            </w:r>
          </w:p>
        </w:tc>
      </w:tr>
      <w:tr w:rsidR="00C96646" w:rsidRPr="002B02B6" w14:paraId="126A90AE" w14:textId="77777777" w:rsidTr="00C96646">
        <w:trPr>
          <w:trHeight w:val="300"/>
        </w:trPr>
        <w:tc>
          <w:tcPr>
            <w:tcW w:w="3308" w:type="dxa"/>
            <w:tcBorders>
              <w:top w:val="nil"/>
              <w:left w:val="single" w:sz="6" w:space="0" w:color="auto"/>
              <w:bottom w:val="single" w:sz="6" w:space="0" w:color="auto"/>
              <w:right w:val="single" w:sz="6" w:space="0" w:color="auto"/>
            </w:tcBorders>
            <w:shd w:val="clear" w:color="auto" w:fill="auto"/>
            <w:vAlign w:val="bottom"/>
            <w:hideMark/>
          </w:tcPr>
          <w:p w14:paraId="7AF1D0AD" w14:textId="77777777" w:rsidR="00C96646" w:rsidRPr="002B02B6" w:rsidRDefault="00C96646" w:rsidP="00C96646">
            <w:pPr>
              <w:rPr>
                <w:rFonts w:ascii="Times New Roman" w:hAnsi="Times New Roman"/>
                <w:color w:val="0D0D0D"/>
                <w:szCs w:val="24"/>
                <w:lang w:eastAsia="en-GB"/>
              </w:rPr>
            </w:pPr>
            <w:r w:rsidRPr="002B02B6">
              <w:rPr>
                <w:rFonts w:cs="Arial"/>
                <w:color w:val="000000"/>
                <w:lang w:eastAsia="en-GB"/>
              </w:rPr>
              <w:t>Rounded Mentor Unit cost </w:t>
            </w:r>
          </w:p>
        </w:tc>
        <w:tc>
          <w:tcPr>
            <w:tcW w:w="1539" w:type="dxa"/>
            <w:tcBorders>
              <w:top w:val="nil"/>
              <w:left w:val="nil"/>
              <w:bottom w:val="single" w:sz="6" w:space="0" w:color="auto"/>
              <w:right w:val="single" w:sz="6" w:space="0" w:color="auto"/>
            </w:tcBorders>
            <w:shd w:val="clear" w:color="auto" w:fill="auto"/>
            <w:vAlign w:val="bottom"/>
            <w:hideMark/>
          </w:tcPr>
          <w:p w14:paraId="29DF673F" w14:textId="77777777" w:rsidR="00C96646" w:rsidRPr="002B02B6" w:rsidRDefault="00C96646" w:rsidP="00C96646">
            <w:pPr>
              <w:jc w:val="right"/>
              <w:rPr>
                <w:rFonts w:ascii="Times New Roman" w:hAnsi="Times New Roman"/>
                <w:color w:val="0D0D0D"/>
                <w:szCs w:val="24"/>
                <w:lang w:eastAsia="en-GB"/>
              </w:rPr>
            </w:pPr>
            <w:r w:rsidRPr="002B02B6">
              <w:rPr>
                <w:color w:val="000000"/>
                <w:lang w:eastAsia="en-GB"/>
              </w:rPr>
              <w:t>£900 </w:t>
            </w:r>
          </w:p>
        </w:tc>
        <w:tc>
          <w:tcPr>
            <w:tcW w:w="1189" w:type="dxa"/>
            <w:tcBorders>
              <w:top w:val="nil"/>
              <w:left w:val="nil"/>
              <w:bottom w:val="single" w:sz="6" w:space="0" w:color="auto"/>
              <w:right w:val="single" w:sz="6" w:space="0" w:color="auto"/>
            </w:tcBorders>
            <w:shd w:val="clear" w:color="auto" w:fill="auto"/>
            <w:vAlign w:val="bottom"/>
            <w:hideMark/>
          </w:tcPr>
          <w:p w14:paraId="7A88B306" w14:textId="77777777" w:rsidR="00C96646" w:rsidRPr="002B02B6" w:rsidRDefault="00C96646" w:rsidP="00C96646">
            <w:pPr>
              <w:jc w:val="right"/>
              <w:rPr>
                <w:rFonts w:ascii="Times New Roman" w:hAnsi="Times New Roman"/>
                <w:color w:val="0D0D0D"/>
                <w:szCs w:val="24"/>
                <w:lang w:eastAsia="en-GB"/>
              </w:rPr>
            </w:pPr>
            <w:r w:rsidRPr="002B02B6">
              <w:rPr>
                <w:color w:val="000000"/>
                <w:lang w:eastAsia="en-GB"/>
              </w:rPr>
              <w:t>£1,100 </w:t>
            </w:r>
          </w:p>
        </w:tc>
        <w:tc>
          <w:tcPr>
            <w:tcW w:w="1189" w:type="dxa"/>
            <w:tcBorders>
              <w:top w:val="nil"/>
              <w:left w:val="nil"/>
              <w:bottom w:val="single" w:sz="6" w:space="0" w:color="auto"/>
              <w:right w:val="single" w:sz="6" w:space="0" w:color="auto"/>
            </w:tcBorders>
            <w:shd w:val="clear" w:color="auto" w:fill="auto"/>
            <w:vAlign w:val="bottom"/>
            <w:hideMark/>
          </w:tcPr>
          <w:p w14:paraId="6948F6E5" w14:textId="77777777" w:rsidR="00C96646" w:rsidRPr="002B02B6" w:rsidRDefault="00C96646" w:rsidP="00C96646">
            <w:pPr>
              <w:jc w:val="right"/>
              <w:rPr>
                <w:rFonts w:ascii="Times New Roman" w:hAnsi="Times New Roman"/>
                <w:color w:val="0D0D0D"/>
                <w:szCs w:val="24"/>
                <w:lang w:eastAsia="en-GB"/>
              </w:rPr>
            </w:pPr>
            <w:r w:rsidRPr="002B02B6">
              <w:rPr>
                <w:color w:val="000000"/>
                <w:lang w:eastAsia="en-GB"/>
              </w:rPr>
              <w:t>£1,000 </w:t>
            </w:r>
          </w:p>
        </w:tc>
        <w:tc>
          <w:tcPr>
            <w:tcW w:w="1065" w:type="dxa"/>
            <w:tcBorders>
              <w:top w:val="nil"/>
              <w:left w:val="nil"/>
              <w:bottom w:val="single" w:sz="6" w:space="0" w:color="auto"/>
              <w:right w:val="single" w:sz="6" w:space="0" w:color="auto"/>
            </w:tcBorders>
            <w:shd w:val="clear" w:color="auto" w:fill="auto"/>
            <w:vAlign w:val="bottom"/>
            <w:hideMark/>
          </w:tcPr>
          <w:p w14:paraId="2F34AA00" w14:textId="77777777" w:rsidR="00C96646" w:rsidRPr="002B02B6" w:rsidRDefault="00C96646" w:rsidP="00C96646">
            <w:pPr>
              <w:jc w:val="right"/>
              <w:rPr>
                <w:rFonts w:ascii="Times New Roman" w:hAnsi="Times New Roman"/>
                <w:color w:val="0D0D0D"/>
                <w:szCs w:val="24"/>
                <w:lang w:eastAsia="en-GB"/>
              </w:rPr>
            </w:pPr>
            <w:r w:rsidRPr="002B02B6">
              <w:rPr>
                <w:color w:val="000000"/>
                <w:lang w:eastAsia="en-GB"/>
              </w:rPr>
              <w:t>£900 </w:t>
            </w:r>
          </w:p>
        </w:tc>
      </w:tr>
    </w:tbl>
    <w:p w14:paraId="1538A700" w14:textId="0CF71A2C" w:rsidR="00C96646" w:rsidRPr="00DA7BE9" w:rsidRDefault="00C96646" w:rsidP="00C96646">
      <w:pPr>
        <w:pStyle w:val="DeptBullets"/>
        <w:tabs>
          <w:tab w:val="clear" w:pos="720"/>
        </w:tabs>
        <w:spacing w:after="0"/>
      </w:pPr>
      <w:r>
        <w:t>The follow table shows the amount</w:t>
      </w:r>
      <w:r w:rsidR="00DA7BE9" w:rsidRPr="00DA7BE9">
        <w:t xml:space="preserve"> depending on region will be paid to state schools providing</w:t>
      </w:r>
      <w:r>
        <w:t xml:space="preserve"> </w:t>
      </w:r>
      <w:r w:rsidR="00DA7BE9" w:rsidRPr="00DA7BE9">
        <w:t>statutory induction and is funding for mentors to spend with ECTs in the second year of induction. It is available to all state schools regardless of which delivery approach they choose to provide an ECF based induction.</w:t>
      </w:r>
      <w:r>
        <w:br/>
      </w:r>
      <w:r>
        <w:br/>
      </w:r>
    </w:p>
    <w:p w14:paraId="65BDC327" w14:textId="2CAD739A" w:rsidR="00DA7BE9" w:rsidRPr="00DA7BE9" w:rsidRDefault="00DA7BE9" w:rsidP="00C96646">
      <w:pPr>
        <w:pStyle w:val="DeptBullets"/>
        <w:tabs>
          <w:tab w:val="clear" w:pos="720"/>
        </w:tabs>
        <w:spacing w:after="0"/>
        <w:ind w:left="0" w:firstLine="0"/>
      </w:pPr>
    </w:p>
    <w:p w14:paraId="0269DDD7" w14:textId="3E7A193A" w:rsidR="00FB7006" w:rsidRDefault="00C96646" w:rsidP="00F15577">
      <w:pPr>
        <w:pStyle w:val="DeptBullets"/>
        <w:tabs>
          <w:tab w:val="clear" w:pos="720"/>
        </w:tabs>
        <w:spacing w:after="0"/>
        <w:ind w:left="360" w:firstLine="0"/>
        <w:rPr>
          <w:b/>
          <w:bCs/>
        </w:rPr>
      </w:pPr>
      <w:r>
        <w:rPr>
          <w:b/>
          <w:bCs/>
        </w:rPr>
        <w:br/>
      </w:r>
      <w:r>
        <w:rPr>
          <w:b/>
          <w:bCs/>
        </w:rPr>
        <w:br/>
      </w:r>
      <w:r>
        <w:rPr>
          <w:b/>
          <w:bCs/>
        </w:rPr>
        <w:br/>
      </w:r>
      <w:r>
        <w:rPr>
          <w:b/>
          <w:bCs/>
        </w:rPr>
        <w:br/>
      </w:r>
      <w:r>
        <w:rPr>
          <w:b/>
          <w:bCs/>
        </w:rPr>
        <w:br/>
      </w:r>
      <w:r>
        <w:rPr>
          <w:b/>
          <w:bCs/>
        </w:rPr>
        <w:br/>
      </w:r>
    </w:p>
    <w:p w14:paraId="3F55EA12" w14:textId="77777777" w:rsidR="00FB7006" w:rsidRPr="00FB7006" w:rsidRDefault="00FB7006" w:rsidP="00F15577">
      <w:pPr>
        <w:pStyle w:val="DeptBullets"/>
        <w:tabs>
          <w:tab w:val="clear" w:pos="720"/>
        </w:tabs>
        <w:spacing w:after="0"/>
        <w:ind w:left="360" w:firstLine="0"/>
        <w:rPr>
          <w:b/>
          <w:bCs/>
        </w:rPr>
      </w:pPr>
    </w:p>
    <w:p w14:paraId="183AA8F0" w14:textId="5992148A" w:rsidR="00F222EB" w:rsidRPr="00A76544" w:rsidRDefault="00FB7006" w:rsidP="00F15577">
      <w:pPr>
        <w:pStyle w:val="DeptBullets"/>
        <w:tabs>
          <w:tab w:val="clear" w:pos="720"/>
        </w:tabs>
        <w:spacing w:after="0"/>
        <w:ind w:left="360" w:firstLine="0"/>
        <w:rPr>
          <w:b/>
          <w:bCs/>
        </w:rPr>
      </w:pPr>
      <w:r w:rsidRPr="00A76544">
        <w:rPr>
          <w:b/>
          <w:bCs/>
        </w:rPr>
        <w:t xml:space="preserve">Q: </w:t>
      </w:r>
      <w:r w:rsidR="00F222EB" w:rsidRPr="00A76544">
        <w:rPr>
          <w:b/>
          <w:bCs/>
        </w:rPr>
        <w:t>Do the independent schools get funding for the 5% timetable?</w:t>
      </w:r>
    </w:p>
    <w:p w14:paraId="542ACFDE" w14:textId="17F0B273" w:rsidR="00FB7006" w:rsidRDefault="00FB7006" w:rsidP="00F15577">
      <w:pPr>
        <w:pStyle w:val="DeptBullets"/>
        <w:tabs>
          <w:tab w:val="clear" w:pos="720"/>
        </w:tabs>
        <w:spacing w:after="0"/>
        <w:ind w:left="360" w:firstLine="0"/>
        <w:rPr>
          <w:b/>
          <w:bCs/>
        </w:rPr>
      </w:pPr>
      <w:r w:rsidRPr="00A76544">
        <w:rPr>
          <w:b/>
          <w:bCs/>
        </w:rPr>
        <w:t>A:</w:t>
      </w:r>
      <w:r w:rsidR="00A76544" w:rsidRPr="00A76544">
        <w:rPr>
          <w:b/>
          <w:bCs/>
        </w:rPr>
        <w:t xml:space="preserve"> </w:t>
      </w:r>
      <w:r w:rsidR="00A76544" w:rsidRPr="00A76544">
        <w:t>Funding is for state-funded schools only. Independent schools will not receive any additional funding.</w:t>
      </w:r>
    </w:p>
    <w:p w14:paraId="3BA1C32C" w14:textId="77777777" w:rsidR="00FB7006" w:rsidRPr="00FB7006" w:rsidRDefault="00FB7006" w:rsidP="00F15577">
      <w:pPr>
        <w:pStyle w:val="DeptBullets"/>
        <w:tabs>
          <w:tab w:val="clear" w:pos="720"/>
        </w:tabs>
        <w:spacing w:after="0"/>
        <w:ind w:left="360" w:firstLine="0"/>
        <w:rPr>
          <w:b/>
          <w:bCs/>
        </w:rPr>
      </w:pPr>
    </w:p>
    <w:p w14:paraId="66C035CD" w14:textId="16FF93AC" w:rsidR="009122DB" w:rsidRPr="00682C79" w:rsidRDefault="009122DB" w:rsidP="00F15577">
      <w:pPr>
        <w:pStyle w:val="DeptBullets"/>
        <w:tabs>
          <w:tab w:val="clear" w:pos="720"/>
        </w:tabs>
        <w:spacing w:after="0"/>
        <w:ind w:left="360" w:firstLine="0"/>
        <w:rPr>
          <w:b/>
          <w:bCs/>
        </w:rPr>
      </w:pPr>
      <w:r w:rsidRPr="00682C79">
        <w:rPr>
          <w:b/>
          <w:bCs/>
        </w:rPr>
        <w:t>Q: If each of the ECF training programmes start in Sept for each Ay what happens to ECT's training that don</w:t>
      </w:r>
      <w:r w:rsidR="00796D23" w:rsidRPr="00682C79">
        <w:rPr>
          <w:b/>
          <w:bCs/>
        </w:rPr>
        <w:t>’</w:t>
      </w:r>
      <w:r w:rsidRPr="00682C79">
        <w:rPr>
          <w:b/>
          <w:bCs/>
        </w:rPr>
        <w:t>t start their induction until Spring or Summer term?</w:t>
      </w:r>
    </w:p>
    <w:p w14:paraId="6E891407" w14:textId="69F2B4DD" w:rsidR="006C6737" w:rsidRPr="00682C79" w:rsidRDefault="009122DB" w:rsidP="00F15577">
      <w:pPr>
        <w:pStyle w:val="DeptBullets"/>
        <w:tabs>
          <w:tab w:val="clear" w:pos="720"/>
        </w:tabs>
        <w:spacing w:after="0"/>
        <w:ind w:left="360" w:firstLine="0"/>
      </w:pPr>
      <w:r w:rsidRPr="00682C79">
        <w:rPr>
          <w:b/>
          <w:bCs/>
        </w:rPr>
        <w:t>A:</w:t>
      </w:r>
      <w:r w:rsidR="006C6737" w:rsidRPr="00682C79">
        <w:t xml:space="preserve"> Headteachers should ensure that ECTs can access an ECF based induction regardless of </w:t>
      </w:r>
      <w:r w:rsidR="006C6737" w:rsidRPr="00682C79">
        <w:lastRenderedPageBreak/>
        <w:t xml:space="preserve">what point in the year they start their teaching post. </w:t>
      </w:r>
    </w:p>
    <w:p w14:paraId="76DCE2BE" w14:textId="72EE0A7E" w:rsidR="009122DB" w:rsidRPr="00682C79" w:rsidRDefault="006C6737" w:rsidP="00F15577">
      <w:pPr>
        <w:pStyle w:val="DeptBullets"/>
        <w:tabs>
          <w:tab w:val="clear" w:pos="720"/>
        </w:tabs>
        <w:spacing w:after="0"/>
        <w:ind w:left="360" w:firstLine="0"/>
      </w:pPr>
      <w:r w:rsidRPr="00682C79">
        <w:t xml:space="preserve">Every lead provider will have a policy on how to support ECTs who join their school during the academic year.  It is the responsibility of the provider and its delivery partners to support mentors and ECTs in this circumstance by providing training. This means that ECTs </w:t>
      </w:r>
      <w:r w:rsidR="00AA6C74">
        <w:t>will</w:t>
      </w:r>
      <w:r w:rsidRPr="00682C79">
        <w:t xml:space="preserve"> be able to start their induction outside of the September window.</w:t>
      </w:r>
    </w:p>
    <w:p w14:paraId="12F39B19" w14:textId="77777777" w:rsidR="009122DB" w:rsidRPr="00F708E5" w:rsidRDefault="009122DB" w:rsidP="00F15577">
      <w:pPr>
        <w:pStyle w:val="DeptBullets"/>
        <w:tabs>
          <w:tab w:val="clear" w:pos="720"/>
        </w:tabs>
        <w:spacing w:after="0"/>
        <w:ind w:left="360" w:firstLine="0"/>
        <w:rPr>
          <w:b/>
          <w:bCs/>
        </w:rPr>
      </w:pPr>
    </w:p>
    <w:p w14:paraId="18180866" w14:textId="2FAEBED5" w:rsidR="00F222EB" w:rsidRPr="00586105" w:rsidRDefault="00FB7006" w:rsidP="00F15577">
      <w:pPr>
        <w:pStyle w:val="DeptBullets"/>
        <w:tabs>
          <w:tab w:val="clear" w:pos="720"/>
        </w:tabs>
        <w:spacing w:after="0"/>
        <w:ind w:left="360" w:firstLine="0"/>
        <w:rPr>
          <w:b/>
          <w:bCs/>
        </w:rPr>
      </w:pPr>
      <w:r w:rsidRPr="00586105">
        <w:rPr>
          <w:b/>
          <w:bCs/>
        </w:rPr>
        <w:t xml:space="preserve">Q: </w:t>
      </w:r>
      <w:r w:rsidR="00F222EB" w:rsidRPr="00586105">
        <w:rPr>
          <w:b/>
          <w:bCs/>
        </w:rPr>
        <w:t xml:space="preserve">Will the ECT need to be </w:t>
      </w:r>
      <w:r w:rsidR="003907EF" w:rsidRPr="00586105">
        <w:rPr>
          <w:b/>
          <w:bCs/>
        </w:rPr>
        <w:t>identified</w:t>
      </w:r>
      <w:r w:rsidR="00F222EB" w:rsidRPr="00586105">
        <w:rPr>
          <w:b/>
          <w:bCs/>
        </w:rPr>
        <w:t xml:space="preserve"> via the payroll for the Workforce </w:t>
      </w:r>
      <w:r w:rsidR="003907EF" w:rsidRPr="00586105">
        <w:rPr>
          <w:b/>
          <w:bCs/>
        </w:rPr>
        <w:t>Census</w:t>
      </w:r>
      <w:r w:rsidR="00F222EB" w:rsidRPr="00586105">
        <w:rPr>
          <w:b/>
          <w:bCs/>
        </w:rPr>
        <w:t>. Currently NQTs are not given the job title of NQTs for payroll purposes, they are a "Teacher".  If we have to set them up as an ECT 1 and then ECT 2, there will be other work to do transfer them to a "Teacher" at the beginning of year 3 if full time, if part time it will take longer.</w:t>
      </w:r>
    </w:p>
    <w:p w14:paraId="397D9673" w14:textId="41746F4F" w:rsidR="00FB7006" w:rsidRDefault="00FB7006" w:rsidP="00F15577">
      <w:pPr>
        <w:pStyle w:val="DeptBullets"/>
        <w:tabs>
          <w:tab w:val="clear" w:pos="720"/>
        </w:tabs>
        <w:spacing w:after="0"/>
        <w:ind w:left="360" w:firstLine="0"/>
        <w:rPr>
          <w:b/>
          <w:bCs/>
        </w:rPr>
      </w:pPr>
      <w:r w:rsidRPr="00586105">
        <w:rPr>
          <w:b/>
          <w:bCs/>
        </w:rPr>
        <w:t xml:space="preserve">A: </w:t>
      </w:r>
      <w:r w:rsidR="00586105" w:rsidRPr="00586105">
        <w:t>The SWC which will be released in 2021 will collect different data on ECTs to previous years. The ECT field will not be linked to a post or a contract status. Schools will need to select the ECT status by selecting the NQT1 or NQT2 fields for each staff member who qualifies. Different school systems may operate in different ways, but it is the department’s expectation that selecting this field for a staff member will be via a check box or a single click operation. This field will then need to be updated as the staff member moves through the ECT process. Contracts, Posts and payroll status should not be affected. Further guidance will be released shortly for schools on how to record the status of a part-time ECT</w:t>
      </w:r>
      <w:r w:rsidR="00586105">
        <w:t>.</w:t>
      </w:r>
    </w:p>
    <w:p w14:paraId="0B80B5F5" w14:textId="77777777" w:rsidR="00FB7006" w:rsidRPr="00FB7006" w:rsidRDefault="00FB7006" w:rsidP="00F15577">
      <w:pPr>
        <w:pStyle w:val="DeptBullets"/>
        <w:tabs>
          <w:tab w:val="clear" w:pos="720"/>
        </w:tabs>
        <w:spacing w:after="0"/>
        <w:ind w:left="360" w:firstLine="0"/>
        <w:rPr>
          <w:b/>
          <w:bCs/>
        </w:rPr>
      </w:pPr>
    </w:p>
    <w:p w14:paraId="7BEA1EE0" w14:textId="77777777" w:rsidR="00FB7006" w:rsidRPr="002F3DEE" w:rsidRDefault="00FB7006" w:rsidP="00F15577">
      <w:pPr>
        <w:pStyle w:val="DeptBullets"/>
        <w:tabs>
          <w:tab w:val="clear" w:pos="720"/>
        </w:tabs>
        <w:spacing w:after="0"/>
        <w:ind w:left="360" w:firstLine="0"/>
        <w:rPr>
          <w:b/>
          <w:bCs/>
          <w:u w:val="single"/>
        </w:rPr>
      </w:pPr>
      <w:r w:rsidRPr="002F3DEE">
        <w:rPr>
          <w:b/>
          <w:bCs/>
          <w:u w:val="single"/>
        </w:rPr>
        <w:t>Early Career Framework – DfE-funded training providers (“Full induction programme”)</w:t>
      </w:r>
    </w:p>
    <w:p w14:paraId="50B9FF46" w14:textId="77777777" w:rsidR="002F3DEE" w:rsidRPr="00A109C8" w:rsidRDefault="002F3DEE" w:rsidP="00F15577">
      <w:pPr>
        <w:pStyle w:val="DeptBullets"/>
        <w:tabs>
          <w:tab w:val="clear" w:pos="720"/>
        </w:tabs>
        <w:spacing w:after="0"/>
        <w:ind w:left="360" w:firstLine="0"/>
        <w:rPr>
          <w:b/>
          <w:bCs/>
          <w:highlight w:val="green"/>
          <w:u w:val="single"/>
        </w:rPr>
      </w:pPr>
    </w:p>
    <w:p w14:paraId="18B038E9" w14:textId="10B116DA" w:rsidR="00E82FAF" w:rsidRPr="00D174F4" w:rsidRDefault="00E82FAF" w:rsidP="00F15577">
      <w:pPr>
        <w:pStyle w:val="DeptBullets"/>
        <w:tabs>
          <w:tab w:val="clear" w:pos="720"/>
        </w:tabs>
        <w:spacing w:after="0"/>
        <w:ind w:left="360" w:firstLine="0"/>
        <w:rPr>
          <w:b/>
        </w:rPr>
      </w:pPr>
      <w:r w:rsidRPr="00D174F4">
        <w:rPr>
          <w:b/>
        </w:rPr>
        <w:t>Q: Is there a deadline for schools to sign up for a lead provider programme (FIP)? We hear that TSHs are pushing schools hard to make decisions now – they can’t because they have not employed ECTs yet.</w:t>
      </w:r>
    </w:p>
    <w:p w14:paraId="3998EA56" w14:textId="53A75C23" w:rsidR="00844607" w:rsidRPr="00851AA7" w:rsidRDefault="00E82FAF" w:rsidP="00D174F4">
      <w:pPr>
        <w:pStyle w:val="DeptBullets"/>
        <w:ind w:left="360" w:firstLine="66"/>
      </w:pPr>
      <w:r w:rsidRPr="00D174F4">
        <w:rPr>
          <w:b/>
          <w:bCs/>
        </w:rPr>
        <w:t>A:</w:t>
      </w:r>
      <w:r w:rsidR="00DC27AA" w:rsidRPr="00D174F4">
        <w:rPr>
          <w:b/>
          <w:bCs/>
        </w:rPr>
        <w:t xml:space="preserve"> </w:t>
      </w:r>
      <w:r w:rsidR="00C03ECB" w:rsidRPr="00D174F4">
        <w:t xml:space="preserve">We recognise that schools might not know whether they will be employing an ECT, or indeed the number of ECTs they will be employing, until late in the summer term or even early in the Autumn term. Therefore, </w:t>
      </w:r>
      <w:r w:rsidR="16BFE6BF" w:rsidRPr="00D174F4">
        <w:t>the intention is for</w:t>
      </w:r>
      <w:r w:rsidR="00C03ECB" w:rsidRPr="00D174F4">
        <w:t xml:space="preserve"> registration to sign up with your chosen provider will be open into the autumn term.</w:t>
      </w:r>
      <w:r w:rsidR="00C03ECB" w:rsidRPr="00D174F4">
        <w:rPr>
          <w:b/>
          <w:bCs/>
        </w:rPr>
        <w:t xml:space="preserve">   </w:t>
      </w:r>
      <w:r w:rsidR="00C03ECB" w:rsidRPr="00D174F4">
        <w:rPr>
          <w:b/>
          <w:bCs/>
        </w:rPr>
        <w:br/>
      </w:r>
      <w:r w:rsidR="00C03ECB">
        <w:rPr>
          <w:b/>
        </w:rPr>
        <w:br/>
      </w:r>
      <w:r w:rsidR="00844607" w:rsidRPr="383F7298">
        <w:t>If a school has decided to use an approved training provider or use the DfE accredited materials, they should ensure details of all early career teachers and mentors have been added to the online service before induction starts.</w:t>
      </w:r>
    </w:p>
    <w:p w14:paraId="3B83FCCA" w14:textId="19E719DB" w:rsidR="00E82FAF" w:rsidRPr="00DC27AA" w:rsidRDefault="00844607" w:rsidP="00F15577">
      <w:pPr>
        <w:pStyle w:val="DeptBullets"/>
        <w:tabs>
          <w:tab w:val="clear" w:pos="720"/>
        </w:tabs>
        <w:spacing w:after="0"/>
        <w:ind w:left="360" w:firstLine="0"/>
      </w:pPr>
      <w:r w:rsidRPr="00851AA7">
        <w:rPr>
          <w:bCs/>
        </w:rPr>
        <w:t>If a school has used the online service to indicate how they wish to proceed, they will be able to correct that option if their circumstances change.</w:t>
      </w:r>
    </w:p>
    <w:p w14:paraId="5185A96C" w14:textId="77777777" w:rsidR="00E82FAF" w:rsidRPr="00327826" w:rsidRDefault="00E82FAF" w:rsidP="00F15577">
      <w:pPr>
        <w:pStyle w:val="DeptBullets"/>
        <w:tabs>
          <w:tab w:val="clear" w:pos="720"/>
        </w:tabs>
        <w:spacing w:after="0"/>
        <w:ind w:left="360" w:firstLine="0"/>
        <w:rPr>
          <w:b/>
          <w:bCs/>
        </w:rPr>
      </w:pPr>
    </w:p>
    <w:p w14:paraId="4D3D94E0" w14:textId="65E7D4EE" w:rsidR="00F222EB" w:rsidRPr="00A06B99" w:rsidRDefault="00AE3B00" w:rsidP="00F15577">
      <w:pPr>
        <w:pStyle w:val="DeptBullets"/>
        <w:tabs>
          <w:tab w:val="clear" w:pos="720"/>
        </w:tabs>
        <w:spacing w:after="0"/>
        <w:ind w:left="360" w:firstLine="0"/>
        <w:rPr>
          <w:b/>
        </w:rPr>
      </w:pPr>
      <w:r w:rsidRPr="00A06B99">
        <w:rPr>
          <w:b/>
        </w:rPr>
        <w:t xml:space="preserve">Q: </w:t>
      </w:r>
      <w:r w:rsidR="009F4061" w:rsidRPr="00A06B99">
        <w:rPr>
          <w:b/>
        </w:rPr>
        <w:t xml:space="preserve">Who can be delivery partners and when will delivery partners be announced? </w:t>
      </w:r>
    </w:p>
    <w:p w14:paraId="7D856EBB" w14:textId="54078C4D" w:rsidR="00AE3B00" w:rsidRPr="00A109C8" w:rsidRDefault="00AE3B00" w:rsidP="00F15577">
      <w:pPr>
        <w:pStyle w:val="DeptBullets"/>
        <w:tabs>
          <w:tab w:val="clear" w:pos="720"/>
        </w:tabs>
        <w:spacing w:after="0"/>
        <w:ind w:left="360" w:firstLine="0"/>
        <w:rPr>
          <w:b/>
          <w:bCs/>
        </w:rPr>
      </w:pPr>
      <w:r w:rsidRPr="00A06B99">
        <w:rPr>
          <w:b/>
        </w:rPr>
        <w:t xml:space="preserve">A: </w:t>
      </w:r>
      <w:r w:rsidR="00B82B0C" w:rsidRPr="784F815A">
        <w:rPr>
          <w:rFonts w:cs="Arial"/>
        </w:rPr>
        <w:t xml:space="preserve">Decisions on who is chosen as a delivery partner is a decision for Lead Providers. </w:t>
      </w:r>
      <w:r w:rsidR="003F661F" w:rsidRPr="00A06B99">
        <w:rPr>
          <w:rFonts w:cs="Arial"/>
        </w:rPr>
        <w:t xml:space="preserve">We expect </w:t>
      </w:r>
      <w:r w:rsidR="00E745D1" w:rsidRPr="00A06B99">
        <w:rPr>
          <w:rFonts w:cs="Arial"/>
        </w:rPr>
        <w:t xml:space="preserve">Lead Providers </w:t>
      </w:r>
      <w:r w:rsidR="003F661F" w:rsidRPr="00A06B99">
        <w:rPr>
          <w:rFonts w:cs="Arial"/>
        </w:rPr>
        <w:t xml:space="preserve">to be able to confirm the delivery partners </w:t>
      </w:r>
      <w:r w:rsidR="00C95854" w:rsidRPr="00A06B99">
        <w:rPr>
          <w:rFonts w:cs="Arial"/>
        </w:rPr>
        <w:t xml:space="preserve">they </w:t>
      </w:r>
      <w:r w:rsidR="003F661F" w:rsidRPr="00A06B99">
        <w:rPr>
          <w:rFonts w:cs="Arial"/>
        </w:rPr>
        <w:t xml:space="preserve">will be working with </w:t>
      </w:r>
      <w:r w:rsidR="40B96B45" w:rsidRPr="784F815A">
        <w:rPr>
          <w:rFonts w:cs="Arial"/>
        </w:rPr>
        <w:t>in due course</w:t>
      </w:r>
      <w:r w:rsidR="00B82B0C" w:rsidRPr="00A06B99">
        <w:rPr>
          <w:rFonts w:cs="Arial"/>
        </w:rPr>
        <w:t>.</w:t>
      </w:r>
    </w:p>
    <w:p w14:paraId="183B8135" w14:textId="77777777" w:rsidR="00E82FAF" w:rsidRPr="00FB7006" w:rsidRDefault="00E82FAF" w:rsidP="00F15577">
      <w:pPr>
        <w:pStyle w:val="DeptBullets"/>
        <w:tabs>
          <w:tab w:val="clear" w:pos="720"/>
        </w:tabs>
        <w:spacing w:after="0"/>
        <w:ind w:left="360" w:firstLine="0"/>
        <w:rPr>
          <w:b/>
          <w:bCs/>
        </w:rPr>
      </w:pPr>
    </w:p>
    <w:p w14:paraId="46D08A05" w14:textId="7DCD56A1" w:rsidR="00A97980" w:rsidRPr="0001299E" w:rsidRDefault="00327826" w:rsidP="00F15577">
      <w:pPr>
        <w:pStyle w:val="DeptBullets"/>
        <w:tabs>
          <w:tab w:val="clear" w:pos="720"/>
        </w:tabs>
        <w:spacing w:after="0"/>
        <w:ind w:left="360" w:firstLine="0"/>
        <w:rPr>
          <w:b/>
        </w:rPr>
      </w:pPr>
      <w:r w:rsidRPr="0001299E">
        <w:rPr>
          <w:b/>
        </w:rPr>
        <w:t xml:space="preserve">Q: </w:t>
      </w:r>
      <w:r w:rsidR="00F222EB" w:rsidRPr="0001299E">
        <w:rPr>
          <w:b/>
        </w:rPr>
        <w:t>What if an ECT does their induction at a school and moves to another school but the schools follows a different ECF programme (by lead providers)?</w:t>
      </w:r>
    </w:p>
    <w:p w14:paraId="054B74D8" w14:textId="79CF0DCC" w:rsidR="00EE3C33" w:rsidRDefault="00EE3C33" w:rsidP="00EE3C33">
      <w:pPr>
        <w:pStyle w:val="DeptBullets"/>
        <w:ind w:left="360"/>
      </w:pPr>
      <w:r>
        <w:rPr>
          <w:b/>
        </w:rPr>
        <w:tab/>
      </w:r>
      <w:r w:rsidR="00A97980" w:rsidRPr="0001299E">
        <w:rPr>
          <w:b/>
        </w:rPr>
        <w:t xml:space="preserve">A: </w:t>
      </w:r>
      <w:r>
        <w:t>Where possible, an Early Career Teacher should continue on their existing programme.  If this is not feasible, the two Lead Providers should work together to make arrangements to accommodate the Early Career Teacher.</w:t>
      </w:r>
    </w:p>
    <w:p w14:paraId="4BDE9BC6" w14:textId="24671F69" w:rsidR="00A97980" w:rsidRPr="0001299E" w:rsidRDefault="00EE3C33" w:rsidP="00F15577">
      <w:pPr>
        <w:pStyle w:val="DeptBullets"/>
        <w:tabs>
          <w:tab w:val="clear" w:pos="720"/>
        </w:tabs>
        <w:spacing w:after="0"/>
        <w:ind w:left="360" w:firstLine="0"/>
      </w:pPr>
      <w:r>
        <w:t>Lead Providers are expected to have their own policies and guidance set out in relation to moving between providers.</w:t>
      </w:r>
    </w:p>
    <w:p w14:paraId="77CFCBEC" w14:textId="77777777" w:rsidR="00EE3C33" w:rsidRPr="0001299E" w:rsidRDefault="00EE3C33" w:rsidP="00EE3C33">
      <w:pPr>
        <w:pStyle w:val="DeptBullets"/>
        <w:tabs>
          <w:tab w:val="clear" w:pos="720"/>
        </w:tabs>
        <w:spacing w:after="0"/>
        <w:ind w:left="360" w:firstLine="0"/>
      </w:pPr>
    </w:p>
    <w:p w14:paraId="1F557A6E" w14:textId="360ACA34" w:rsidR="00327826" w:rsidRPr="00016A12" w:rsidRDefault="00A97980" w:rsidP="00F15577">
      <w:pPr>
        <w:pStyle w:val="DeptBullets"/>
        <w:tabs>
          <w:tab w:val="clear" w:pos="720"/>
        </w:tabs>
        <w:spacing w:after="0"/>
        <w:ind w:left="360" w:firstLine="0"/>
      </w:pPr>
      <w:r w:rsidRPr="0001299E">
        <w:t>Please see the statutory guidance for more details on the actions which headteachers/principals and appropriate bodies should take if an ECT leaves the institution before completing the induction period.</w:t>
      </w:r>
      <w:r w:rsidRPr="00016A12">
        <w:t xml:space="preserve">  </w:t>
      </w:r>
    </w:p>
    <w:p w14:paraId="574417BF" w14:textId="77777777" w:rsidR="00FC18E9" w:rsidRPr="00740AFE" w:rsidRDefault="00FC18E9" w:rsidP="00F15577">
      <w:pPr>
        <w:pStyle w:val="DeptBullets"/>
        <w:tabs>
          <w:tab w:val="clear" w:pos="720"/>
        </w:tabs>
        <w:spacing w:after="0"/>
        <w:ind w:left="0" w:firstLine="0"/>
        <w:rPr>
          <w:b/>
          <w:bCs/>
        </w:rPr>
      </w:pPr>
    </w:p>
    <w:p w14:paraId="6A4FDB31" w14:textId="247D7441" w:rsidR="00FC18E9" w:rsidRDefault="00FC18E9" w:rsidP="00F15577">
      <w:pPr>
        <w:pStyle w:val="DeptBullets"/>
        <w:tabs>
          <w:tab w:val="clear" w:pos="720"/>
        </w:tabs>
        <w:spacing w:after="0"/>
        <w:ind w:left="360" w:firstLine="0"/>
        <w:rPr>
          <w:b/>
          <w:bCs/>
        </w:rPr>
      </w:pPr>
      <w:r w:rsidRPr="00063EBE">
        <w:rPr>
          <w:b/>
          <w:bCs/>
        </w:rPr>
        <w:t xml:space="preserve">Q: If a school does not wish to engage with their local TSH as they, for example, wish to </w:t>
      </w:r>
      <w:r w:rsidRPr="00063EBE">
        <w:rPr>
          <w:b/>
          <w:bCs/>
        </w:rPr>
        <w:lastRenderedPageBreak/>
        <w:t>use a different lead provider, how do they go about that?</w:t>
      </w:r>
    </w:p>
    <w:p w14:paraId="1498DAB8" w14:textId="4FAD28C2" w:rsidR="00FC18E9" w:rsidRDefault="00FC18E9" w:rsidP="00F15577">
      <w:pPr>
        <w:pStyle w:val="DeptBullets"/>
        <w:tabs>
          <w:tab w:val="clear" w:pos="720"/>
        </w:tabs>
        <w:spacing w:after="0"/>
        <w:ind w:left="360" w:firstLine="0"/>
        <w:rPr>
          <w:b/>
          <w:bCs/>
        </w:rPr>
      </w:pPr>
      <w:r>
        <w:rPr>
          <w:b/>
          <w:bCs/>
        </w:rPr>
        <w:t>A:</w:t>
      </w:r>
      <w:r w:rsidR="00D64BDC" w:rsidRPr="00D64BDC">
        <w:t xml:space="preserve"> Schools do not have to access provision through their local teaching school hub</w:t>
      </w:r>
      <w:r w:rsidR="004F5E2E">
        <w:t>,</w:t>
      </w:r>
      <w:r w:rsidR="00D64BDC" w:rsidRPr="00D64BDC">
        <w:t xml:space="preserve"> although it is anticipated that the majority of schools will do this. If a TSH isn’t offering the school’s first choice of lead provider, schools can contact the lead provider directly to find out if provision is available in their area.</w:t>
      </w:r>
    </w:p>
    <w:p w14:paraId="470B783F" w14:textId="77777777" w:rsidR="00FC18E9" w:rsidRPr="00AE3B00" w:rsidRDefault="00FC18E9" w:rsidP="00F15577">
      <w:pPr>
        <w:pStyle w:val="DeptBullets"/>
        <w:tabs>
          <w:tab w:val="clear" w:pos="720"/>
        </w:tabs>
        <w:spacing w:after="0"/>
        <w:ind w:left="360" w:firstLine="0"/>
        <w:rPr>
          <w:b/>
          <w:bCs/>
        </w:rPr>
      </w:pPr>
    </w:p>
    <w:p w14:paraId="47A09041" w14:textId="53809731" w:rsidR="00E82FAF" w:rsidRDefault="00E82FAF" w:rsidP="00F15577">
      <w:pPr>
        <w:pStyle w:val="DeptBullets"/>
        <w:tabs>
          <w:tab w:val="clear" w:pos="720"/>
        </w:tabs>
        <w:spacing w:after="0"/>
        <w:ind w:left="360" w:firstLine="0"/>
        <w:rPr>
          <w:b/>
          <w:bCs/>
        </w:rPr>
      </w:pPr>
      <w:r w:rsidRPr="00C060DF">
        <w:rPr>
          <w:b/>
          <w:bCs/>
        </w:rPr>
        <w:t xml:space="preserve">Q: </w:t>
      </w:r>
      <w:r w:rsidR="008565EC">
        <w:rPr>
          <w:b/>
          <w:bCs/>
        </w:rPr>
        <w:t>Can schools work with other TSHs outside their local area</w:t>
      </w:r>
      <w:r w:rsidRPr="00C060DF">
        <w:rPr>
          <w:b/>
          <w:bCs/>
        </w:rPr>
        <w:t xml:space="preserve">? </w:t>
      </w:r>
    </w:p>
    <w:p w14:paraId="75CAE9FF" w14:textId="0E26BB7C" w:rsidR="00E82FAF" w:rsidRDefault="00E82FAF" w:rsidP="00F15577">
      <w:pPr>
        <w:pStyle w:val="DeptBullets"/>
        <w:tabs>
          <w:tab w:val="clear" w:pos="720"/>
        </w:tabs>
        <w:spacing w:after="0"/>
        <w:ind w:left="360" w:firstLine="0"/>
        <w:rPr>
          <w:b/>
          <w:bCs/>
        </w:rPr>
      </w:pPr>
      <w:r>
        <w:rPr>
          <w:b/>
          <w:bCs/>
        </w:rPr>
        <w:t>A:</w:t>
      </w:r>
      <w:r w:rsidR="00FF46A4" w:rsidRPr="00FF46A4">
        <w:t xml:space="preserve"> </w:t>
      </w:r>
      <w:r w:rsidR="00FF46A4">
        <w:t>I</w:t>
      </w:r>
      <w:r w:rsidR="00FF46A4" w:rsidRPr="00FF46A4">
        <w:t>f a school wishes to work with a TSH outside of their area, that is fine as long as that TSH is content to do so.  We built this flexibility into the programme to allow for the fact that some existing relationships or MAT structures may cross borders, or there may be peculiarities of local geography/transport that mean a different TSH may be more appropriate for a specific school. We do not however encourage TSH to actively advertise in other areas, and all decisions should ideally made with the mutual consent of all affected TSH</w:t>
      </w:r>
      <w:r w:rsidR="008C2B29">
        <w:t>s</w:t>
      </w:r>
      <w:r w:rsidR="00FF46A4" w:rsidRPr="00FF46A4">
        <w:t>.</w:t>
      </w:r>
    </w:p>
    <w:p w14:paraId="047FDA6B" w14:textId="77777777" w:rsidR="00E82FAF" w:rsidRPr="00C060DF" w:rsidRDefault="00E82FAF" w:rsidP="00F15577">
      <w:pPr>
        <w:pStyle w:val="DeptBullets"/>
        <w:tabs>
          <w:tab w:val="clear" w:pos="720"/>
        </w:tabs>
        <w:spacing w:after="0"/>
        <w:ind w:left="360" w:firstLine="0"/>
        <w:rPr>
          <w:b/>
          <w:bCs/>
        </w:rPr>
      </w:pPr>
    </w:p>
    <w:p w14:paraId="0F609725" w14:textId="3739F527" w:rsidR="00F222EB" w:rsidRPr="00894FAA" w:rsidRDefault="00C060DF" w:rsidP="00F15577">
      <w:pPr>
        <w:pStyle w:val="DeptBullets"/>
        <w:tabs>
          <w:tab w:val="clear" w:pos="720"/>
        </w:tabs>
        <w:spacing w:after="0"/>
        <w:ind w:left="360" w:firstLine="0"/>
        <w:rPr>
          <w:b/>
          <w:bCs/>
        </w:rPr>
      </w:pPr>
      <w:r w:rsidRPr="00894FAA">
        <w:rPr>
          <w:b/>
          <w:bCs/>
        </w:rPr>
        <w:t xml:space="preserve">Q: </w:t>
      </w:r>
      <w:r w:rsidR="00F222EB" w:rsidRPr="00894FAA">
        <w:rPr>
          <w:b/>
          <w:bCs/>
        </w:rPr>
        <w:t>Can the LA run their ECF programme (school-based)?</w:t>
      </w:r>
    </w:p>
    <w:p w14:paraId="34C0D968" w14:textId="77777777" w:rsidR="00440149" w:rsidRDefault="00C060DF" w:rsidP="00F15577">
      <w:pPr>
        <w:ind w:left="360"/>
        <w:rPr>
          <w:rFonts w:cs="Arial"/>
          <w:szCs w:val="24"/>
          <w:lang w:eastAsia="en-GB"/>
        </w:rPr>
      </w:pPr>
      <w:r w:rsidRPr="00894FAA">
        <w:rPr>
          <w:b/>
          <w:bCs/>
        </w:rPr>
        <w:t xml:space="preserve">A: </w:t>
      </w:r>
      <w:r w:rsidR="00440149" w:rsidRPr="00894FAA">
        <w:rPr>
          <w:rFonts w:cs="Arial"/>
          <w:szCs w:val="24"/>
        </w:rPr>
        <w:t>There are three approaches</w:t>
      </w:r>
      <w:r w:rsidR="00440149">
        <w:rPr>
          <w:rFonts w:cs="Arial"/>
          <w:szCs w:val="24"/>
        </w:rPr>
        <w:t xml:space="preserve"> schools can choose from to enable the delivery of an ECF based induction. The three approaches are:</w:t>
      </w:r>
    </w:p>
    <w:p w14:paraId="65613329" w14:textId="77777777" w:rsidR="00440149" w:rsidRDefault="00440149" w:rsidP="00F15577">
      <w:pPr>
        <w:ind w:left="900"/>
        <w:textAlignment w:val="center"/>
        <w:rPr>
          <w:rFonts w:cs="Arial"/>
          <w:szCs w:val="24"/>
        </w:rPr>
      </w:pPr>
    </w:p>
    <w:p w14:paraId="5CF49791" w14:textId="77777777" w:rsidR="00440149" w:rsidRDefault="00440149" w:rsidP="00F15577">
      <w:pPr>
        <w:widowControl/>
        <w:numPr>
          <w:ilvl w:val="0"/>
          <w:numId w:val="14"/>
        </w:numPr>
        <w:overflowPunct/>
        <w:autoSpaceDE/>
        <w:autoSpaceDN/>
        <w:adjustRightInd/>
        <w:ind w:left="1260" w:firstLine="0"/>
        <w:textAlignment w:val="center"/>
        <w:rPr>
          <w:rFonts w:cs="Arial"/>
          <w:szCs w:val="24"/>
        </w:rPr>
      </w:pPr>
      <w:r>
        <w:rPr>
          <w:rFonts w:cs="Arial"/>
          <w:b/>
          <w:bCs/>
          <w:szCs w:val="24"/>
        </w:rPr>
        <w:t>A funded provider led programme</w:t>
      </w:r>
      <w:r>
        <w:rPr>
          <w:rFonts w:cs="Arial"/>
          <w:szCs w:val="24"/>
        </w:rPr>
        <w:t xml:space="preserve"> - Schools can choose to work with providers accredited by the Department for Education (DfE) who will design and deliver a programme of face-to-face and online training to early career teachers (ECTs) and their mentors. This programme is funded by the DfE. </w:t>
      </w:r>
      <w:r>
        <w:rPr>
          <w:rFonts w:cs="Arial"/>
          <w:szCs w:val="24"/>
          <w:lang w:val="en"/>
        </w:rPr>
        <w:t>Lead providers will be subject to a quality assurance mechanism through Ofsted inspection to ensure the best support for schools and teachers.</w:t>
      </w:r>
    </w:p>
    <w:p w14:paraId="2E677031" w14:textId="77777777" w:rsidR="00440149" w:rsidRDefault="00440149" w:rsidP="00F15577">
      <w:pPr>
        <w:widowControl/>
        <w:numPr>
          <w:ilvl w:val="0"/>
          <w:numId w:val="14"/>
        </w:numPr>
        <w:overflowPunct/>
        <w:autoSpaceDE/>
        <w:autoSpaceDN/>
        <w:adjustRightInd/>
        <w:ind w:left="1260" w:firstLine="0"/>
        <w:textAlignment w:val="center"/>
        <w:rPr>
          <w:rFonts w:cs="Arial"/>
          <w:szCs w:val="24"/>
        </w:rPr>
      </w:pPr>
      <w:r>
        <w:rPr>
          <w:rFonts w:cs="Arial"/>
          <w:b/>
          <w:bCs/>
          <w:szCs w:val="24"/>
        </w:rPr>
        <w:t xml:space="preserve">Schools deliver their own training using DfE accredited materials and resources </w:t>
      </w:r>
      <w:r>
        <w:rPr>
          <w:rFonts w:cs="Arial"/>
          <w:szCs w:val="24"/>
        </w:rPr>
        <w:t>(the Core Induction Programme) - Schools use freely available DfE accredited materials, which includes ready to use materials and resources for new teachers and mentors, to deliver their own ECT and mentor support. These materials have been accredited by the DfE and quality assured by the Education Endowment Foundation. In this option, appropriate bodies will have a role in ensuring the ECT receives a programme of training and support based on the ECF.</w:t>
      </w:r>
    </w:p>
    <w:p w14:paraId="5147CB76" w14:textId="77777777" w:rsidR="00440149" w:rsidRDefault="00440149" w:rsidP="00F15577">
      <w:pPr>
        <w:widowControl/>
        <w:numPr>
          <w:ilvl w:val="0"/>
          <w:numId w:val="14"/>
        </w:numPr>
        <w:overflowPunct/>
        <w:autoSpaceDE/>
        <w:autoSpaceDN/>
        <w:adjustRightInd/>
        <w:ind w:left="1260" w:firstLine="0"/>
        <w:textAlignment w:val="center"/>
        <w:rPr>
          <w:rFonts w:cs="Arial"/>
          <w:szCs w:val="24"/>
        </w:rPr>
      </w:pPr>
      <w:r>
        <w:rPr>
          <w:rFonts w:cs="Arial"/>
          <w:b/>
          <w:bCs/>
          <w:szCs w:val="24"/>
        </w:rPr>
        <w:t xml:space="preserve">Schools design and deliver their own two-year induction programme for ECTs based on the ECF. </w:t>
      </w:r>
      <w:r>
        <w:rPr>
          <w:rFonts w:cs="Arial"/>
          <w:szCs w:val="24"/>
        </w:rPr>
        <w:t>In this option, appropriate bodies will have a role in ensuring the ECT receives a programme of training and support based on the ECF.</w:t>
      </w:r>
    </w:p>
    <w:p w14:paraId="4A554888" w14:textId="77777777" w:rsidR="00440149" w:rsidRDefault="00440149" w:rsidP="00F15577">
      <w:pPr>
        <w:rPr>
          <w:rFonts w:cs="Arial"/>
          <w:szCs w:val="24"/>
        </w:rPr>
      </w:pPr>
    </w:p>
    <w:p w14:paraId="44CC5B01" w14:textId="77777777" w:rsidR="00440149" w:rsidRDefault="00440149" w:rsidP="00F15577">
      <w:pPr>
        <w:rPr>
          <w:rFonts w:ascii="Calibri" w:hAnsi="Calibri" w:cs="Calibri"/>
          <w:szCs w:val="24"/>
        </w:rPr>
      </w:pPr>
    </w:p>
    <w:p w14:paraId="7631F5BB" w14:textId="291AE9E0" w:rsidR="00894FAA" w:rsidRDefault="00440149" w:rsidP="00F15577">
      <w:pPr>
        <w:ind w:left="720"/>
        <w:rPr>
          <w:rFonts w:cs="Arial"/>
          <w:highlight w:val="yellow"/>
        </w:rPr>
      </w:pPr>
      <w:r w:rsidRPr="784F815A">
        <w:rPr>
          <w:rFonts w:cs="Arial"/>
        </w:rPr>
        <w:t xml:space="preserve">It is for the headteacher to ultimately decide the best approach for their school reflecting the needs of their ECTs and Mentors. Under the second and third approaches schools are responsible for delivering their own training and may sign up for training programmes developed and delivered by other organisations, for example </w:t>
      </w:r>
      <w:r w:rsidR="00764734" w:rsidRPr="784F815A">
        <w:rPr>
          <w:rFonts w:cs="Arial"/>
        </w:rPr>
        <w:t xml:space="preserve">an LA’s </w:t>
      </w:r>
      <w:r w:rsidRPr="784F815A">
        <w:rPr>
          <w:rFonts w:cs="Arial"/>
        </w:rPr>
        <w:t>ECF programme.</w:t>
      </w:r>
    </w:p>
    <w:p w14:paraId="0951FDEE" w14:textId="3ED5BAFA" w:rsidR="784F815A" w:rsidRDefault="784F815A" w:rsidP="784F815A">
      <w:pPr>
        <w:ind w:left="720"/>
        <w:rPr>
          <w:szCs w:val="24"/>
        </w:rPr>
      </w:pPr>
    </w:p>
    <w:p w14:paraId="31D6ED9A" w14:textId="4EE972BB" w:rsidR="00440149" w:rsidRPr="00894FAA" w:rsidRDefault="00440149" w:rsidP="00F15577">
      <w:pPr>
        <w:ind w:left="720"/>
        <w:rPr>
          <w:rFonts w:cs="Arial"/>
        </w:rPr>
      </w:pPr>
      <w:r w:rsidRPr="784F815A">
        <w:rPr>
          <w:rFonts w:cs="Arial"/>
        </w:rPr>
        <w:t xml:space="preserve">There is no additional funding (beyond the overall funding offer set out on our dedicated </w:t>
      </w:r>
      <w:r w:rsidR="00CF4122" w:rsidRPr="784F815A">
        <w:rPr>
          <w:rFonts w:cs="Arial"/>
        </w:rPr>
        <w:t xml:space="preserve">GOV.UK </w:t>
      </w:r>
      <w:r w:rsidRPr="784F815A">
        <w:rPr>
          <w:rFonts w:cs="Arial"/>
        </w:rPr>
        <w:t xml:space="preserve">page) for schools, </w:t>
      </w:r>
      <w:r w:rsidR="00764734" w:rsidRPr="784F815A">
        <w:rPr>
          <w:rFonts w:cs="Arial"/>
        </w:rPr>
        <w:t>LAs</w:t>
      </w:r>
      <w:r w:rsidRPr="784F815A">
        <w:rPr>
          <w:rFonts w:cs="Arial"/>
        </w:rPr>
        <w:t xml:space="preserve"> or other organisations to develop their own programmes – as DfE has accredited and funded providers to design and deliver an ECF induction programme for schools. Other i</w:t>
      </w:r>
      <w:r w:rsidRPr="784F815A">
        <w:rPr>
          <w:rFonts w:cs="Arial"/>
          <w:lang w:eastAsia="en-GB"/>
        </w:rPr>
        <w:t xml:space="preserve">nduction programmes designed and delivered by schools, </w:t>
      </w:r>
      <w:r w:rsidR="00F11BFA" w:rsidRPr="784F815A">
        <w:rPr>
          <w:rFonts w:cs="Arial"/>
          <w:lang w:eastAsia="en-GB"/>
        </w:rPr>
        <w:t>LAs</w:t>
      </w:r>
      <w:r w:rsidRPr="784F815A">
        <w:rPr>
          <w:rFonts w:cs="Arial"/>
          <w:lang w:eastAsia="en-GB"/>
        </w:rPr>
        <w:t xml:space="preserve"> etc will not be accredited; schools who opt to deliver their own training or design and deliver their own induction programme will each be subject to checks by their own appropriate body.</w:t>
      </w:r>
    </w:p>
    <w:p w14:paraId="23118EFC" w14:textId="1D66036A" w:rsidR="00C060DF" w:rsidRPr="00C060DF" w:rsidRDefault="00C060DF" w:rsidP="00F15577">
      <w:pPr>
        <w:pStyle w:val="DeptBullets"/>
        <w:tabs>
          <w:tab w:val="clear" w:pos="720"/>
        </w:tabs>
        <w:spacing w:after="0"/>
        <w:ind w:left="360" w:firstLine="0"/>
        <w:rPr>
          <w:b/>
          <w:bCs/>
        </w:rPr>
      </w:pPr>
    </w:p>
    <w:p w14:paraId="7EBF923D" w14:textId="77777777" w:rsidR="00C060DF" w:rsidRDefault="00C060DF" w:rsidP="00F15577">
      <w:pPr>
        <w:pStyle w:val="DeptBullets"/>
        <w:tabs>
          <w:tab w:val="clear" w:pos="720"/>
        </w:tabs>
        <w:spacing w:after="0"/>
        <w:ind w:left="360" w:firstLine="0"/>
      </w:pPr>
    </w:p>
    <w:p w14:paraId="0793186C" w14:textId="2C11C40F" w:rsidR="00F222EB" w:rsidRDefault="00C060DF" w:rsidP="00F15577">
      <w:pPr>
        <w:pStyle w:val="DeptBullets"/>
        <w:tabs>
          <w:tab w:val="clear" w:pos="720"/>
        </w:tabs>
        <w:spacing w:after="0"/>
        <w:ind w:left="360" w:firstLine="0"/>
        <w:rPr>
          <w:b/>
          <w:bCs/>
        </w:rPr>
      </w:pPr>
      <w:r w:rsidRPr="00B137A6">
        <w:rPr>
          <w:b/>
          <w:bCs/>
        </w:rPr>
        <w:t xml:space="preserve">Q: </w:t>
      </w:r>
      <w:r w:rsidR="00F222EB" w:rsidRPr="00B137A6">
        <w:rPr>
          <w:b/>
          <w:bCs/>
        </w:rPr>
        <w:t xml:space="preserve">Why have the DfE allow the providers to only put on limited parts of the materials? </w:t>
      </w:r>
      <w:r w:rsidR="009A4378" w:rsidRPr="00B137A6">
        <w:rPr>
          <w:b/>
          <w:bCs/>
        </w:rPr>
        <w:t>Certain</w:t>
      </w:r>
      <w:r w:rsidR="00F222EB" w:rsidRPr="00B137A6">
        <w:rPr>
          <w:b/>
          <w:bCs/>
        </w:rPr>
        <w:t xml:space="preserve"> things are not accessible, such as videos, so if schools want a funded ECT place but can't get one then they are getting a lesser ECT experience</w:t>
      </w:r>
      <w:r w:rsidR="009A4378" w:rsidRPr="00B137A6">
        <w:rPr>
          <w:b/>
          <w:bCs/>
        </w:rPr>
        <w:t>.</w:t>
      </w:r>
    </w:p>
    <w:p w14:paraId="45F76052" w14:textId="079FA396" w:rsidR="00DD275E" w:rsidRPr="006D76F8" w:rsidRDefault="00DD275E" w:rsidP="00F15577">
      <w:pPr>
        <w:pStyle w:val="DeptBullets"/>
        <w:tabs>
          <w:tab w:val="clear" w:pos="720"/>
        </w:tabs>
        <w:spacing w:after="0"/>
        <w:ind w:left="360" w:firstLine="0"/>
      </w:pPr>
      <w:r>
        <w:rPr>
          <w:b/>
          <w:bCs/>
        </w:rPr>
        <w:t>A:</w:t>
      </w:r>
      <w:r w:rsidR="00831685" w:rsidRPr="00831685">
        <w:t xml:space="preserve"> </w:t>
      </w:r>
      <w:r w:rsidR="009D0F54">
        <w:t xml:space="preserve">The </w:t>
      </w:r>
      <w:r w:rsidR="006763F8">
        <w:t>current</w:t>
      </w:r>
      <w:r w:rsidR="009D0F54">
        <w:t xml:space="preserve"> programmes available online do not have any restricted materials. </w:t>
      </w:r>
      <w:r w:rsidR="00B64564">
        <w:t>Due to Covid-19, t</w:t>
      </w:r>
      <w:r w:rsidR="00831685" w:rsidRPr="006D76F8">
        <w:t>here are</w:t>
      </w:r>
      <w:r w:rsidR="003E6C9E" w:rsidRPr="006D76F8">
        <w:t xml:space="preserve"> currently </w:t>
      </w:r>
      <w:r w:rsidR="00831685" w:rsidRPr="006D76F8">
        <w:t xml:space="preserve">videos and recordings missing from some </w:t>
      </w:r>
      <w:r w:rsidR="006D76F8" w:rsidRPr="006D76F8">
        <w:t xml:space="preserve">of the </w:t>
      </w:r>
      <w:r w:rsidR="00831685" w:rsidRPr="006D76F8">
        <w:t xml:space="preserve">programmes as </w:t>
      </w:r>
      <w:r w:rsidR="00831685" w:rsidRPr="006D76F8">
        <w:lastRenderedPageBreak/>
        <w:t>providers have not been able to film within schools</w:t>
      </w:r>
      <w:r w:rsidR="009D0F54">
        <w:t>, in</w:t>
      </w:r>
      <w:r w:rsidR="003618A9">
        <w:t>stead providers have used alternatives such as scripts for the videos.</w:t>
      </w:r>
      <w:r w:rsidR="00831685" w:rsidRPr="006D76F8">
        <w:t xml:space="preserve"> </w:t>
      </w:r>
      <w:r w:rsidR="005C6D10">
        <w:t xml:space="preserve">The online materials will continue to be freely available for schools to access and </w:t>
      </w:r>
      <w:r w:rsidR="00B137A6">
        <w:t>i</w:t>
      </w:r>
      <w:r w:rsidR="00831685" w:rsidRPr="006D76F8">
        <w:t xml:space="preserve">t is intended that once providers can, they will add </w:t>
      </w:r>
      <w:r w:rsidR="006763F8">
        <w:t>any</w:t>
      </w:r>
      <w:r w:rsidR="00831685" w:rsidRPr="006D76F8">
        <w:t xml:space="preserve"> missing content.</w:t>
      </w:r>
    </w:p>
    <w:p w14:paraId="6969E2BD" w14:textId="77777777" w:rsidR="00DD275E" w:rsidRPr="00CF4122" w:rsidRDefault="00DD275E" w:rsidP="00F15577">
      <w:pPr>
        <w:pStyle w:val="DeptBullets"/>
        <w:tabs>
          <w:tab w:val="clear" w:pos="720"/>
        </w:tabs>
        <w:spacing w:after="0"/>
        <w:ind w:left="360" w:firstLine="0"/>
        <w:rPr>
          <w:b/>
          <w:bCs/>
        </w:rPr>
      </w:pPr>
    </w:p>
    <w:p w14:paraId="14CE4163" w14:textId="75D48B80" w:rsidR="00F33AA5" w:rsidRPr="00CF4122" w:rsidRDefault="00DD275E" w:rsidP="00F15577">
      <w:pPr>
        <w:pStyle w:val="DeptBullets"/>
        <w:tabs>
          <w:tab w:val="clear" w:pos="720"/>
        </w:tabs>
        <w:spacing w:after="0"/>
        <w:ind w:left="360" w:firstLine="0"/>
        <w:rPr>
          <w:b/>
          <w:bCs/>
        </w:rPr>
      </w:pPr>
      <w:r w:rsidRPr="00CF4122">
        <w:rPr>
          <w:b/>
          <w:bCs/>
        </w:rPr>
        <w:t xml:space="preserve">Q: </w:t>
      </w:r>
      <w:r w:rsidR="00F222EB" w:rsidRPr="00CF4122">
        <w:rPr>
          <w:b/>
          <w:bCs/>
        </w:rPr>
        <w:t>If training is provided (provider or TS) why would a school choose to do their own</w:t>
      </w:r>
      <w:r w:rsidR="00F33AA5" w:rsidRPr="00CF4122">
        <w:rPr>
          <w:b/>
          <w:bCs/>
        </w:rPr>
        <w:t>?</w:t>
      </w:r>
    </w:p>
    <w:p w14:paraId="311CA0A1" w14:textId="47497A10" w:rsidR="00F222EB" w:rsidRPr="00CF4122" w:rsidRDefault="00F33AA5" w:rsidP="00F15577">
      <w:pPr>
        <w:pStyle w:val="DeptBullets"/>
        <w:tabs>
          <w:tab w:val="clear" w:pos="720"/>
        </w:tabs>
        <w:spacing w:after="0"/>
        <w:ind w:left="360" w:firstLine="0"/>
      </w:pPr>
      <w:r w:rsidRPr="00CF4122">
        <w:rPr>
          <w:b/>
          <w:bCs/>
        </w:rPr>
        <w:t xml:space="preserve">A: </w:t>
      </w:r>
      <w:r w:rsidR="00F222EB" w:rsidRPr="00CF4122">
        <w:t>We recognise that some schools or trusts already have really strong training programmes that align with the ECF and schools may wish to continue to deliver this training themselves.</w:t>
      </w:r>
      <w:r w:rsidR="00F222EB" w:rsidRPr="00CF4122">
        <w:tab/>
      </w:r>
    </w:p>
    <w:p w14:paraId="0B95B8D1" w14:textId="77777777" w:rsidR="005277E5" w:rsidRDefault="005277E5" w:rsidP="00F15577">
      <w:pPr>
        <w:pStyle w:val="DeptBullets"/>
        <w:tabs>
          <w:tab w:val="clear" w:pos="720"/>
        </w:tabs>
        <w:spacing w:after="0"/>
        <w:ind w:left="360" w:firstLine="0"/>
        <w:rPr>
          <w:b/>
          <w:bCs/>
          <w:u w:val="single"/>
        </w:rPr>
      </w:pPr>
      <w:r w:rsidRPr="000267F1">
        <w:rPr>
          <w:b/>
          <w:bCs/>
          <w:u w:val="single"/>
        </w:rPr>
        <w:t>Appropriate bodies</w:t>
      </w:r>
    </w:p>
    <w:p w14:paraId="09DFD5B0" w14:textId="62873E04" w:rsidR="005277E5" w:rsidRDefault="005277E5" w:rsidP="00F15577">
      <w:pPr>
        <w:pStyle w:val="DeptBullets"/>
        <w:tabs>
          <w:tab w:val="clear" w:pos="720"/>
        </w:tabs>
        <w:spacing w:after="0"/>
        <w:ind w:left="360" w:firstLine="0"/>
        <w:rPr>
          <w:b/>
          <w:bCs/>
        </w:rPr>
      </w:pPr>
      <w:r w:rsidRPr="000267F1">
        <w:rPr>
          <w:b/>
          <w:bCs/>
        </w:rPr>
        <w:t xml:space="preserve">Q: Who is to fulfil the role of the </w:t>
      </w:r>
      <w:r w:rsidR="00963744" w:rsidRPr="000267F1">
        <w:rPr>
          <w:b/>
          <w:bCs/>
        </w:rPr>
        <w:t>appropriate</w:t>
      </w:r>
      <w:r w:rsidRPr="000267F1">
        <w:rPr>
          <w:b/>
          <w:bCs/>
        </w:rPr>
        <w:t xml:space="preserve"> body?</w:t>
      </w:r>
    </w:p>
    <w:p w14:paraId="41000153" w14:textId="77777777" w:rsidR="009129EC" w:rsidRPr="00CF4122" w:rsidRDefault="005277E5" w:rsidP="00CF4122">
      <w:pPr>
        <w:pStyle w:val="DeptBullets"/>
        <w:tabs>
          <w:tab w:val="clear" w:pos="720"/>
        </w:tabs>
        <w:spacing w:after="0"/>
        <w:ind w:left="360" w:firstLine="0"/>
      </w:pPr>
      <w:r w:rsidRPr="00CF4122">
        <w:rPr>
          <w:b/>
          <w:bCs/>
        </w:rPr>
        <w:t>A:</w:t>
      </w:r>
      <w:r w:rsidRPr="00CF4122">
        <w:t xml:space="preserve"> </w:t>
      </w:r>
      <w:r w:rsidRPr="000267F1">
        <w:t xml:space="preserve">From </w:t>
      </w:r>
      <w:r w:rsidR="009129EC" w:rsidRPr="00CF4122">
        <w:t xml:space="preserve">1st </w:t>
      </w:r>
      <w:r w:rsidRPr="000267F1">
        <w:t xml:space="preserve">September 2021, organisations that can act as </w:t>
      </w:r>
      <w:r w:rsidR="009129EC" w:rsidRPr="00CF4122">
        <w:t>appropriate body</w:t>
      </w:r>
      <w:r w:rsidRPr="000267F1">
        <w:t xml:space="preserve"> will be: </w:t>
      </w:r>
    </w:p>
    <w:p w14:paraId="383F92B0" w14:textId="77777777" w:rsidR="009129EC" w:rsidRPr="00CF4122" w:rsidRDefault="005277E5" w:rsidP="00CF4122">
      <w:pPr>
        <w:pStyle w:val="DeptBullets"/>
        <w:numPr>
          <w:ilvl w:val="0"/>
          <w:numId w:val="17"/>
        </w:numPr>
        <w:spacing w:after="0"/>
        <w:ind w:firstLine="54"/>
      </w:pPr>
      <w:r w:rsidRPr="000267F1">
        <w:t xml:space="preserve">Local </w:t>
      </w:r>
      <w:r w:rsidR="009129EC" w:rsidRPr="00CF4122">
        <w:t xml:space="preserve">authorities  </w:t>
      </w:r>
    </w:p>
    <w:p w14:paraId="79EB32FD" w14:textId="77777777" w:rsidR="009129EC" w:rsidRPr="00CF4122" w:rsidRDefault="005277E5" w:rsidP="00CF4122">
      <w:pPr>
        <w:pStyle w:val="DeptBullets"/>
        <w:numPr>
          <w:ilvl w:val="0"/>
          <w:numId w:val="17"/>
        </w:numPr>
        <w:spacing w:after="0"/>
        <w:ind w:firstLine="54"/>
      </w:pPr>
      <w:r w:rsidRPr="000267F1">
        <w:t xml:space="preserve">Teaching </w:t>
      </w:r>
      <w:r w:rsidR="009129EC" w:rsidRPr="00CF4122">
        <w:t>school hubs (subject to conditions)</w:t>
      </w:r>
    </w:p>
    <w:p w14:paraId="4F1017EF" w14:textId="77777777" w:rsidR="009129EC" w:rsidRPr="00317CD3" w:rsidRDefault="009129EC" w:rsidP="00CF4122">
      <w:pPr>
        <w:pStyle w:val="ListParagraph"/>
        <w:widowControl/>
        <w:numPr>
          <w:ilvl w:val="0"/>
          <w:numId w:val="9"/>
        </w:numPr>
        <w:overflowPunct/>
        <w:adjustRightInd/>
        <w:ind w:firstLine="54"/>
        <w:contextualSpacing w:val="0"/>
        <w:textAlignment w:val="auto"/>
        <w:rPr>
          <w:rFonts w:cs="Arial"/>
          <w:szCs w:val="24"/>
        </w:rPr>
      </w:pPr>
      <w:r>
        <w:t xml:space="preserve">The </w:t>
      </w:r>
      <w:hyperlink r:id="rId17" w:history="1">
        <w:r w:rsidRPr="00317CD3">
          <w:rPr>
            <w:rStyle w:val="Hyperlink"/>
            <w:rFonts w:cs="Arial"/>
            <w:szCs w:val="24"/>
          </w:rPr>
          <w:t>National Teacher Accreditation</w:t>
        </w:r>
      </w:hyperlink>
      <w:r w:rsidRPr="00317CD3">
        <w:rPr>
          <w:rFonts w:cs="Arial"/>
          <w:szCs w:val="24"/>
        </w:rPr>
        <w:t xml:space="preserve"> (</w:t>
      </w:r>
      <w:r w:rsidR="005277E5" w:rsidRPr="000267F1">
        <w:t>NTA</w:t>
      </w:r>
      <w:r w:rsidRPr="00317CD3">
        <w:rPr>
          <w:rFonts w:cs="Arial"/>
          <w:szCs w:val="24"/>
        </w:rPr>
        <w:t xml:space="preserve">) </w:t>
      </w:r>
    </w:p>
    <w:p w14:paraId="377307C3" w14:textId="77777777" w:rsidR="009129EC" w:rsidRDefault="009129EC" w:rsidP="00CF4122">
      <w:pPr>
        <w:pStyle w:val="ListParagraph"/>
        <w:widowControl/>
        <w:numPr>
          <w:ilvl w:val="0"/>
          <w:numId w:val="9"/>
        </w:numPr>
        <w:overflowPunct/>
        <w:adjustRightInd/>
        <w:ind w:firstLine="54"/>
        <w:contextualSpacing w:val="0"/>
        <w:textAlignment w:val="auto"/>
        <w:rPr>
          <w:rFonts w:cs="Arial"/>
          <w:szCs w:val="24"/>
        </w:rPr>
      </w:pPr>
      <w:r>
        <w:t xml:space="preserve">The </w:t>
      </w:r>
      <w:hyperlink r:id="rId18" w:history="1">
        <w:r w:rsidRPr="00317CD3">
          <w:rPr>
            <w:rStyle w:val="Hyperlink"/>
            <w:rFonts w:cs="Arial"/>
            <w:szCs w:val="24"/>
          </w:rPr>
          <w:t>Independent Schools Teacher Induction Panel</w:t>
        </w:r>
      </w:hyperlink>
      <w:r w:rsidRPr="00317CD3">
        <w:rPr>
          <w:rFonts w:cs="Arial"/>
          <w:szCs w:val="24"/>
        </w:rPr>
        <w:t xml:space="preserve"> (IStip) (for their members</w:t>
      </w:r>
      <w:r w:rsidR="005277E5" w:rsidRPr="000267F1">
        <w:t xml:space="preserve"> and </w:t>
      </w:r>
      <w:r w:rsidRPr="00317CD3">
        <w:rPr>
          <w:rFonts w:cs="Arial"/>
          <w:szCs w:val="24"/>
        </w:rPr>
        <w:t>associate or additional members only)</w:t>
      </w:r>
    </w:p>
    <w:p w14:paraId="3192D302" w14:textId="77777777" w:rsidR="005277E5" w:rsidRDefault="005277E5" w:rsidP="00F15577">
      <w:pPr>
        <w:pStyle w:val="DeptBullets"/>
        <w:tabs>
          <w:tab w:val="clear" w:pos="720"/>
        </w:tabs>
        <w:spacing w:after="0"/>
        <w:ind w:left="360" w:firstLine="0"/>
      </w:pPr>
    </w:p>
    <w:p w14:paraId="68B5C1E0" w14:textId="77777777" w:rsidR="005277E5" w:rsidRDefault="005277E5" w:rsidP="00F15577">
      <w:pPr>
        <w:pStyle w:val="DeptBullets"/>
        <w:tabs>
          <w:tab w:val="clear" w:pos="720"/>
        </w:tabs>
        <w:spacing w:after="0"/>
        <w:ind w:left="360" w:firstLine="0"/>
      </w:pPr>
      <w:r w:rsidRPr="000267F1">
        <w:rPr>
          <w:b/>
          <w:bCs/>
        </w:rPr>
        <w:t>Q: How many schools does the DfE expect to be checked per AB? Can AB combine both the statutory and fidelity checking?</w:t>
      </w:r>
    </w:p>
    <w:p w14:paraId="61363D0D" w14:textId="055733BE" w:rsidR="006621DF" w:rsidRDefault="005277E5" w:rsidP="00F15577">
      <w:pPr>
        <w:pStyle w:val="DeptBullets"/>
        <w:tabs>
          <w:tab w:val="clear" w:pos="720"/>
        </w:tabs>
        <w:spacing w:after="0"/>
        <w:ind w:left="360" w:firstLine="0"/>
      </w:pPr>
      <w:r w:rsidRPr="000267F1">
        <w:rPr>
          <w:b/>
          <w:bCs/>
        </w:rPr>
        <w:t>A:</w:t>
      </w:r>
      <w:r>
        <w:t xml:space="preserve"> </w:t>
      </w:r>
      <w:r w:rsidR="00696023">
        <w:t xml:space="preserve">Where possible, </w:t>
      </w:r>
      <w:r w:rsidR="008C2CA0">
        <w:t xml:space="preserve">appropriate bodies </w:t>
      </w:r>
      <w:r w:rsidR="00696023">
        <w:t xml:space="preserve">are advised to have regular contact with the schools and early career teachers that they support. </w:t>
      </w:r>
      <w:r w:rsidR="00B2598D">
        <w:t>T</w:t>
      </w:r>
      <w:r w:rsidR="00F85B6D">
        <w:t>hey</w:t>
      </w:r>
      <w:r w:rsidR="006A1CED">
        <w:t xml:space="preserve"> m</w:t>
      </w:r>
      <w:r w:rsidR="00F85B6D">
        <w:t>ay</w:t>
      </w:r>
      <w:r w:rsidR="006A1CED">
        <w:t xml:space="preserve"> consider committing to visit a minimum percentage of their schools per academic year</w:t>
      </w:r>
      <w:r w:rsidR="00B2598D">
        <w:t xml:space="preserve"> </w:t>
      </w:r>
      <w:r w:rsidR="00FD2A97">
        <w:t xml:space="preserve">and could </w:t>
      </w:r>
      <w:r w:rsidR="004E0A57">
        <w:t>plan</w:t>
      </w:r>
      <w:r w:rsidR="006C0D77">
        <w:t xml:space="preserve"> these visits </w:t>
      </w:r>
      <w:r w:rsidR="00EE7042">
        <w:t>to suit</w:t>
      </w:r>
      <w:r w:rsidR="006C0D77">
        <w:t xml:space="preserve"> their </w:t>
      </w:r>
      <w:r w:rsidR="00F360F8">
        <w:t xml:space="preserve">individual </w:t>
      </w:r>
      <w:r w:rsidR="004E0A57">
        <w:t>circumstances</w:t>
      </w:r>
      <w:r w:rsidR="00EE7042">
        <w:t xml:space="preserve">. </w:t>
      </w:r>
    </w:p>
    <w:p w14:paraId="664DB74E" w14:textId="77777777" w:rsidR="00CD284E" w:rsidRDefault="00CD284E" w:rsidP="00F15577">
      <w:pPr>
        <w:pStyle w:val="DeptBullets"/>
        <w:tabs>
          <w:tab w:val="clear" w:pos="720"/>
        </w:tabs>
        <w:spacing w:after="0"/>
        <w:ind w:left="360" w:firstLine="0"/>
      </w:pPr>
    </w:p>
    <w:p w14:paraId="1FDB9986" w14:textId="3E914E27" w:rsidR="005277E5" w:rsidRDefault="005277E5" w:rsidP="00F15577">
      <w:pPr>
        <w:pStyle w:val="DeptBullets"/>
        <w:tabs>
          <w:tab w:val="clear" w:pos="720"/>
        </w:tabs>
        <w:spacing w:after="0"/>
        <w:ind w:left="360" w:firstLine="0"/>
      </w:pPr>
      <w:r>
        <w:t>The level of checking required will depend on the induction route</w:t>
      </w:r>
      <w:r w:rsidR="00113E7C">
        <w:t xml:space="preserve"> chosen by the school</w:t>
      </w:r>
      <w:r>
        <w:t xml:space="preserve">. Fidelity checking, in addition to the other statutory checks, will be required for </w:t>
      </w:r>
      <w:r w:rsidR="00DB7F35">
        <w:t xml:space="preserve">all schools </w:t>
      </w:r>
      <w:r>
        <w:t>not enrolled on the funded programme.</w:t>
      </w:r>
      <w:r w:rsidR="009C5093">
        <w:t xml:space="preserve"> </w:t>
      </w:r>
    </w:p>
    <w:p w14:paraId="469D79C7" w14:textId="77777777" w:rsidR="005277E5" w:rsidRDefault="005277E5" w:rsidP="00F15577">
      <w:pPr>
        <w:pStyle w:val="DeptBullets"/>
        <w:tabs>
          <w:tab w:val="clear" w:pos="720"/>
        </w:tabs>
        <w:spacing w:after="0"/>
        <w:ind w:left="360" w:firstLine="0"/>
      </w:pPr>
    </w:p>
    <w:p w14:paraId="2255A7CE" w14:textId="77777777" w:rsidR="005277E5" w:rsidRDefault="005277E5" w:rsidP="00F15577">
      <w:pPr>
        <w:pStyle w:val="DeptBullets"/>
        <w:tabs>
          <w:tab w:val="clear" w:pos="720"/>
        </w:tabs>
        <w:spacing w:after="0"/>
        <w:ind w:left="360" w:firstLine="0"/>
        <w:rPr>
          <w:b/>
          <w:bCs/>
        </w:rPr>
      </w:pPr>
      <w:r w:rsidRPr="000267F1">
        <w:rPr>
          <w:b/>
          <w:bCs/>
        </w:rPr>
        <w:t>Q: As the AB is responsible for fidelity checking. Will the DfE provide a brief summary of each providers' programme as we may need to be familiar with 6 different programmes with a vast amount of content?</w:t>
      </w:r>
    </w:p>
    <w:p w14:paraId="1F4D1456" w14:textId="79F53A57" w:rsidR="00810647" w:rsidRDefault="005277E5" w:rsidP="00F15577">
      <w:pPr>
        <w:pStyle w:val="DeptBullets"/>
        <w:tabs>
          <w:tab w:val="clear" w:pos="720"/>
        </w:tabs>
        <w:spacing w:after="0"/>
        <w:ind w:left="360" w:firstLine="0"/>
        <w:rPr>
          <w:rStyle w:val="Hyperlink"/>
        </w:rPr>
      </w:pPr>
      <w:r>
        <w:rPr>
          <w:b/>
          <w:bCs/>
        </w:rPr>
        <w:t xml:space="preserve">A: </w:t>
      </w:r>
      <w:r w:rsidR="00810647">
        <w:t xml:space="preserve">All providers and their materials are linked to from the GOV.UK pages: </w:t>
      </w:r>
      <w:hyperlink r:id="rId19" w:history="1">
        <w:r w:rsidR="00810647" w:rsidRPr="00130655">
          <w:rPr>
            <w:rStyle w:val="Hyperlink"/>
          </w:rPr>
          <w:t>https://www.gov.uk/government/publications/early-career-framework-reforms-overview/early-career-framework-reforms-overview</w:t>
        </w:r>
      </w:hyperlink>
    </w:p>
    <w:p w14:paraId="3BDEFAD7" w14:textId="77777777" w:rsidR="005277E5" w:rsidRDefault="005277E5" w:rsidP="00F15577">
      <w:pPr>
        <w:pStyle w:val="DeptBullets"/>
        <w:tabs>
          <w:tab w:val="clear" w:pos="720"/>
        </w:tabs>
        <w:spacing w:after="0"/>
        <w:ind w:left="360" w:firstLine="0"/>
      </w:pPr>
    </w:p>
    <w:p w14:paraId="7449D34F" w14:textId="77777777" w:rsidR="005277E5" w:rsidRDefault="005277E5" w:rsidP="00F15577">
      <w:pPr>
        <w:pStyle w:val="DeptBullets"/>
        <w:tabs>
          <w:tab w:val="clear" w:pos="720"/>
        </w:tabs>
        <w:spacing w:after="0"/>
        <w:ind w:left="360" w:firstLine="0"/>
        <w:rPr>
          <w:b/>
          <w:bCs/>
        </w:rPr>
      </w:pPr>
      <w:r w:rsidRPr="005277E5">
        <w:rPr>
          <w:b/>
          <w:bCs/>
        </w:rPr>
        <w:t>Q: Presumably where a school registers an ECT with us, we will need to ask which route they are taking as part of the registration?</w:t>
      </w:r>
    </w:p>
    <w:p w14:paraId="4F3C694C" w14:textId="03007814" w:rsidR="005277E5" w:rsidRPr="005277E5" w:rsidRDefault="005277E5" w:rsidP="00F15577">
      <w:pPr>
        <w:pStyle w:val="DeptBullets"/>
        <w:tabs>
          <w:tab w:val="clear" w:pos="720"/>
        </w:tabs>
        <w:spacing w:after="0"/>
        <w:ind w:left="360" w:firstLine="0"/>
      </w:pPr>
      <w:r>
        <w:rPr>
          <w:b/>
          <w:bCs/>
        </w:rPr>
        <w:t xml:space="preserve">A: </w:t>
      </w:r>
      <w:r w:rsidRPr="005277E5">
        <w:t xml:space="preserve">Yes, </w:t>
      </w:r>
      <w:r w:rsidR="008C10F7">
        <w:t>appropriate bodies</w:t>
      </w:r>
      <w:r w:rsidRPr="005277E5">
        <w:t xml:space="preserve"> </w:t>
      </w:r>
      <w:r w:rsidR="00727FB2">
        <w:t>are expected to</w:t>
      </w:r>
      <w:r w:rsidRPr="005277E5">
        <w:t xml:space="preserve"> determine the type of induction a school plans to offer</w:t>
      </w:r>
      <w:r w:rsidR="00B629F7">
        <w:t xml:space="preserve"> as this will impact on the </w:t>
      </w:r>
      <w:r w:rsidR="007B258F">
        <w:t xml:space="preserve">level of checking required. </w:t>
      </w:r>
      <w:r w:rsidR="00BA69A5">
        <w:t xml:space="preserve"> </w:t>
      </w:r>
      <w:r w:rsidRPr="005277E5">
        <w:tab/>
      </w:r>
    </w:p>
    <w:p w14:paraId="5BA05C27" w14:textId="77777777" w:rsidR="005277E5" w:rsidRDefault="005277E5" w:rsidP="00F15577">
      <w:pPr>
        <w:pStyle w:val="DeptBullets"/>
        <w:tabs>
          <w:tab w:val="clear" w:pos="720"/>
        </w:tabs>
        <w:spacing w:after="0"/>
        <w:ind w:left="360" w:firstLine="0"/>
      </w:pPr>
    </w:p>
    <w:p w14:paraId="1043DCFD" w14:textId="77777777" w:rsidR="003D1882" w:rsidRDefault="003D1882" w:rsidP="00F15577">
      <w:pPr>
        <w:pStyle w:val="DeptBullets"/>
        <w:tabs>
          <w:tab w:val="clear" w:pos="720"/>
        </w:tabs>
        <w:spacing w:after="0"/>
        <w:ind w:left="360" w:firstLine="0"/>
        <w:rPr>
          <w:b/>
          <w:bCs/>
          <w:u w:val="single"/>
        </w:rPr>
      </w:pPr>
      <w:r w:rsidRPr="00983376">
        <w:rPr>
          <w:b/>
          <w:bCs/>
          <w:u w:val="single"/>
        </w:rPr>
        <w:t xml:space="preserve">Appropriate bodies </w:t>
      </w:r>
      <w:r>
        <w:rPr>
          <w:b/>
          <w:bCs/>
          <w:u w:val="single"/>
        </w:rPr>
        <w:t>–</w:t>
      </w:r>
      <w:r w:rsidRPr="00983376">
        <w:rPr>
          <w:b/>
          <w:bCs/>
          <w:u w:val="single"/>
        </w:rPr>
        <w:t xml:space="preserve"> forms</w:t>
      </w:r>
    </w:p>
    <w:p w14:paraId="168196BA" w14:textId="069EB656" w:rsidR="003D1882" w:rsidRPr="00CF4122" w:rsidRDefault="003D1882" w:rsidP="00F15577">
      <w:pPr>
        <w:pStyle w:val="DeptBullets"/>
        <w:tabs>
          <w:tab w:val="clear" w:pos="720"/>
        </w:tabs>
        <w:spacing w:after="0"/>
        <w:ind w:left="360" w:firstLine="0"/>
        <w:rPr>
          <w:b/>
        </w:rPr>
      </w:pPr>
      <w:r w:rsidRPr="00CF4122">
        <w:rPr>
          <w:b/>
        </w:rPr>
        <w:t>Q: In the recently published AB guidance it is all HTML version</w:t>
      </w:r>
      <w:r w:rsidR="00DE6C35" w:rsidRPr="00CF4122">
        <w:rPr>
          <w:b/>
          <w:bCs/>
        </w:rPr>
        <w:t xml:space="preserve"> </w:t>
      </w:r>
      <w:r w:rsidRPr="00CF4122">
        <w:rPr>
          <w:b/>
        </w:rPr>
        <w:t xml:space="preserve">- could we have a word version so we can extract and use the </w:t>
      </w:r>
      <w:r w:rsidR="00F94283" w:rsidRPr="00CF4122">
        <w:rPr>
          <w:b/>
        </w:rPr>
        <w:t>template forms</w:t>
      </w:r>
      <w:r w:rsidRPr="00CF4122">
        <w:rPr>
          <w:b/>
        </w:rPr>
        <w:t xml:space="preserve"> please</w:t>
      </w:r>
      <w:r w:rsidR="00F94283" w:rsidRPr="00CF4122">
        <w:rPr>
          <w:b/>
        </w:rPr>
        <w:t>?</w:t>
      </w:r>
    </w:p>
    <w:p w14:paraId="0480159F" w14:textId="1A77DE99" w:rsidR="003D1882" w:rsidRPr="00DA436F" w:rsidRDefault="003D1882" w:rsidP="00F15577">
      <w:pPr>
        <w:pStyle w:val="DeptBullets"/>
        <w:tabs>
          <w:tab w:val="clear" w:pos="720"/>
        </w:tabs>
        <w:spacing w:after="0"/>
        <w:ind w:left="360" w:firstLine="0"/>
      </w:pPr>
      <w:r w:rsidRPr="00CF4122">
        <w:rPr>
          <w:b/>
        </w:rPr>
        <w:t xml:space="preserve">A: </w:t>
      </w:r>
      <w:r w:rsidR="00F94283" w:rsidRPr="00CF4122">
        <w:t xml:space="preserve">Gov.uk restricts us to publishing pdf versions </w:t>
      </w:r>
      <w:r w:rsidR="008D1427" w:rsidRPr="00CF4122">
        <w:t xml:space="preserve">of documents </w:t>
      </w:r>
      <w:r w:rsidR="00F94283" w:rsidRPr="00CF4122">
        <w:t xml:space="preserve">but we're aware schools </w:t>
      </w:r>
      <w:r w:rsidR="00B725C3" w:rsidRPr="00CF4122">
        <w:t xml:space="preserve">will </w:t>
      </w:r>
      <w:r w:rsidR="00F94283" w:rsidRPr="00CF4122">
        <w:t xml:space="preserve">need </w:t>
      </w:r>
      <w:r w:rsidR="00B725C3" w:rsidRPr="00CF4122">
        <w:t>to access these documents</w:t>
      </w:r>
      <w:r w:rsidR="00F94283" w:rsidRPr="00CF4122">
        <w:t xml:space="preserve"> in </w:t>
      </w:r>
      <w:r w:rsidR="00B725C3" w:rsidRPr="00CF4122">
        <w:t>Microsoft W</w:t>
      </w:r>
      <w:r w:rsidR="00F94283" w:rsidRPr="00CF4122">
        <w:t xml:space="preserve">ord - we'll aim to get editable versions sent </w:t>
      </w:r>
      <w:r w:rsidR="00DE6C35" w:rsidRPr="00CF4122">
        <w:t>a</w:t>
      </w:r>
      <w:r w:rsidR="00F94283" w:rsidRPr="00CF4122">
        <w:t xml:space="preserve">round to </w:t>
      </w:r>
      <w:r w:rsidR="009B20CF" w:rsidRPr="00CF4122">
        <w:t>appropriate bodies</w:t>
      </w:r>
      <w:r w:rsidR="00DE6C35" w:rsidRPr="00CF4122">
        <w:t xml:space="preserve"> so that they can share with schools</w:t>
      </w:r>
      <w:r w:rsidR="009B20CF" w:rsidRPr="00CF4122">
        <w:t>.</w:t>
      </w:r>
    </w:p>
    <w:p w14:paraId="40CA2325" w14:textId="77777777" w:rsidR="003D1882" w:rsidRPr="00983376" w:rsidRDefault="003D1882" w:rsidP="00F15577">
      <w:pPr>
        <w:pStyle w:val="DeptBullets"/>
        <w:tabs>
          <w:tab w:val="clear" w:pos="720"/>
        </w:tabs>
        <w:spacing w:after="0"/>
        <w:ind w:left="360" w:firstLine="0"/>
        <w:rPr>
          <w:b/>
          <w:bCs/>
        </w:rPr>
      </w:pPr>
    </w:p>
    <w:p w14:paraId="2049AE51" w14:textId="1FFA2AD9" w:rsidR="006460E0" w:rsidRDefault="006460E0" w:rsidP="00F15577">
      <w:pPr>
        <w:pStyle w:val="DeptBullets"/>
        <w:tabs>
          <w:tab w:val="clear" w:pos="720"/>
        </w:tabs>
        <w:spacing w:after="0"/>
        <w:ind w:left="360" w:firstLine="0"/>
        <w:rPr>
          <w:b/>
          <w:bCs/>
        </w:rPr>
      </w:pPr>
      <w:r w:rsidRPr="000267F1">
        <w:rPr>
          <w:b/>
          <w:bCs/>
        </w:rPr>
        <w:t xml:space="preserve">Q: Can the DfE please provide to and engage with LA ABs in the same way a TSC seems to be liaising with TS ABs who seem to have much more information- could the TRA AB </w:t>
      </w:r>
      <w:r w:rsidR="00DB20F2" w:rsidRPr="000267F1">
        <w:rPr>
          <w:b/>
          <w:bCs/>
        </w:rPr>
        <w:t>circulation</w:t>
      </w:r>
      <w:r w:rsidRPr="000267F1">
        <w:rPr>
          <w:b/>
          <w:bCs/>
        </w:rPr>
        <w:t xml:space="preserve"> list be used for a comms channel with us all?</w:t>
      </w:r>
    </w:p>
    <w:p w14:paraId="45B10D0D" w14:textId="613D9EC4" w:rsidR="006460E0" w:rsidRPr="000267F1" w:rsidRDefault="006460E0" w:rsidP="00F15577">
      <w:pPr>
        <w:pStyle w:val="DeptBullets"/>
        <w:tabs>
          <w:tab w:val="clear" w:pos="720"/>
        </w:tabs>
        <w:spacing w:after="0"/>
        <w:ind w:left="360" w:firstLine="0"/>
      </w:pPr>
      <w:r>
        <w:rPr>
          <w:b/>
          <w:bCs/>
        </w:rPr>
        <w:t xml:space="preserve">A: </w:t>
      </w:r>
      <w:r w:rsidRPr="000267F1">
        <w:t xml:space="preserve">We </w:t>
      </w:r>
      <w:r w:rsidR="00133E21">
        <w:t>plan to</w:t>
      </w:r>
      <w:r w:rsidRPr="000267F1">
        <w:t xml:space="preserve"> share the information from today</w:t>
      </w:r>
      <w:r w:rsidR="00133E21">
        <w:t>, and relevant communications in the future,</w:t>
      </w:r>
      <w:r w:rsidRPr="000267F1">
        <w:t xml:space="preserve"> with all </w:t>
      </w:r>
      <w:r w:rsidR="00560D36">
        <w:t>appropriate bodies</w:t>
      </w:r>
      <w:r w:rsidRPr="000267F1">
        <w:t xml:space="preserve"> via the T</w:t>
      </w:r>
      <w:r w:rsidR="00A54809">
        <w:t xml:space="preserve">eaching Regulation Agency. </w:t>
      </w:r>
      <w:r w:rsidRPr="000267F1">
        <w:tab/>
      </w:r>
    </w:p>
    <w:p w14:paraId="344E8B55" w14:textId="77777777" w:rsidR="006460E0" w:rsidRDefault="006460E0" w:rsidP="00F15577">
      <w:pPr>
        <w:pStyle w:val="DeptBullets"/>
        <w:tabs>
          <w:tab w:val="clear" w:pos="720"/>
        </w:tabs>
        <w:spacing w:after="0"/>
        <w:ind w:left="360" w:firstLine="0"/>
      </w:pPr>
    </w:p>
    <w:p w14:paraId="48DC7D11" w14:textId="60F7AED0" w:rsidR="00955EBD" w:rsidRDefault="00F222EB" w:rsidP="00F15577">
      <w:pPr>
        <w:pStyle w:val="DeptBullets"/>
        <w:tabs>
          <w:tab w:val="clear" w:pos="720"/>
        </w:tabs>
        <w:spacing w:after="0"/>
        <w:ind w:left="360" w:firstLine="0"/>
        <w:rPr>
          <w:b/>
          <w:bCs/>
          <w:u w:val="single"/>
        </w:rPr>
      </w:pPr>
      <w:r w:rsidRPr="00955EBD">
        <w:rPr>
          <w:b/>
          <w:bCs/>
          <w:u w:val="single"/>
        </w:rPr>
        <w:t>Appropriate bodies and delivery partners</w:t>
      </w:r>
    </w:p>
    <w:p w14:paraId="095C394C" w14:textId="23EC77F3" w:rsidR="00955EBD" w:rsidRDefault="00955EBD" w:rsidP="00F15577">
      <w:pPr>
        <w:pStyle w:val="DeptBullets"/>
        <w:tabs>
          <w:tab w:val="clear" w:pos="720"/>
        </w:tabs>
        <w:spacing w:after="0"/>
        <w:ind w:left="360" w:firstLine="0"/>
      </w:pPr>
      <w:r>
        <w:rPr>
          <w:b/>
          <w:bCs/>
        </w:rPr>
        <w:t>Q</w:t>
      </w:r>
      <w:r w:rsidRPr="00955EBD">
        <w:rPr>
          <w:b/>
          <w:bCs/>
        </w:rPr>
        <w:t xml:space="preserve">: </w:t>
      </w:r>
      <w:r w:rsidR="00F222EB" w:rsidRPr="00955EBD">
        <w:rPr>
          <w:b/>
          <w:bCs/>
        </w:rPr>
        <w:t xml:space="preserve">I am assuming that this will have an impact on the number of ECTs, who are currently </w:t>
      </w:r>
      <w:r w:rsidR="00F222EB" w:rsidRPr="00955EBD">
        <w:rPr>
          <w:b/>
          <w:bCs/>
        </w:rPr>
        <w:lastRenderedPageBreak/>
        <w:t>registered with an LA (AB) if the majority of schools link with a provider? In other words what is their role?</w:t>
      </w:r>
    </w:p>
    <w:p w14:paraId="08504D70" w14:textId="22D96151" w:rsidR="00F222EB" w:rsidRDefault="00955EBD" w:rsidP="00F15577">
      <w:pPr>
        <w:pStyle w:val="DeptBullets"/>
        <w:tabs>
          <w:tab w:val="clear" w:pos="720"/>
        </w:tabs>
        <w:spacing w:after="0"/>
        <w:ind w:left="360" w:firstLine="0"/>
      </w:pPr>
      <w:r w:rsidRPr="00955EBD">
        <w:rPr>
          <w:b/>
          <w:bCs/>
        </w:rPr>
        <w:t>A:</w:t>
      </w:r>
      <w:r>
        <w:t xml:space="preserve"> </w:t>
      </w:r>
      <w:r w:rsidR="00F222EB">
        <w:t xml:space="preserve">The </w:t>
      </w:r>
      <w:r w:rsidR="005733A6">
        <w:t>appropriate body</w:t>
      </w:r>
      <w:r w:rsidR="00F222EB">
        <w:t xml:space="preserve"> role and ECF delivery partner role are distinct. Schools are free to choose the </w:t>
      </w:r>
      <w:r w:rsidR="00A41C58">
        <w:t>appropriate body</w:t>
      </w:r>
      <w:r w:rsidR="00F222EB">
        <w:t xml:space="preserve"> that best suits their needs</w:t>
      </w:r>
      <w:r w:rsidR="00B75975">
        <w:t>,</w:t>
      </w:r>
      <w:r w:rsidR="00F222EB">
        <w:t xml:space="preserve"> regardless of induction route.</w:t>
      </w:r>
      <w:r w:rsidR="005760D9">
        <w:t xml:space="preserve"> </w:t>
      </w:r>
      <w:r w:rsidR="00F222EB">
        <w:tab/>
      </w:r>
    </w:p>
    <w:p w14:paraId="6D49B641" w14:textId="77777777" w:rsidR="00B81189" w:rsidRDefault="00B81189" w:rsidP="00F15577">
      <w:pPr>
        <w:pStyle w:val="DeptBullets"/>
        <w:tabs>
          <w:tab w:val="clear" w:pos="720"/>
        </w:tabs>
        <w:spacing w:after="0"/>
        <w:ind w:left="360" w:firstLine="0"/>
      </w:pPr>
    </w:p>
    <w:p w14:paraId="08DFC69A" w14:textId="5828EFA1" w:rsidR="00B81189" w:rsidRPr="00B81189" w:rsidRDefault="00F222EB" w:rsidP="00F15577">
      <w:pPr>
        <w:pStyle w:val="DeptBullets"/>
        <w:tabs>
          <w:tab w:val="clear" w:pos="720"/>
        </w:tabs>
        <w:spacing w:after="0"/>
        <w:ind w:left="360" w:firstLine="0"/>
        <w:rPr>
          <w:b/>
          <w:bCs/>
          <w:u w:val="single"/>
        </w:rPr>
      </w:pPr>
      <w:r w:rsidRPr="00B81189">
        <w:rPr>
          <w:b/>
          <w:bCs/>
          <w:u w:val="single"/>
        </w:rPr>
        <w:t xml:space="preserve">Appropriate bodies </w:t>
      </w:r>
      <w:r w:rsidR="00B81189" w:rsidRPr="00B81189">
        <w:rPr>
          <w:b/>
          <w:bCs/>
          <w:u w:val="single"/>
        </w:rPr>
        <w:t>–</w:t>
      </w:r>
      <w:r w:rsidRPr="00B81189">
        <w:rPr>
          <w:b/>
          <w:bCs/>
          <w:u w:val="single"/>
        </w:rPr>
        <w:t xml:space="preserve"> T</w:t>
      </w:r>
      <w:r w:rsidR="00B81189" w:rsidRPr="00B81189">
        <w:rPr>
          <w:b/>
          <w:bCs/>
          <w:u w:val="single"/>
        </w:rPr>
        <w:t>eachi</w:t>
      </w:r>
      <w:r w:rsidR="00B81189">
        <w:rPr>
          <w:b/>
          <w:bCs/>
          <w:u w:val="single"/>
        </w:rPr>
        <w:t>ng</w:t>
      </w:r>
      <w:r w:rsidR="00B81189" w:rsidRPr="00B81189">
        <w:rPr>
          <w:b/>
          <w:bCs/>
          <w:u w:val="single"/>
        </w:rPr>
        <w:t xml:space="preserve"> School Hubs</w:t>
      </w:r>
    </w:p>
    <w:p w14:paraId="19475039" w14:textId="69320516" w:rsidR="00F222EB" w:rsidRPr="00B81189" w:rsidRDefault="00B81189" w:rsidP="00F15577">
      <w:pPr>
        <w:pStyle w:val="DeptBullets"/>
        <w:tabs>
          <w:tab w:val="clear" w:pos="720"/>
        </w:tabs>
        <w:spacing w:after="0"/>
        <w:ind w:left="360" w:firstLine="0"/>
        <w:rPr>
          <w:b/>
          <w:bCs/>
        </w:rPr>
      </w:pPr>
      <w:r w:rsidRPr="00B81189">
        <w:rPr>
          <w:b/>
          <w:bCs/>
        </w:rPr>
        <w:t xml:space="preserve">Q: </w:t>
      </w:r>
      <w:r w:rsidR="00F222EB" w:rsidRPr="00B81189">
        <w:rPr>
          <w:b/>
          <w:bCs/>
        </w:rPr>
        <w:t>A teaching school hub that is an accredited ITT provider cannot be the appropriate body for an ECT for whom it recommended that the award of QTS should be made; and</w:t>
      </w:r>
    </w:p>
    <w:p w14:paraId="4B828AEA" w14:textId="4D76FF6E" w:rsidR="00F222EB" w:rsidRDefault="00F222EB" w:rsidP="00F15577">
      <w:pPr>
        <w:pStyle w:val="DeptBullets"/>
        <w:tabs>
          <w:tab w:val="clear" w:pos="720"/>
        </w:tabs>
        <w:spacing w:after="0"/>
        <w:ind w:left="360" w:firstLine="0"/>
        <w:rPr>
          <w:b/>
          <w:bCs/>
        </w:rPr>
      </w:pPr>
      <w:r w:rsidRPr="00B81189">
        <w:rPr>
          <w:b/>
          <w:bCs/>
        </w:rPr>
        <w:t>• A teaching school hub cannot be the appropriate body for an ECT whom it employs, or who has served any part of their induction at that school.</w:t>
      </w:r>
      <w:r w:rsidR="00363E59">
        <w:rPr>
          <w:b/>
          <w:bCs/>
        </w:rPr>
        <w:t xml:space="preserve"> W</w:t>
      </w:r>
      <w:r w:rsidRPr="00B81189">
        <w:rPr>
          <w:b/>
          <w:bCs/>
        </w:rPr>
        <w:t>ill anybody be checking that TSH ABs are adhering to this?</w:t>
      </w:r>
      <w:r w:rsidRPr="00B81189">
        <w:rPr>
          <w:b/>
          <w:bCs/>
        </w:rPr>
        <w:tab/>
      </w:r>
      <w:r w:rsidRPr="00B81189">
        <w:rPr>
          <w:b/>
          <w:bCs/>
        </w:rPr>
        <w:tab/>
      </w:r>
    </w:p>
    <w:p w14:paraId="0BEFDFC1" w14:textId="3E343C8F" w:rsidR="00B81189" w:rsidRPr="00A55505" w:rsidRDefault="00092927" w:rsidP="00F15577">
      <w:pPr>
        <w:pStyle w:val="DeptBullets"/>
        <w:tabs>
          <w:tab w:val="clear" w:pos="720"/>
        </w:tabs>
        <w:spacing w:after="0"/>
        <w:ind w:left="360" w:firstLine="0"/>
      </w:pPr>
      <w:r>
        <w:rPr>
          <w:b/>
          <w:bCs/>
        </w:rPr>
        <w:t>A:</w:t>
      </w:r>
      <w:r w:rsidR="00F642BB">
        <w:rPr>
          <w:b/>
          <w:bCs/>
        </w:rPr>
        <w:t xml:space="preserve"> </w:t>
      </w:r>
      <w:r w:rsidR="005B4B8D" w:rsidRPr="00A55505">
        <w:t>The activity</w:t>
      </w:r>
      <w:r w:rsidR="00A55505" w:rsidRPr="00A55505">
        <w:t xml:space="preserve"> of teaching school hubs will be regularly monitored</w:t>
      </w:r>
      <w:r w:rsidR="00A55505">
        <w:t xml:space="preserve"> by the Department. </w:t>
      </w:r>
      <w:r w:rsidR="009607CF">
        <w:t xml:space="preserve">We will </w:t>
      </w:r>
      <w:r w:rsidR="00F2076A">
        <w:t xml:space="preserve">also </w:t>
      </w:r>
      <w:r w:rsidR="00A04DC6">
        <w:t>investigate</w:t>
      </w:r>
      <w:r w:rsidR="009607CF">
        <w:t xml:space="preserve"> </w:t>
      </w:r>
      <w:r w:rsidR="00BE4E49">
        <w:t xml:space="preserve">reports of </w:t>
      </w:r>
      <w:r w:rsidR="00F2076A">
        <w:t>any</w:t>
      </w:r>
      <w:r w:rsidR="00BE4E49">
        <w:t xml:space="preserve"> </w:t>
      </w:r>
      <w:r w:rsidR="00B07854">
        <w:t>appropriate bod</w:t>
      </w:r>
      <w:r w:rsidR="00F2076A">
        <w:t>y</w:t>
      </w:r>
      <w:r w:rsidR="00B07854">
        <w:t xml:space="preserve"> </w:t>
      </w:r>
      <w:r w:rsidR="005433E1">
        <w:t>flouting</w:t>
      </w:r>
      <w:r w:rsidR="00F2076A">
        <w:t xml:space="preserve"> the </w:t>
      </w:r>
      <w:r w:rsidR="005433E1">
        <w:t>relevant</w:t>
      </w:r>
      <w:r w:rsidR="00F2076A">
        <w:t xml:space="preserve"> regulations.</w:t>
      </w:r>
      <w:r w:rsidR="009607CF">
        <w:t xml:space="preserve"> </w:t>
      </w:r>
      <w:r w:rsidR="0032004D">
        <w:t xml:space="preserve"> </w:t>
      </w:r>
    </w:p>
    <w:p w14:paraId="6E746670" w14:textId="77777777" w:rsidR="00092927" w:rsidRPr="00B81189" w:rsidRDefault="00092927" w:rsidP="00F15577">
      <w:pPr>
        <w:pStyle w:val="DeptBullets"/>
        <w:tabs>
          <w:tab w:val="clear" w:pos="720"/>
        </w:tabs>
        <w:spacing w:after="0"/>
        <w:ind w:left="360" w:firstLine="0"/>
        <w:rPr>
          <w:b/>
          <w:bCs/>
        </w:rPr>
      </w:pPr>
    </w:p>
    <w:p w14:paraId="211C040E" w14:textId="77777777" w:rsidR="00092927" w:rsidRDefault="00092927" w:rsidP="00F15577">
      <w:pPr>
        <w:pStyle w:val="DeptBullets"/>
        <w:tabs>
          <w:tab w:val="clear" w:pos="720"/>
        </w:tabs>
        <w:spacing w:after="0"/>
        <w:ind w:left="360" w:firstLine="0"/>
        <w:rPr>
          <w:b/>
          <w:bCs/>
        </w:rPr>
      </w:pPr>
      <w:r w:rsidRPr="00092927">
        <w:rPr>
          <w:b/>
          <w:bCs/>
        </w:rPr>
        <w:t xml:space="preserve">Q: </w:t>
      </w:r>
      <w:r w:rsidR="00F222EB" w:rsidRPr="00092927">
        <w:rPr>
          <w:b/>
          <w:bCs/>
        </w:rPr>
        <w:t>Can TSH register their own ECTs with their AB service?</w:t>
      </w:r>
    </w:p>
    <w:p w14:paraId="232F43E9" w14:textId="1FF6C44E" w:rsidR="00413FDE" w:rsidRDefault="00092927" w:rsidP="00F15577">
      <w:pPr>
        <w:ind w:left="360"/>
        <w:rPr>
          <w:rFonts w:cs="Arial"/>
          <w:szCs w:val="24"/>
        </w:rPr>
      </w:pPr>
      <w:r>
        <w:rPr>
          <w:b/>
          <w:bCs/>
        </w:rPr>
        <w:t xml:space="preserve">A: </w:t>
      </w:r>
      <w:r w:rsidR="00F456D7" w:rsidRPr="00F456D7">
        <w:t>R</w:t>
      </w:r>
      <w:r w:rsidR="00413FDE" w:rsidRPr="009A3A3B">
        <w:rPr>
          <w:rFonts w:cs="Arial"/>
          <w:szCs w:val="24"/>
        </w:rPr>
        <w:t>egulations set out circumstances where a</w:t>
      </w:r>
      <w:r w:rsidR="00F222EB" w:rsidRPr="009A3A3B">
        <w:rPr>
          <w:rFonts w:cs="Arial"/>
          <w:szCs w:val="24"/>
        </w:rPr>
        <w:t xml:space="preserve"> </w:t>
      </w:r>
      <w:r w:rsidR="00DC6035">
        <w:rPr>
          <w:rFonts w:cs="Arial"/>
          <w:szCs w:val="24"/>
        </w:rPr>
        <w:t>teaching school hub</w:t>
      </w:r>
      <w:r w:rsidR="00F222EB" w:rsidRPr="009A3A3B">
        <w:rPr>
          <w:rFonts w:cs="Arial"/>
          <w:szCs w:val="24"/>
        </w:rPr>
        <w:t xml:space="preserve"> </w:t>
      </w:r>
      <w:r w:rsidR="00F456D7">
        <w:rPr>
          <w:rFonts w:cs="Arial"/>
          <w:szCs w:val="24"/>
        </w:rPr>
        <w:t>may not</w:t>
      </w:r>
      <w:r w:rsidR="00F222EB" w:rsidRPr="009A3A3B">
        <w:rPr>
          <w:rFonts w:cs="Arial"/>
          <w:szCs w:val="24"/>
        </w:rPr>
        <w:t xml:space="preserve"> </w:t>
      </w:r>
      <w:r w:rsidR="00413FDE" w:rsidRPr="009A3A3B">
        <w:rPr>
          <w:rFonts w:cs="Arial"/>
          <w:szCs w:val="24"/>
        </w:rPr>
        <w:t xml:space="preserve">act as an </w:t>
      </w:r>
      <w:r w:rsidR="00DC6035">
        <w:rPr>
          <w:rFonts w:cs="Arial"/>
          <w:szCs w:val="24"/>
        </w:rPr>
        <w:t>appropriate body</w:t>
      </w:r>
      <w:r w:rsidR="00413FDE" w:rsidRPr="009A3A3B">
        <w:rPr>
          <w:rFonts w:cs="Arial"/>
          <w:szCs w:val="24"/>
        </w:rPr>
        <w:t xml:space="preserve"> to avoid a possible conflict of interest:</w:t>
      </w:r>
    </w:p>
    <w:p w14:paraId="2957FD84" w14:textId="36039009" w:rsidR="00413FDE" w:rsidRPr="00413FDE" w:rsidRDefault="00413FDE" w:rsidP="00F15577">
      <w:pPr>
        <w:pStyle w:val="ListParagraph"/>
        <w:numPr>
          <w:ilvl w:val="0"/>
          <w:numId w:val="11"/>
        </w:numPr>
        <w:ind w:firstLine="0"/>
        <w:rPr>
          <w:rFonts w:cs="Arial"/>
          <w:szCs w:val="24"/>
        </w:rPr>
      </w:pPr>
      <w:r w:rsidRPr="00413FDE">
        <w:rPr>
          <w:rFonts w:cs="Arial"/>
          <w:szCs w:val="24"/>
        </w:rPr>
        <w:t xml:space="preserve">A </w:t>
      </w:r>
      <w:r w:rsidR="00DC6035">
        <w:rPr>
          <w:rFonts w:cs="Arial"/>
          <w:szCs w:val="24"/>
        </w:rPr>
        <w:t>teaching school hub</w:t>
      </w:r>
      <w:r w:rsidRPr="00413FDE">
        <w:rPr>
          <w:rFonts w:cs="Arial"/>
          <w:szCs w:val="24"/>
        </w:rPr>
        <w:t xml:space="preserve"> that is an accredited </w:t>
      </w:r>
      <w:r w:rsidR="00DC6035">
        <w:rPr>
          <w:rFonts w:cs="Arial"/>
          <w:szCs w:val="24"/>
        </w:rPr>
        <w:t>initial teacher training</w:t>
      </w:r>
      <w:r w:rsidRPr="00413FDE">
        <w:rPr>
          <w:rFonts w:cs="Arial"/>
          <w:szCs w:val="24"/>
        </w:rPr>
        <w:t xml:space="preserve"> provider cannot </w:t>
      </w:r>
      <w:r w:rsidR="00F222EB" w:rsidRPr="00413FDE">
        <w:rPr>
          <w:rFonts w:cs="Arial"/>
          <w:szCs w:val="24"/>
        </w:rPr>
        <w:t xml:space="preserve">be the </w:t>
      </w:r>
      <w:r w:rsidR="00DC6035">
        <w:rPr>
          <w:rFonts w:cs="Arial"/>
          <w:szCs w:val="24"/>
        </w:rPr>
        <w:t>appropriate body</w:t>
      </w:r>
      <w:r w:rsidR="00F222EB" w:rsidRPr="00413FDE">
        <w:rPr>
          <w:rFonts w:cs="Arial"/>
          <w:szCs w:val="24"/>
        </w:rPr>
        <w:t xml:space="preserve"> for </w:t>
      </w:r>
      <w:r w:rsidR="00DC6035">
        <w:rPr>
          <w:rFonts w:cs="Arial"/>
          <w:szCs w:val="24"/>
        </w:rPr>
        <w:t>a teacher</w:t>
      </w:r>
      <w:r w:rsidR="00F222EB" w:rsidRPr="00413FDE">
        <w:rPr>
          <w:rFonts w:cs="Arial"/>
          <w:szCs w:val="24"/>
        </w:rPr>
        <w:t xml:space="preserve"> </w:t>
      </w:r>
      <w:r w:rsidRPr="00413FDE">
        <w:rPr>
          <w:rFonts w:cs="Arial"/>
          <w:szCs w:val="24"/>
        </w:rPr>
        <w:t xml:space="preserve">for whom it recommended that the award of </w:t>
      </w:r>
      <w:r w:rsidR="00DC6035">
        <w:rPr>
          <w:rFonts w:cs="Arial"/>
          <w:szCs w:val="24"/>
        </w:rPr>
        <w:t>qualified teacher status</w:t>
      </w:r>
      <w:r w:rsidRPr="00413FDE">
        <w:rPr>
          <w:rFonts w:cs="Arial"/>
          <w:szCs w:val="24"/>
        </w:rPr>
        <w:t xml:space="preserve"> should be made;</w:t>
      </w:r>
    </w:p>
    <w:p w14:paraId="5CE146DB" w14:textId="41B96C41" w:rsidR="00413FDE" w:rsidRPr="00413FDE" w:rsidRDefault="00413FDE" w:rsidP="00F15577">
      <w:pPr>
        <w:pStyle w:val="ListParagraph"/>
        <w:numPr>
          <w:ilvl w:val="0"/>
          <w:numId w:val="11"/>
        </w:numPr>
        <w:ind w:firstLine="0"/>
        <w:rPr>
          <w:rFonts w:cs="Arial"/>
          <w:szCs w:val="24"/>
        </w:rPr>
      </w:pPr>
      <w:r w:rsidRPr="00413FDE">
        <w:rPr>
          <w:rFonts w:cs="Arial"/>
          <w:szCs w:val="24"/>
        </w:rPr>
        <w:t xml:space="preserve">A </w:t>
      </w:r>
      <w:r w:rsidR="00DC6035">
        <w:rPr>
          <w:rFonts w:cs="Arial"/>
          <w:szCs w:val="24"/>
        </w:rPr>
        <w:t>teaching school hub</w:t>
      </w:r>
      <w:r w:rsidRPr="00413FDE">
        <w:rPr>
          <w:rFonts w:cs="Arial"/>
          <w:szCs w:val="24"/>
        </w:rPr>
        <w:t xml:space="preserve"> cannot be the </w:t>
      </w:r>
      <w:r w:rsidR="00DC6035">
        <w:rPr>
          <w:rFonts w:cs="Arial"/>
          <w:szCs w:val="24"/>
        </w:rPr>
        <w:t>appropriate body</w:t>
      </w:r>
      <w:r w:rsidRPr="00413FDE">
        <w:rPr>
          <w:rFonts w:cs="Arial"/>
          <w:szCs w:val="24"/>
        </w:rPr>
        <w:t xml:space="preserve"> to a</w:t>
      </w:r>
      <w:r w:rsidR="00DC6035">
        <w:rPr>
          <w:rFonts w:cs="Arial"/>
          <w:szCs w:val="24"/>
        </w:rPr>
        <w:t xml:space="preserve"> teacher</w:t>
      </w:r>
      <w:r w:rsidRPr="00413FDE">
        <w:rPr>
          <w:rFonts w:cs="Arial"/>
          <w:szCs w:val="24"/>
        </w:rPr>
        <w:t xml:space="preserve"> </w:t>
      </w:r>
      <w:r w:rsidR="00F222EB" w:rsidRPr="00413FDE">
        <w:rPr>
          <w:rFonts w:cs="Arial"/>
          <w:szCs w:val="24"/>
        </w:rPr>
        <w:t xml:space="preserve">who </w:t>
      </w:r>
      <w:r w:rsidRPr="00413FDE">
        <w:rPr>
          <w:rFonts w:cs="Arial"/>
          <w:szCs w:val="24"/>
        </w:rPr>
        <w:t>has served any part of their</w:t>
      </w:r>
      <w:r w:rsidR="00F222EB" w:rsidRPr="00413FDE">
        <w:rPr>
          <w:rFonts w:cs="Arial"/>
          <w:szCs w:val="24"/>
        </w:rPr>
        <w:t xml:space="preserve"> induction </w:t>
      </w:r>
      <w:r w:rsidRPr="00413FDE">
        <w:rPr>
          <w:rFonts w:cs="Arial"/>
          <w:szCs w:val="24"/>
        </w:rPr>
        <w:t xml:space="preserve">period </w:t>
      </w:r>
      <w:r w:rsidR="00F222EB" w:rsidRPr="00413FDE">
        <w:rPr>
          <w:rFonts w:cs="Arial"/>
          <w:szCs w:val="24"/>
        </w:rPr>
        <w:t>at that school.</w:t>
      </w:r>
    </w:p>
    <w:p w14:paraId="6A180919" w14:textId="496820E4" w:rsidR="00F222EB" w:rsidRPr="00092927" w:rsidRDefault="00F222EB" w:rsidP="00F15577">
      <w:pPr>
        <w:pStyle w:val="DeptBullets"/>
        <w:tabs>
          <w:tab w:val="clear" w:pos="720"/>
        </w:tabs>
        <w:spacing w:after="0"/>
        <w:ind w:left="360" w:firstLine="0"/>
      </w:pPr>
      <w:r w:rsidRPr="00092927">
        <w:tab/>
      </w:r>
    </w:p>
    <w:p w14:paraId="0DBB0230" w14:textId="77777777" w:rsidR="00092927" w:rsidRDefault="00092927" w:rsidP="00F15577">
      <w:pPr>
        <w:pStyle w:val="DeptBullets"/>
        <w:tabs>
          <w:tab w:val="clear" w:pos="720"/>
        </w:tabs>
        <w:spacing w:after="0"/>
        <w:ind w:left="360" w:firstLine="0"/>
        <w:rPr>
          <w:b/>
          <w:bCs/>
        </w:rPr>
      </w:pPr>
      <w:r w:rsidRPr="00092927">
        <w:rPr>
          <w:b/>
          <w:bCs/>
        </w:rPr>
        <w:t xml:space="preserve">Q: </w:t>
      </w:r>
      <w:r w:rsidR="00F222EB" w:rsidRPr="00092927">
        <w:rPr>
          <w:b/>
          <w:bCs/>
        </w:rPr>
        <w:t>Do TSHs have to show through their numbers that they are not just offering the AB service but have registered ECTs.  will it affect their funding if they don't?</w:t>
      </w:r>
    </w:p>
    <w:p w14:paraId="3721F8F9" w14:textId="3AC645C1" w:rsidR="00F222EB" w:rsidRPr="00092927" w:rsidRDefault="00092927" w:rsidP="00F15577">
      <w:pPr>
        <w:pStyle w:val="DeptBullets"/>
        <w:tabs>
          <w:tab w:val="clear" w:pos="720"/>
        </w:tabs>
        <w:spacing w:after="0"/>
        <w:ind w:left="360" w:firstLine="0"/>
      </w:pPr>
      <w:r>
        <w:rPr>
          <w:b/>
          <w:bCs/>
        </w:rPr>
        <w:t xml:space="preserve">A: </w:t>
      </w:r>
      <w:r w:rsidR="009321D6">
        <w:t>Teaching school hubs</w:t>
      </w:r>
      <w:r w:rsidR="00F222EB" w:rsidRPr="00092927">
        <w:t xml:space="preserve"> will be expected to provide </w:t>
      </w:r>
      <w:r w:rsidR="00C80299">
        <w:t>appropriate body</w:t>
      </w:r>
      <w:r w:rsidR="00F222EB" w:rsidRPr="00092927">
        <w:t xml:space="preserve"> services to meet local need. Their funding is not linked to number of </w:t>
      </w:r>
      <w:r w:rsidR="009321D6">
        <w:t>early career teachers</w:t>
      </w:r>
      <w:r w:rsidR="00F222EB" w:rsidRPr="00092927">
        <w:t xml:space="preserve"> registered.</w:t>
      </w:r>
      <w:r w:rsidR="00F222EB" w:rsidRPr="00092927">
        <w:tab/>
      </w:r>
    </w:p>
    <w:p w14:paraId="6F6E72CB" w14:textId="77777777" w:rsidR="00092927" w:rsidRDefault="00092927" w:rsidP="00F15577">
      <w:pPr>
        <w:pStyle w:val="DeptBullets"/>
        <w:tabs>
          <w:tab w:val="clear" w:pos="720"/>
        </w:tabs>
        <w:spacing w:after="0"/>
        <w:ind w:left="360" w:firstLine="0"/>
      </w:pPr>
    </w:p>
    <w:p w14:paraId="37EC2CD1" w14:textId="76678AFE" w:rsidR="00092927" w:rsidRDefault="00092927" w:rsidP="00F15577">
      <w:pPr>
        <w:pStyle w:val="DeptBullets"/>
        <w:tabs>
          <w:tab w:val="clear" w:pos="720"/>
        </w:tabs>
        <w:spacing w:after="0"/>
        <w:ind w:left="360" w:firstLine="0"/>
        <w:rPr>
          <w:b/>
          <w:bCs/>
        </w:rPr>
      </w:pPr>
      <w:r w:rsidRPr="00092927">
        <w:rPr>
          <w:b/>
          <w:bCs/>
        </w:rPr>
        <w:t xml:space="preserve">Q: </w:t>
      </w:r>
      <w:r w:rsidR="00F222EB" w:rsidRPr="00092927">
        <w:rPr>
          <w:b/>
          <w:bCs/>
        </w:rPr>
        <w:t xml:space="preserve">if we have a teacher currently on </w:t>
      </w:r>
      <w:r w:rsidR="00BB5805" w:rsidRPr="00092927">
        <w:rPr>
          <w:b/>
          <w:bCs/>
        </w:rPr>
        <w:t>Induction</w:t>
      </w:r>
      <w:r w:rsidR="00F222EB" w:rsidRPr="00092927">
        <w:rPr>
          <w:b/>
          <w:bCs/>
        </w:rPr>
        <w:t xml:space="preserve"> who is part time and running into next year, how will this work? As the AB we are currently using won't be an AB </w:t>
      </w:r>
      <w:r w:rsidR="00BB5805" w:rsidRPr="00092927">
        <w:rPr>
          <w:b/>
          <w:bCs/>
        </w:rPr>
        <w:t>anymore</w:t>
      </w:r>
      <w:r w:rsidR="00F222EB" w:rsidRPr="00092927">
        <w:rPr>
          <w:b/>
          <w:bCs/>
        </w:rPr>
        <w:t xml:space="preserve"> as they are not a Super Teaching School.</w:t>
      </w:r>
    </w:p>
    <w:p w14:paraId="2D5929B9" w14:textId="75FD1577" w:rsidR="00F222EB" w:rsidRPr="00092927" w:rsidRDefault="00092927" w:rsidP="00F15577">
      <w:pPr>
        <w:pStyle w:val="DeptBullets"/>
        <w:tabs>
          <w:tab w:val="clear" w:pos="720"/>
        </w:tabs>
        <w:spacing w:after="0"/>
        <w:ind w:left="360" w:firstLine="0"/>
      </w:pPr>
      <w:r>
        <w:rPr>
          <w:b/>
          <w:bCs/>
        </w:rPr>
        <w:t xml:space="preserve">A: </w:t>
      </w:r>
      <w:r w:rsidR="00F222EB" w:rsidRPr="00092927">
        <w:t xml:space="preserve">Schools </w:t>
      </w:r>
      <w:r w:rsidR="00BB5805">
        <w:t>that are</w:t>
      </w:r>
      <w:r w:rsidR="00F222EB" w:rsidRPr="00092927">
        <w:t xml:space="preserve"> currently using a teaching school </w:t>
      </w:r>
      <w:r w:rsidR="00C80299">
        <w:t>appropriate body</w:t>
      </w:r>
      <w:r w:rsidR="00F222EB" w:rsidRPr="00092927">
        <w:t xml:space="preserve"> should make arrangements with an </w:t>
      </w:r>
      <w:r w:rsidR="00C80299">
        <w:t>appropriate body</w:t>
      </w:r>
      <w:r w:rsidR="00F222EB" w:rsidRPr="00092927">
        <w:t xml:space="preserve"> that can operate from September.</w:t>
      </w:r>
      <w:r w:rsidR="00F222EB" w:rsidRPr="00092927">
        <w:tab/>
      </w:r>
    </w:p>
    <w:p w14:paraId="0A54D990" w14:textId="77777777" w:rsidR="00092927" w:rsidRDefault="00092927" w:rsidP="00F15577">
      <w:pPr>
        <w:pStyle w:val="DeptBullets"/>
        <w:tabs>
          <w:tab w:val="clear" w:pos="720"/>
        </w:tabs>
        <w:spacing w:after="0"/>
        <w:ind w:left="360" w:firstLine="0"/>
      </w:pPr>
    </w:p>
    <w:p w14:paraId="46F3475E" w14:textId="3A87A8BE" w:rsidR="00F85876" w:rsidRDefault="00F222EB" w:rsidP="00F15577">
      <w:pPr>
        <w:pStyle w:val="DeptBullets"/>
        <w:tabs>
          <w:tab w:val="clear" w:pos="720"/>
        </w:tabs>
        <w:spacing w:after="0"/>
        <w:ind w:left="360" w:firstLine="0"/>
      </w:pPr>
      <w:r w:rsidRPr="00F85876">
        <w:rPr>
          <w:b/>
          <w:bCs/>
          <w:u w:val="single"/>
        </w:rPr>
        <w:t xml:space="preserve">Appropriate bodies </w:t>
      </w:r>
      <w:r w:rsidR="00F85876">
        <w:rPr>
          <w:b/>
          <w:bCs/>
          <w:u w:val="single"/>
        </w:rPr>
        <w:t>–</w:t>
      </w:r>
      <w:r w:rsidRPr="00F85876">
        <w:rPr>
          <w:b/>
          <w:bCs/>
          <w:u w:val="single"/>
        </w:rPr>
        <w:t xml:space="preserve"> Providers</w:t>
      </w:r>
    </w:p>
    <w:p w14:paraId="73AB20E6" w14:textId="67F65280" w:rsidR="009B004B" w:rsidRDefault="009B004B" w:rsidP="00F15577">
      <w:pPr>
        <w:pStyle w:val="DeptBullets"/>
        <w:tabs>
          <w:tab w:val="clear" w:pos="720"/>
        </w:tabs>
        <w:spacing w:after="0"/>
        <w:ind w:left="360" w:firstLine="0"/>
        <w:rPr>
          <w:b/>
          <w:bCs/>
        </w:rPr>
      </w:pPr>
      <w:r w:rsidRPr="00F33AA5">
        <w:rPr>
          <w:b/>
          <w:bCs/>
        </w:rPr>
        <w:t xml:space="preserve">Q: When will an overview of the providers' materials be </w:t>
      </w:r>
      <w:r w:rsidR="00BB5805" w:rsidRPr="00F33AA5">
        <w:rPr>
          <w:b/>
          <w:bCs/>
        </w:rPr>
        <w:t>available</w:t>
      </w:r>
      <w:r w:rsidRPr="00F33AA5">
        <w:rPr>
          <w:b/>
          <w:bCs/>
        </w:rPr>
        <w:t xml:space="preserve"> for ABs to review?</w:t>
      </w:r>
    </w:p>
    <w:p w14:paraId="071A14C3" w14:textId="77777777" w:rsidR="009B004B" w:rsidRDefault="009B004B" w:rsidP="00F15577">
      <w:pPr>
        <w:pStyle w:val="DeptBullets"/>
        <w:tabs>
          <w:tab w:val="clear" w:pos="720"/>
        </w:tabs>
        <w:spacing w:after="0"/>
        <w:ind w:left="360" w:firstLine="0"/>
      </w:pPr>
      <w:r>
        <w:rPr>
          <w:b/>
          <w:bCs/>
        </w:rPr>
        <w:t xml:space="preserve">A: </w:t>
      </w:r>
      <w:r>
        <w:t xml:space="preserve">All providers are linked to from the GOV.UK pages: </w:t>
      </w:r>
      <w:hyperlink r:id="rId20" w:history="1">
        <w:r w:rsidRPr="00130655">
          <w:rPr>
            <w:rStyle w:val="Hyperlink"/>
          </w:rPr>
          <w:t>https://www.gov.uk/government/publications/early-career-framework-reforms-overview/early-career-framework-reforms-overview</w:t>
        </w:r>
      </w:hyperlink>
    </w:p>
    <w:p w14:paraId="0E9B4466" w14:textId="77777777" w:rsidR="009B004B" w:rsidRDefault="009B004B" w:rsidP="00F15577">
      <w:pPr>
        <w:pStyle w:val="DeptBullets"/>
        <w:tabs>
          <w:tab w:val="clear" w:pos="720"/>
        </w:tabs>
        <w:spacing w:after="0"/>
        <w:ind w:left="360" w:firstLine="0"/>
      </w:pPr>
      <w:r>
        <w:tab/>
      </w:r>
    </w:p>
    <w:p w14:paraId="6F3AD55E" w14:textId="2496F843" w:rsidR="000267F1" w:rsidRDefault="00F222EB" w:rsidP="00F15577">
      <w:pPr>
        <w:pStyle w:val="DeptBullets"/>
        <w:tabs>
          <w:tab w:val="clear" w:pos="720"/>
        </w:tabs>
        <w:spacing w:after="0"/>
        <w:ind w:left="360" w:firstLine="0"/>
        <w:rPr>
          <w:b/>
          <w:bCs/>
          <w:u w:val="single"/>
        </w:rPr>
      </w:pPr>
      <w:r w:rsidRPr="000267F1">
        <w:rPr>
          <w:b/>
          <w:bCs/>
          <w:u w:val="single"/>
        </w:rPr>
        <w:t xml:space="preserve">Appropriate bodies </w:t>
      </w:r>
      <w:r w:rsidR="000267F1">
        <w:rPr>
          <w:b/>
          <w:bCs/>
          <w:u w:val="single"/>
        </w:rPr>
        <w:t>–</w:t>
      </w:r>
      <w:r w:rsidRPr="000267F1">
        <w:rPr>
          <w:b/>
          <w:bCs/>
          <w:u w:val="single"/>
        </w:rPr>
        <w:t xml:space="preserve"> charging</w:t>
      </w:r>
    </w:p>
    <w:p w14:paraId="0F250976" w14:textId="77777777" w:rsidR="000267F1" w:rsidRDefault="000267F1" w:rsidP="00F15577">
      <w:pPr>
        <w:pStyle w:val="DeptBullets"/>
        <w:tabs>
          <w:tab w:val="clear" w:pos="720"/>
        </w:tabs>
        <w:spacing w:after="0"/>
        <w:ind w:left="360" w:firstLine="0"/>
        <w:rPr>
          <w:b/>
          <w:bCs/>
        </w:rPr>
      </w:pPr>
      <w:r w:rsidRPr="000267F1">
        <w:rPr>
          <w:b/>
          <w:bCs/>
        </w:rPr>
        <w:t xml:space="preserve">Q: </w:t>
      </w:r>
      <w:r w:rsidR="00F222EB" w:rsidRPr="000267F1">
        <w:rPr>
          <w:b/>
          <w:bCs/>
        </w:rPr>
        <w:t>How are you dealing with the discrepancy of pricing between teaching school hubs and LA’s</w:t>
      </w:r>
      <w:r>
        <w:rPr>
          <w:b/>
          <w:bCs/>
        </w:rPr>
        <w:t>?</w:t>
      </w:r>
    </w:p>
    <w:p w14:paraId="5CE83029" w14:textId="04550E05" w:rsidR="002F5999" w:rsidRDefault="000267F1" w:rsidP="00F15577">
      <w:pPr>
        <w:pStyle w:val="DeptBullets"/>
        <w:tabs>
          <w:tab w:val="clear" w:pos="720"/>
        </w:tabs>
        <w:spacing w:after="0"/>
        <w:ind w:left="360" w:firstLine="0"/>
      </w:pPr>
      <w:r>
        <w:rPr>
          <w:b/>
          <w:bCs/>
        </w:rPr>
        <w:t xml:space="preserve">A: </w:t>
      </w:r>
      <w:r w:rsidR="00F222EB" w:rsidRPr="000267F1">
        <w:t xml:space="preserve">It is for </w:t>
      </w:r>
      <w:r w:rsidR="000340B0">
        <w:t>appropriate bodies</w:t>
      </w:r>
      <w:r w:rsidR="00F222EB" w:rsidRPr="000267F1">
        <w:t xml:space="preserve"> to determine their pricing based on their costs and operating models. The services offered by appropriate bodies, and therefore associated cost, can vary and schools have the choice to use whichever </w:t>
      </w:r>
      <w:r w:rsidR="000340B0">
        <w:t>appropriate body</w:t>
      </w:r>
      <w:r w:rsidR="00F222EB" w:rsidRPr="000267F1">
        <w:t xml:space="preserve"> best suits their needs.</w:t>
      </w:r>
      <w:r w:rsidR="00C74A40">
        <w:t xml:space="preserve"> </w:t>
      </w:r>
    </w:p>
    <w:p w14:paraId="745807BD" w14:textId="77777777" w:rsidR="002F5999" w:rsidRDefault="002F5999" w:rsidP="00F15577">
      <w:pPr>
        <w:pStyle w:val="DeptBullets"/>
        <w:tabs>
          <w:tab w:val="clear" w:pos="720"/>
        </w:tabs>
        <w:spacing w:after="0"/>
        <w:ind w:left="360" w:firstLine="0"/>
      </w:pPr>
    </w:p>
    <w:p w14:paraId="26556AB2" w14:textId="508B02FD" w:rsidR="002F5999" w:rsidRDefault="002F5999" w:rsidP="00F15577">
      <w:pPr>
        <w:pStyle w:val="DeptBullets"/>
        <w:tabs>
          <w:tab w:val="clear" w:pos="720"/>
        </w:tabs>
        <w:spacing w:after="0"/>
        <w:ind w:left="360" w:firstLine="0"/>
      </w:pPr>
      <w:r>
        <w:t xml:space="preserve">We recognise that </w:t>
      </w:r>
      <w:r w:rsidR="0097240E">
        <w:t xml:space="preserve">from September, </w:t>
      </w:r>
      <w:r>
        <w:t>s</w:t>
      </w:r>
      <w:r w:rsidR="00C74A40">
        <w:t xml:space="preserve">ome </w:t>
      </w:r>
      <w:r w:rsidR="000340B0">
        <w:t>appropriate bodies</w:t>
      </w:r>
      <w:r w:rsidR="00C74A40">
        <w:t xml:space="preserve"> may choose to adapt their fees to reflect reforms to induction, balancing factors such as longer induction period, fewer formal assessment points, revised checking expectations and options around induction routes. </w:t>
      </w:r>
    </w:p>
    <w:p w14:paraId="115F34D2" w14:textId="77777777" w:rsidR="002F5999" w:rsidRDefault="002F5999" w:rsidP="00F15577">
      <w:pPr>
        <w:pStyle w:val="DeptBullets"/>
        <w:tabs>
          <w:tab w:val="clear" w:pos="720"/>
        </w:tabs>
        <w:spacing w:after="0"/>
        <w:ind w:left="360" w:firstLine="0"/>
      </w:pPr>
    </w:p>
    <w:p w14:paraId="6E50EEE0" w14:textId="00DA25D0" w:rsidR="00F222EB" w:rsidRPr="000267F1" w:rsidRDefault="000340B0" w:rsidP="00F15577">
      <w:pPr>
        <w:pStyle w:val="DeptBullets"/>
        <w:tabs>
          <w:tab w:val="clear" w:pos="720"/>
        </w:tabs>
        <w:spacing w:after="0"/>
        <w:ind w:left="360" w:firstLine="0"/>
      </w:pPr>
      <w:r>
        <w:t>Appropriate bodies</w:t>
      </w:r>
      <w:r w:rsidR="002F5999">
        <w:t xml:space="preserve"> are encouraged not to charge for additional support where it is needed in exceptional circumstances to ensure schools are not discouraged by cost from seeking out support where this is required. </w:t>
      </w:r>
      <w:r w:rsidR="00F222EB" w:rsidRPr="000267F1">
        <w:tab/>
      </w:r>
    </w:p>
    <w:p w14:paraId="5C5A46D9" w14:textId="77777777" w:rsidR="000267F1" w:rsidRDefault="000267F1" w:rsidP="00F15577">
      <w:pPr>
        <w:pStyle w:val="DeptBullets"/>
        <w:tabs>
          <w:tab w:val="clear" w:pos="720"/>
        </w:tabs>
        <w:spacing w:after="0"/>
        <w:ind w:left="360" w:firstLine="0"/>
      </w:pPr>
    </w:p>
    <w:p w14:paraId="10859CB4" w14:textId="77777777" w:rsidR="000267F1" w:rsidRDefault="000267F1" w:rsidP="00F15577">
      <w:pPr>
        <w:pStyle w:val="DeptBullets"/>
        <w:tabs>
          <w:tab w:val="clear" w:pos="720"/>
        </w:tabs>
        <w:spacing w:after="0"/>
        <w:ind w:left="360" w:firstLine="0"/>
      </w:pPr>
      <w:r w:rsidRPr="000267F1">
        <w:rPr>
          <w:b/>
          <w:bCs/>
        </w:rPr>
        <w:lastRenderedPageBreak/>
        <w:t xml:space="preserve">Q: </w:t>
      </w:r>
      <w:r w:rsidR="00F222EB" w:rsidRPr="000267F1">
        <w:rPr>
          <w:b/>
          <w:bCs/>
        </w:rPr>
        <w:t>I take the point about why you don't offer guidance on funding. However, anecdotal evidence suggests that some ABs are offering a very cheap service- will you be quality ensuring such provision?</w:t>
      </w:r>
    </w:p>
    <w:p w14:paraId="23166A37" w14:textId="6EAC6F13" w:rsidR="009573F2" w:rsidRDefault="000267F1" w:rsidP="009D29F0">
      <w:pPr>
        <w:pStyle w:val="DeptBullets"/>
        <w:tabs>
          <w:tab w:val="clear" w:pos="720"/>
        </w:tabs>
        <w:spacing w:after="0"/>
        <w:ind w:left="360" w:firstLine="0"/>
      </w:pPr>
      <w:r w:rsidRPr="000267F1">
        <w:rPr>
          <w:b/>
          <w:bCs/>
        </w:rPr>
        <w:t>A:</w:t>
      </w:r>
      <w:r>
        <w:t xml:space="preserve"> </w:t>
      </w:r>
      <w:r w:rsidR="00F222EB">
        <w:t xml:space="preserve">We want all </w:t>
      </w:r>
      <w:r w:rsidR="000340B0">
        <w:t>appropriate bodies</w:t>
      </w:r>
      <w:r w:rsidR="00F222EB">
        <w:t xml:space="preserve"> to meet high standards and will review options around </w:t>
      </w:r>
      <w:r w:rsidR="00AE2008">
        <w:t>quality assurance</w:t>
      </w:r>
      <w:r w:rsidR="00F222EB">
        <w:t xml:space="preserve"> of </w:t>
      </w:r>
      <w:r w:rsidR="00AE2008">
        <w:t>appropriate bodies</w:t>
      </w:r>
      <w:r w:rsidR="00594757">
        <w:t xml:space="preserve"> through accreditation</w:t>
      </w:r>
      <w:r w:rsidR="00F222EB">
        <w:t>. We</w:t>
      </w:r>
      <w:r w:rsidR="004601C1">
        <w:t xml:space="preserve"> will</w:t>
      </w:r>
      <w:r w:rsidR="00F222EB">
        <w:t xml:space="preserve"> consult with </w:t>
      </w:r>
      <w:r w:rsidR="000340B0">
        <w:t xml:space="preserve">the sector </w:t>
      </w:r>
      <w:r w:rsidR="00E12B02">
        <w:t>on the</w:t>
      </w:r>
      <w:r w:rsidR="00BB1ADA">
        <w:t xml:space="preserve"> possible criteria and options</w:t>
      </w:r>
      <w:r w:rsidR="00F222EB">
        <w:t xml:space="preserve"> </w:t>
      </w:r>
      <w:r w:rsidR="000340B0">
        <w:t xml:space="preserve">for accreditation </w:t>
      </w:r>
      <w:r w:rsidR="00F222EB">
        <w:t>in due course.</w:t>
      </w:r>
      <w:r w:rsidR="00F222EB">
        <w:tab/>
      </w:r>
    </w:p>
    <w:sectPr w:rsidR="009573F2" w:rsidSect="00F222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C7EB" w14:textId="77777777" w:rsidR="000105A1" w:rsidRDefault="000105A1">
      <w:r>
        <w:separator/>
      </w:r>
    </w:p>
  </w:endnote>
  <w:endnote w:type="continuationSeparator" w:id="0">
    <w:p w14:paraId="4955B9EE" w14:textId="77777777" w:rsidR="000105A1" w:rsidRDefault="000105A1">
      <w:r>
        <w:continuationSeparator/>
      </w:r>
    </w:p>
  </w:endnote>
  <w:endnote w:type="continuationNotice" w:id="1">
    <w:p w14:paraId="125F05BA" w14:textId="77777777" w:rsidR="000105A1" w:rsidRDefault="00010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AD21" w14:textId="77777777" w:rsidR="000105A1" w:rsidRDefault="000105A1">
      <w:r>
        <w:separator/>
      </w:r>
    </w:p>
  </w:footnote>
  <w:footnote w:type="continuationSeparator" w:id="0">
    <w:p w14:paraId="1C63F6F6" w14:textId="77777777" w:rsidR="000105A1" w:rsidRDefault="000105A1">
      <w:r>
        <w:continuationSeparator/>
      </w:r>
    </w:p>
  </w:footnote>
  <w:footnote w:type="continuationNotice" w:id="1">
    <w:p w14:paraId="78C564D8" w14:textId="77777777" w:rsidR="000105A1" w:rsidRDefault="000105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EB5"/>
    <w:multiLevelType w:val="hybridMultilevel"/>
    <w:tmpl w:val="AAE6D17E"/>
    <w:lvl w:ilvl="0" w:tplc="45B82E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A48BE"/>
    <w:multiLevelType w:val="hybridMultilevel"/>
    <w:tmpl w:val="AE207DDE"/>
    <w:lvl w:ilvl="0" w:tplc="15A6E3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6C13FC"/>
    <w:multiLevelType w:val="hybridMultilevel"/>
    <w:tmpl w:val="ABA8E1A2"/>
    <w:lvl w:ilvl="0" w:tplc="45B82E3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545890"/>
    <w:multiLevelType w:val="hybridMultilevel"/>
    <w:tmpl w:val="D01E8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B84644"/>
    <w:multiLevelType w:val="hybridMultilevel"/>
    <w:tmpl w:val="F45E6B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E253551"/>
    <w:multiLevelType w:val="hybridMultilevel"/>
    <w:tmpl w:val="17D83730"/>
    <w:lvl w:ilvl="0" w:tplc="CBE47EA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5E7848"/>
    <w:multiLevelType w:val="hybridMultilevel"/>
    <w:tmpl w:val="504E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30DE6DB8"/>
    <w:multiLevelType w:val="hybridMultilevel"/>
    <w:tmpl w:val="56FC8BF2"/>
    <w:lvl w:ilvl="0" w:tplc="C0CAC0AC">
      <w:start w:val="4"/>
      <w:numFmt w:val="decimal"/>
      <w:lvlText w:val="%1"/>
      <w:lvlJc w:val="left"/>
      <w:pPr>
        <w:ind w:left="820" w:hanging="708"/>
      </w:pPr>
      <w:rPr>
        <w:rFonts w:hint="default"/>
        <w:lang w:val="en-GB" w:eastAsia="en-GB" w:bidi="en-GB"/>
      </w:rPr>
    </w:lvl>
    <w:lvl w:ilvl="1" w:tplc="00F06B34">
      <w:start w:val="1"/>
      <w:numFmt w:val="decimal"/>
      <w:lvlText w:val="%1.%2"/>
      <w:lvlJc w:val="left"/>
      <w:pPr>
        <w:ind w:left="820" w:hanging="708"/>
      </w:pPr>
      <w:rPr>
        <w:rFonts w:ascii="Arial" w:eastAsia="Arial" w:hAnsi="Arial" w:cs="Arial" w:hint="default"/>
        <w:spacing w:val="-4"/>
        <w:w w:val="100"/>
        <w:sz w:val="24"/>
        <w:szCs w:val="24"/>
        <w:lang w:val="en-GB" w:eastAsia="en-GB" w:bidi="en-GB"/>
      </w:rPr>
    </w:lvl>
    <w:lvl w:ilvl="2" w:tplc="0EF2A68C">
      <w:numFmt w:val="bullet"/>
      <w:lvlText w:val=""/>
      <w:lvlJc w:val="left"/>
      <w:pPr>
        <w:ind w:left="1190" w:hanging="358"/>
      </w:pPr>
      <w:rPr>
        <w:rFonts w:ascii="Symbol" w:eastAsia="Symbol" w:hAnsi="Symbol" w:cs="Symbol" w:hint="default"/>
        <w:w w:val="100"/>
        <w:sz w:val="24"/>
        <w:szCs w:val="24"/>
        <w:lang w:val="en-GB" w:eastAsia="en-GB" w:bidi="en-GB"/>
      </w:rPr>
    </w:lvl>
    <w:lvl w:ilvl="3" w:tplc="BBDC8462">
      <w:numFmt w:val="bullet"/>
      <w:lvlText w:val="•"/>
      <w:lvlJc w:val="left"/>
      <w:pPr>
        <w:ind w:left="3214" w:hanging="358"/>
      </w:pPr>
      <w:rPr>
        <w:rFonts w:hint="default"/>
        <w:lang w:val="en-GB" w:eastAsia="en-GB" w:bidi="en-GB"/>
      </w:rPr>
    </w:lvl>
    <w:lvl w:ilvl="4" w:tplc="32401082">
      <w:numFmt w:val="bullet"/>
      <w:lvlText w:val="•"/>
      <w:lvlJc w:val="left"/>
      <w:pPr>
        <w:ind w:left="4222" w:hanging="358"/>
      </w:pPr>
      <w:rPr>
        <w:rFonts w:hint="default"/>
        <w:lang w:val="en-GB" w:eastAsia="en-GB" w:bidi="en-GB"/>
      </w:rPr>
    </w:lvl>
    <w:lvl w:ilvl="5" w:tplc="9D6806D8">
      <w:numFmt w:val="bullet"/>
      <w:lvlText w:val="•"/>
      <w:lvlJc w:val="left"/>
      <w:pPr>
        <w:ind w:left="5229" w:hanging="358"/>
      </w:pPr>
      <w:rPr>
        <w:rFonts w:hint="default"/>
        <w:lang w:val="en-GB" w:eastAsia="en-GB" w:bidi="en-GB"/>
      </w:rPr>
    </w:lvl>
    <w:lvl w:ilvl="6" w:tplc="FD00A03C">
      <w:numFmt w:val="bullet"/>
      <w:lvlText w:val="•"/>
      <w:lvlJc w:val="left"/>
      <w:pPr>
        <w:ind w:left="6236" w:hanging="358"/>
      </w:pPr>
      <w:rPr>
        <w:rFonts w:hint="default"/>
        <w:lang w:val="en-GB" w:eastAsia="en-GB" w:bidi="en-GB"/>
      </w:rPr>
    </w:lvl>
    <w:lvl w:ilvl="7" w:tplc="B2F040A4">
      <w:numFmt w:val="bullet"/>
      <w:lvlText w:val="•"/>
      <w:lvlJc w:val="left"/>
      <w:pPr>
        <w:ind w:left="7244" w:hanging="358"/>
      </w:pPr>
      <w:rPr>
        <w:rFonts w:hint="default"/>
        <w:lang w:val="en-GB" w:eastAsia="en-GB" w:bidi="en-GB"/>
      </w:rPr>
    </w:lvl>
    <w:lvl w:ilvl="8" w:tplc="30CC5012">
      <w:numFmt w:val="bullet"/>
      <w:lvlText w:val="•"/>
      <w:lvlJc w:val="left"/>
      <w:pPr>
        <w:ind w:left="8251" w:hanging="358"/>
      </w:pPr>
      <w:rPr>
        <w:rFonts w:hint="default"/>
        <w:lang w:val="en-GB" w:eastAsia="en-GB" w:bidi="en-GB"/>
      </w:rPr>
    </w:lvl>
  </w:abstractNum>
  <w:abstractNum w:abstractNumId="10"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F36EC5"/>
    <w:multiLevelType w:val="multilevel"/>
    <w:tmpl w:val="BBC2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E665BCD"/>
    <w:multiLevelType w:val="hybridMultilevel"/>
    <w:tmpl w:val="3030F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5"/>
  </w:num>
  <w:num w:numId="4">
    <w:abstractNumId w:val="4"/>
  </w:num>
  <w:num w:numId="5">
    <w:abstractNumId w:val="11"/>
  </w:num>
  <w:num w:numId="6">
    <w:abstractNumId w:val="14"/>
  </w:num>
  <w:num w:numId="7">
    <w:abstractNumId w:val="12"/>
  </w:num>
  <w:num w:numId="8">
    <w:abstractNumId w:val="7"/>
  </w:num>
  <w:num w:numId="9">
    <w:abstractNumId w:val="5"/>
  </w:num>
  <w:num w:numId="10">
    <w:abstractNumId w:val="0"/>
  </w:num>
  <w:num w:numId="11">
    <w:abstractNumId w:val="2"/>
  </w:num>
  <w:num w:numId="12">
    <w:abstractNumId w:val="6"/>
  </w:num>
  <w:num w:numId="13">
    <w:abstractNumId w:val="1"/>
  </w:num>
  <w:num w:numId="14">
    <w:abstractNumId w:val="13"/>
  </w:num>
  <w:num w:numId="15">
    <w:abstractNumId w:val="9"/>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EB"/>
    <w:rsid w:val="00000C03"/>
    <w:rsid w:val="000105A1"/>
    <w:rsid w:val="00011F78"/>
    <w:rsid w:val="0001299E"/>
    <w:rsid w:val="00014630"/>
    <w:rsid w:val="00015C56"/>
    <w:rsid w:val="00016761"/>
    <w:rsid w:val="00016A12"/>
    <w:rsid w:val="0002032C"/>
    <w:rsid w:val="00020A6B"/>
    <w:rsid w:val="000219A1"/>
    <w:rsid w:val="000219CC"/>
    <w:rsid w:val="000222C6"/>
    <w:rsid w:val="0002287E"/>
    <w:rsid w:val="00022DB6"/>
    <w:rsid w:val="00023227"/>
    <w:rsid w:val="0002327D"/>
    <w:rsid w:val="0002664E"/>
    <w:rsid w:val="000267F1"/>
    <w:rsid w:val="00026A58"/>
    <w:rsid w:val="0003091B"/>
    <w:rsid w:val="00030AE1"/>
    <w:rsid w:val="0003256E"/>
    <w:rsid w:val="00032D7A"/>
    <w:rsid w:val="000340B0"/>
    <w:rsid w:val="000345C2"/>
    <w:rsid w:val="000360EE"/>
    <w:rsid w:val="00041564"/>
    <w:rsid w:val="00041864"/>
    <w:rsid w:val="00043992"/>
    <w:rsid w:val="000444D2"/>
    <w:rsid w:val="00044FFD"/>
    <w:rsid w:val="00045597"/>
    <w:rsid w:val="00045825"/>
    <w:rsid w:val="0004776A"/>
    <w:rsid w:val="0005028A"/>
    <w:rsid w:val="00051C40"/>
    <w:rsid w:val="00052C59"/>
    <w:rsid w:val="00052D88"/>
    <w:rsid w:val="0005557D"/>
    <w:rsid w:val="00063EBE"/>
    <w:rsid w:val="000708B8"/>
    <w:rsid w:val="00075212"/>
    <w:rsid w:val="00077FB3"/>
    <w:rsid w:val="00081E8A"/>
    <w:rsid w:val="00082B7E"/>
    <w:rsid w:val="00082C00"/>
    <w:rsid w:val="000833EF"/>
    <w:rsid w:val="000902B0"/>
    <w:rsid w:val="00092927"/>
    <w:rsid w:val="00094FFA"/>
    <w:rsid w:val="000A0C1B"/>
    <w:rsid w:val="000A2E67"/>
    <w:rsid w:val="000A5EE5"/>
    <w:rsid w:val="000B1468"/>
    <w:rsid w:val="000B5C7A"/>
    <w:rsid w:val="000B5EAE"/>
    <w:rsid w:val="000C1FEE"/>
    <w:rsid w:val="000D01AA"/>
    <w:rsid w:val="000D0B43"/>
    <w:rsid w:val="000D130F"/>
    <w:rsid w:val="000D22E6"/>
    <w:rsid w:val="000D25B8"/>
    <w:rsid w:val="000D6CDD"/>
    <w:rsid w:val="000D795F"/>
    <w:rsid w:val="000E2082"/>
    <w:rsid w:val="000E334E"/>
    <w:rsid w:val="000E3B78"/>
    <w:rsid w:val="000E4DF2"/>
    <w:rsid w:val="000F4E59"/>
    <w:rsid w:val="000F6709"/>
    <w:rsid w:val="000F7DB4"/>
    <w:rsid w:val="00100681"/>
    <w:rsid w:val="00102643"/>
    <w:rsid w:val="0010617E"/>
    <w:rsid w:val="00112EF4"/>
    <w:rsid w:val="00113E7C"/>
    <w:rsid w:val="00116F59"/>
    <w:rsid w:val="001179BA"/>
    <w:rsid w:val="00121C65"/>
    <w:rsid w:val="00124224"/>
    <w:rsid w:val="001279E8"/>
    <w:rsid w:val="001320E1"/>
    <w:rsid w:val="00133E21"/>
    <w:rsid w:val="001343F7"/>
    <w:rsid w:val="001362FD"/>
    <w:rsid w:val="00136645"/>
    <w:rsid w:val="001366BB"/>
    <w:rsid w:val="001372F2"/>
    <w:rsid w:val="00142C3E"/>
    <w:rsid w:val="00142EAE"/>
    <w:rsid w:val="00144DAD"/>
    <w:rsid w:val="00150AAD"/>
    <w:rsid w:val="0015196E"/>
    <w:rsid w:val="00152FCA"/>
    <w:rsid w:val="00153F85"/>
    <w:rsid w:val="00156242"/>
    <w:rsid w:val="001600EC"/>
    <w:rsid w:val="00160BE2"/>
    <w:rsid w:val="00161855"/>
    <w:rsid w:val="00161C83"/>
    <w:rsid w:val="00161EE3"/>
    <w:rsid w:val="00166700"/>
    <w:rsid w:val="00174B43"/>
    <w:rsid w:val="00175187"/>
    <w:rsid w:val="00177763"/>
    <w:rsid w:val="00180A06"/>
    <w:rsid w:val="0018191C"/>
    <w:rsid w:val="001821EF"/>
    <w:rsid w:val="00182783"/>
    <w:rsid w:val="0019132D"/>
    <w:rsid w:val="00195F8E"/>
    <w:rsid w:val="00196D56"/>
    <w:rsid w:val="001A39EB"/>
    <w:rsid w:val="001A40C2"/>
    <w:rsid w:val="001A5233"/>
    <w:rsid w:val="001A54FA"/>
    <w:rsid w:val="001A72E2"/>
    <w:rsid w:val="001B04E1"/>
    <w:rsid w:val="001B05C8"/>
    <w:rsid w:val="001B3765"/>
    <w:rsid w:val="001B6C73"/>
    <w:rsid w:val="001B6DF9"/>
    <w:rsid w:val="001C28C1"/>
    <w:rsid w:val="001C2EA4"/>
    <w:rsid w:val="001C36B0"/>
    <w:rsid w:val="001C5DD2"/>
    <w:rsid w:val="001C660B"/>
    <w:rsid w:val="001D0220"/>
    <w:rsid w:val="001D27AC"/>
    <w:rsid w:val="001D48B4"/>
    <w:rsid w:val="001D55BC"/>
    <w:rsid w:val="001D7FB3"/>
    <w:rsid w:val="001E3192"/>
    <w:rsid w:val="001E3D28"/>
    <w:rsid w:val="001E6254"/>
    <w:rsid w:val="001E6F3D"/>
    <w:rsid w:val="001F1391"/>
    <w:rsid w:val="001F5212"/>
    <w:rsid w:val="001F550A"/>
    <w:rsid w:val="002009C2"/>
    <w:rsid w:val="00203405"/>
    <w:rsid w:val="00203F20"/>
    <w:rsid w:val="00207431"/>
    <w:rsid w:val="00211C37"/>
    <w:rsid w:val="00212D24"/>
    <w:rsid w:val="00217581"/>
    <w:rsid w:val="00220BB4"/>
    <w:rsid w:val="00220D4C"/>
    <w:rsid w:val="00222874"/>
    <w:rsid w:val="002279A2"/>
    <w:rsid w:val="002335B0"/>
    <w:rsid w:val="002338A1"/>
    <w:rsid w:val="0023451A"/>
    <w:rsid w:val="002370A2"/>
    <w:rsid w:val="002375EF"/>
    <w:rsid w:val="002407F5"/>
    <w:rsid w:val="00241B4F"/>
    <w:rsid w:val="00242B5E"/>
    <w:rsid w:val="002445CA"/>
    <w:rsid w:val="002461CF"/>
    <w:rsid w:val="00246402"/>
    <w:rsid w:val="00250E8A"/>
    <w:rsid w:val="00254E42"/>
    <w:rsid w:val="00256902"/>
    <w:rsid w:val="002621BD"/>
    <w:rsid w:val="00262B9C"/>
    <w:rsid w:val="002633EA"/>
    <w:rsid w:val="002640B0"/>
    <w:rsid w:val="00266064"/>
    <w:rsid w:val="002669D0"/>
    <w:rsid w:val="00267609"/>
    <w:rsid w:val="002718AD"/>
    <w:rsid w:val="002723C5"/>
    <w:rsid w:val="002733F2"/>
    <w:rsid w:val="00273A07"/>
    <w:rsid w:val="00274B94"/>
    <w:rsid w:val="002755CE"/>
    <w:rsid w:val="0027611C"/>
    <w:rsid w:val="00276EEF"/>
    <w:rsid w:val="00282D86"/>
    <w:rsid w:val="002840D0"/>
    <w:rsid w:val="002908BB"/>
    <w:rsid w:val="00293F58"/>
    <w:rsid w:val="00294CAE"/>
    <w:rsid w:val="002957E8"/>
    <w:rsid w:val="00295EFC"/>
    <w:rsid w:val="002970F6"/>
    <w:rsid w:val="002A0203"/>
    <w:rsid w:val="002A2B51"/>
    <w:rsid w:val="002A5D5F"/>
    <w:rsid w:val="002A73D0"/>
    <w:rsid w:val="002B09CE"/>
    <w:rsid w:val="002B5707"/>
    <w:rsid w:val="002B5A55"/>
    <w:rsid w:val="002B651E"/>
    <w:rsid w:val="002C171A"/>
    <w:rsid w:val="002C3323"/>
    <w:rsid w:val="002C3983"/>
    <w:rsid w:val="002C6B85"/>
    <w:rsid w:val="002D043D"/>
    <w:rsid w:val="002D2A7A"/>
    <w:rsid w:val="002D4B21"/>
    <w:rsid w:val="002D6E7C"/>
    <w:rsid w:val="002E0910"/>
    <w:rsid w:val="002E276A"/>
    <w:rsid w:val="002E28FA"/>
    <w:rsid w:val="002E58B3"/>
    <w:rsid w:val="002E58E0"/>
    <w:rsid w:val="002F01D9"/>
    <w:rsid w:val="002F0DE2"/>
    <w:rsid w:val="002F2DD9"/>
    <w:rsid w:val="002F3DEE"/>
    <w:rsid w:val="002F4B4F"/>
    <w:rsid w:val="002F4D38"/>
    <w:rsid w:val="002F5999"/>
    <w:rsid w:val="002F5CEC"/>
    <w:rsid w:val="002F6B0D"/>
    <w:rsid w:val="002F77F7"/>
    <w:rsid w:val="00300F1C"/>
    <w:rsid w:val="00303561"/>
    <w:rsid w:val="003042F3"/>
    <w:rsid w:val="0030451C"/>
    <w:rsid w:val="003066DA"/>
    <w:rsid w:val="00310708"/>
    <w:rsid w:val="00312BD3"/>
    <w:rsid w:val="00314734"/>
    <w:rsid w:val="003157BE"/>
    <w:rsid w:val="00315BA5"/>
    <w:rsid w:val="00317B11"/>
    <w:rsid w:val="0032004D"/>
    <w:rsid w:val="00320187"/>
    <w:rsid w:val="00321AC8"/>
    <w:rsid w:val="00327108"/>
    <w:rsid w:val="0032767D"/>
    <w:rsid w:val="00327826"/>
    <w:rsid w:val="0033116E"/>
    <w:rsid w:val="00336F0F"/>
    <w:rsid w:val="00336FF1"/>
    <w:rsid w:val="00337767"/>
    <w:rsid w:val="003479B8"/>
    <w:rsid w:val="00347A3B"/>
    <w:rsid w:val="0035064C"/>
    <w:rsid w:val="00353EE7"/>
    <w:rsid w:val="00355274"/>
    <w:rsid w:val="00355BE7"/>
    <w:rsid w:val="00357FC3"/>
    <w:rsid w:val="0036048F"/>
    <w:rsid w:val="003610A6"/>
    <w:rsid w:val="003618A9"/>
    <w:rsid w:val="00363E59"/>
    <w:rsid w:val="00366F45"/>
    <w:rsid w:val="00367B63"/>
    <w:rsid w:val="00367CD4"/>
    <w:rsid w:val="00367EEB"/>
    <w:rsid w:val="00370895"/>
    <w:rsid w:val="00371A2A"/>
    <w:rsid w:val="00372E8A"/>
    <w:rsid w:val="003741A2"/>
    <w:rsid w:val="00375D6C"/>
    <w:rsid w:val="00381445"/>
    <w:rsid w:val="00381D92"/>
    <w:rsid w:val="003853AB"/>
    <w:rsid w:val="003907EF"/>
    <w:rsid w:val="00391FAF"/>
    <w:rsid w:val="00392AE9"/>
    <w:rsid w:val="003931B2"/>
    <w:rsid w:val="00395015"/>
    <w:rsid w:val="00396D87"/>
    <w:rsid w:val="003A1BA5"/>
    <w:rsid w:val="003A41F5"/>
    <w:rsid w:val="003A7B97"/>
    <w:rsid w:val="003B3E40"/>
    <w:rsid w:val="003B5601"/>
    <w:rsid w:val="003B78F9"/>
    <w:rsid w:val="003C2767"/>
    <w:rsid w:val="003C6A84"/>
    <w:rsid w:val="003D1882"/>
    <w:rsid w:val="003D59AD"/>
    <w:rsid w:val="003D5C28"/>
    <w:rsid w:val="003D74A2"/>
    <w:rsid w:val="003D7A13"/>
    <w:rsid w:val="003E1B86"/>
    <w:rsid w:val="003E4DE3"/>
    <w:rsid w:val="003E6C9E"/>
    <w:rsid w:val="003F0DF8"/>
    <w:rsid w:val="003F315F"/>
    <w:rsid w:val="003F333F"/>
    <w:rsid w:val="003F5787"/>
    <w:rsid w:val="003F57DA"/>
    <w:rsid w:val="003F661F"/>
    <w:rsid w:val="00402829"/>
    <w:rsid w:val="00407630"/>
    <w:rsid w:val="0041233E"/>
    <w:rsid w:val="00412DE4"/>
    <w:rsid w:val="00413457"/>
    <w:rsid w:val="00413F92"/>
    <w:rsid w:val="00413FDE"/>
    <w:rsid w:val="00414BD8"/>
    <w:rsid w:val="00416732"/>
    <w:rsid w:val="004207DF"/>
    <w:rsid w:val="0042436B"/>
    <w:rsid w:val="00426A4E"/>
    <w:rsid w:val="004308C4"/>
    <w:rsid w:val="00430DC5"/>
    <w:rsid w:val="00433BD4"/>
    <w:rsid w:val="0043527D"/>
    <w:rsid w:val="00440149"/>
    <w:rsid w:val="004419B8"/>
    <w:rsid w:val="004437C2"/>
    <w:rsid w:val="0044469D"/>
    <w:rsid w:val="00450D89"/>
    <w:rsid w:val="004533A7"/>
    <w:rsid w:val="004554D4"/>
    <w:rsid w:val="004566B5"/>
    <w:rsid w:val="004601C1"/>
    <w:rsid w:val="00460505"/>
    <w:rsid w:val="00461C34"/>
    <w:rsid w:val="00463122"/>
    <w:rsid w:val="00463B3F"/>
    <w:rsid w:val="00464DEE"/>
    <w:rsid w:val="00465420"/>
    <w:rsid w:val="00466A97"/>
    <w:rsid w:val="0046740F"/>
    <w:rsid w:val="004709D4"/>
    <w:rsid w:val="004713FE"/>
    <w:rsid w:val="0047361A"/>
    <w:rsid w:val="00474583"/>
    <w:rsid w:val="00474D4C"/>
    <w:rsid w:val="00476C82"/>
    <w:rsid w:val="004779D1"/>
    <w:rsid w:val="00480E77"/>
    <w:rsid w:val="004819B5"/>
    <w:rsid w:val="004826A2"/>
    <w:rsid w:val="00482A22"/>
    <w:rsid w:val="00484C39"/>
    <w:rsid w:val="0048578D"/>
    <w:rsid w:val="00491CD6"/>
    <w:rsid w:val="004924F4"/>
    <w:rsid w:val="004955D9"/>
    <w:rsid w:val="00496CEF"/>
    <w:rsid w:val="004A14A3"/>
    <w:rsid w:val="004B1087"/>
    <w:rsid w:val="004B3E4E"/>
    <w:rsid w:val="004B4056"/>
    <w:rsid w:val="004B46A2"/>
    <w:rsid w:val="004B4779"/>
    <w:rsid w:val="004C0362"/>
    <w:rsid w:val="004C050A"/>
    <w:rsid w:val="004C19DC"/>
    <w:rsid w:val="004C2CF1"/>
    <w:rsid w:val="004C399F"/>
    <w:rsid w:val="004C4271"/>
    <w:rsid w:val="004C4860"/>
    <w:rsid w:val="004C68A2"/>
    <w:rsid w:val="004D140A"/>
    <w:rsid w:val="004D153B"/>
    <w:rsid w:val="004D166F"/>
    <w:rsid w:val="004D19B3"/>
    <w:rsid w:val="004D38C9"/>
    <w:rsid w:val="004D7D8F"/>
    <w:rsid w:val="004E0302"/>
    <w:rsid w:val="004E0A57"/>
    <w:rsid w:val="004E52C1"/>
    <w:rsid w:val="004E633C"/>
    <w:rsid w:val="004E7FA2"/>
    <w:rsid w:val="004F0DDC"/>
    <w:rsid w:val="004F3658"/>
    <w:rsid w:val="004F3B08"/>
    <w:rsid w:val="004F5E2E"/>
    <w:rsid w:val="004F6A00"/>
    <w:rsid w:val="0050028A"/>
    <w:rsid w:val="0050251F"/>
    <w:rsid w:val="00503F31"/>
    <w:rsid w:val="00504DE4"/>
    <w:rsid w:val="00505C3D"/>
    <w:rsid w:val="0051068E"/>
    <w:rsid w:val="00510F7E"/>
    <w:rsid w:val="00511BB9"/>
    <w:rsid w:val="00511CA5"/>
    <w:rsid w:val="0051301D"/>
    <w:rsid w:val="005150CE"/>
    <w:rsid w:val="0052123F"/>
    <w:rsid w:val="00521B55"/>
    <w:rsid w:val="0052221B"/>
    <w:rsid w:val="00523A0E"/>
    <w:rsid w:val="00524CD1"/>
    <w:rsid w:val="005261E9"/>
    <w:rsid w:val="00526AEA"/>
    <w:rsid w:val="005277E5"/>
    <w:rsid w:val="00530814"/>
    <w:rsid w:val="00531189"/>
    <w:rsid w:val="00531DEF"/>
    <w:rsid w:val="00532BFA"/>
    <w:rsid w:val="00532BFF"/>
    <w:rsid w:val="00533175"/>
    <w:rsid w:val="00537B79"/>
    <w:rsid w:val="005433E1"/>
    <w:rsid w:val="005445A9"/>
    <w:rsid w:val="00545301"/>
    <w:rsid w:val="00545D3A"/>
    <w:rsid w:val="00552AE1"/>
    <w:rsid w:val="00556053"/>
    <w:rsid w:val="00560D36"/>
    <w:rsid w:val="00565333"/>
    <w:rsid w:val="0056686F"/>
    <w:rsid w:val="00567DE2"/>
    <w:rsid w:val="00572766"/>
    <w:rsid w:val="005733A6"/>
    <w:rsid w:val="005734A4"/>
    <w:rsid w:val="00574361"/>
    <w:rsid w:val="00574883"/>
    <w:rsid w:val="00575A75"/>
    <w:rsid w:val="005760D9"/>
    <w:rsid w:val="00576D11"/>
    <w:rsid w:val="00577CBE"/>
    <w:rsid w:val="00577D7B"/>
    <w:rsid w:val="005839C0"/>
    <w:rsid w:val="00584C82"/>
    <w:rsid w:val="00584E11"/>
    <w:rsid w:val="005859A0"/>
    <w:rsid w:val="00586105"/>
    <w:rsid w:val="00587E02"/>
    <w:rsid w:val="00591B39"/>
    <w:rsid w:val="00592F8D"/>
    <w:rsid w:val="00594757"/>
    <w:rsid w:val="00597D88"/>
    <w:rsid w:val="005A16FB"/>
    <w:rsid w:val="005A2500"/>
    <w:rsid w:val="005A256A"/>
    <w:rsid w:val="005A710A"/>
    <w:rsid w:val="005A7A90"/>
    <w:rsid w:val="005B01B7"/>
    <w:rsid w:val="005B12C0"/>
    <w:rsid w:val="005B18B4"/>
    <w:rsid w:val="005B1CC3"/>
    <w:rsid w:val="005B1F1F"/>
    <w:rsid w:val="005B21AF"/>
    <w:rsid w:val="005B2E58"/>
    <w:rsid w:val="005B32A0"/>
    <w:rsid w:val="005B46B1"/>
    <w:rsid w:val="005B4B8D"/>
    <w:rsid w:val="005B5A07"/>
    <w:rsid w:val="005B74B6"/>
    <w:rsid w:val="005C1372"/>
    <w:rsid w:val="005C6D10"/>
    <w:rsid w:val="005D46D9"/>
    <w:rsid w:val="005E086B"/>
    <w:rsid w:val="005E210F"/>
    <w:rsid w:val="005F0335"/>
    <w:rsid w:val="005F2E91"/>
    <w:rsid w:val="005F40A2"/>
    <w:rsid w:val="005F4B82"/>
    <w:rsid w:val="005F6B2A"/>
    <w:rsid w:val="00607A4B"/>
    <w:rsid w:val="00607B26"/>
    <w:rsid w:val="00613041"/>
    <w:rsid w:val="00614EA3"/>
    <w:rsid w:val="0061724B"/>
    <w:rsid w:val="006224E7"/>
    <w:rsid w:val="006243C9"/>
    <w:rsid w:val="00626B19"/>
    <w:rsid w:val="0062704E"/>
    <w:rsid w:val="00630F70"/>
    <w:rsid w:val="0063172B"/>
    <w:rsid w:val="00633A30"/>
    <w:rsid w:val="00634682"/>
    <w:rsid w:val="0063507E"/>
    <w:rsid w:val="006354BB"/>
    <w:rsid w:val="0063631A"/>
    <w:rsid w:val="006363E9"/>
    <w:rsid w:val="006371DB"/>
    <w:rsid w:val="006402DA"/>
    <w:rsid w:val="00640536"/>
    <w:rsid w:val="00641158"/>
    <w:rsid w:val="00645E4C"/>
    <w:rsid w:val="006460E0"/>
    <w:rsid w:val="0064653E"/>
    <w:rsid w:val="00651F61"/>
    <w:rsid w:val="00652D2D"/>
    <w:rsid w:val="00652EAA"/>
    <w:rsid w:val="00655824"/>
    <w:rsid w:val="006558CF"/>
    <w:rsid w:val="006558F8"/>
    <w:rsid w:val="006602B4"/>
    <w:rsid w:val="006621DF"/>
    <w:rsid w:val="00662FCF"/>
    <w:rsid w:val="00664677"/>
    <w:rsid w:val="006660F9"/>
    <w:rsid w:val="006672F2"/>
    <w:rsid w:val="00667CE6"/>
    <w:rsid w:val="006704EF"/>
    <w:rsid w:val="00672223"/>
    <w:rsid w:val="00673787"/>
    <w:rsid w:val="006763F8"/>
    <w:rsid w:val="0067745C"/>
    <w:rsid w:val="00680740"/>
    <w:rsid w:val="00682C79"/>
    <w:rsid w:val="006858D6"/>
    <w:rsid w:val="00685EB8"/>
    <w:rsid w:val="00687908"/>
    <w:rsid w:val="006902E6"/>
    <w:rsid w:val="006910EB"/>
    <w:rsid w:val="00692B6F"/>
    <w:rsid w:val="00696023"/>
    <w:rsid w:val="006A0189"/>
    <w:rsid w:val="006A1127"/>
    <w:rsid w:val="006A1CED"/>
    <w:rsid w:val="006A2F72"/>
    <w:rsid w:val="006A3278"/>
    <w:rsid w:val="006A37D1"/>
    <w:rsid w:val="006A43A0"/>
    <w:rsid w:val="006A5EB6"/>
    <w:rsid w:val="006A6F4C"/>
    <w:rsid w:val="006B6177"/>
    <w:rsid w:val="006B667D"/>
    <w:rsid w:val="006B6866"/>
    <w:rsid w:val="006B6872"/>
    <w:rsid w:val="006B73A0"/>
    <w:rsid w:val="006C0D77"/>
    <w:rsid w:val="006C44B6"/>
    <w:rsid w:val="006C6737"/>
    <w:rsid w:val="006C7168"/>
    <w:rsid w:val="006C7B36"/>
    <w:rsid w:val="006D0BFE"/>
    <w:rsid w:val="006D3EBD"/>
    <w:rsid w:val="006D49C4"/>
    <w:rsid w:val="006D5528"/>
    <w:rsid w:val="006D5A18"/>
    <w:rsid w:val="006D6C98"/>
    <w:rsid w:val="006D76F8"/>
    <w:rsid w:val="006E0CF3"/>
    <w:rsid w:val="006E2712"/>
    <w:rsid w:val="006E5584"/>
    <w:rsid w:val="006E6F0B"/>
    <w:rsid w:val="006E79D4"/>
    <w:rsid w:val="006E7EA3"/>
    <w:rsid w:val="006F11C5"/>
    <w:rsid w:val="006F5E16"/>
    <w:rsid w:val="0070269B"/>
    <w:rsid w:val="00705674"/>
    <w:rsid w:val="00707F15"/>
    <w:rsid w:val="007104E4"/>
    <w:rsid w:val="00715974"/>
    <w:rsid w:val="00715ED4"/>
    <w:rsid w:val="00716792"/>
    <w:rsid w:val="00717BE0"/>
    <w:rsid w:val="00724909"/>
    <w:rsid w:val="007271C5"/>
    <w:rsid w:val="00727FB2"/>
    <w:rsid w:val="007306CB"/>
    <w:rsid w:val="00731AE0"/>
    <w:rsid w:val="00736499"/>
    <w:rsid w:val="0073689C"/>
    <w:rsid w:val="00737240"/>
    <w:rsid w:val="00740AFE"/>
    <w:rsid w:val="00740F0A"/>
    <w:rsid w:val="00742697"/>
    <w:rsid w:val="007442BB"/>
    <w:rsid w:val="007451CD"/>
    <w:rsid w:val="00745B36"/>
    <w:rsid w:val="00746002"/>
    <w:rsid w:val="007463C5"/>
    <w:rsid w:val="00746846"/>
    <w:rsid w:val="007503A1"/>
    <w:rsid w:val="007508E9"/>
    <w:rsid w:val="007510C3"/>
    <w:rsid w:val="00753813"/>
    <w:rsid w:val="007561B5"/>
    <w:rsid w:val="00756627"/>
    <w:rsid w:val="007615B8"/>
    <w:rsid w:val="007619ED"/>
    <w:rsid w:val="00762FA6"/>
    <w:rsid w:val="0076458E"/>
    <w:rsid w:val="00764734"/>
    <w:rsid w:val="00764D5A"/>
    <w:rsid w:val="00767063"/>
    <w:rsid w:val="00770BC1"/>
    <w:rsid w:val="00772186"/>
    <w:rsid w:val="0078027C"/>
    <w:rsid w:val="0078141E"/>
    <w:rsid w:val="00783992"/>
    <w:rsid w:val="007901D4"/>
    <w:rsid w:val="00792D65"/>
    <w:rsid w:val="007940AE"/>
    <w:rsid w:val="00795C3E"/>
    <w:rsid w:val="007965FF"/>
    <w:rsid w:val="00796D23"/>
    <w:rsid w:val="0079718B"/>
    <w:rsid w:val="007A0261"/>
    <w:rsid w:val="007A10F9"/>
    <w:rsid w:val="007A3F19"/>
    <w:rsid w:val="007A4C02"/>
    <w:rsid w:val="007A66E3"/>
    <w:rsid w:val="007B258F"/>
    <w:rsid w:val="007B49CD"/>
    <w:rsid w:val="007B593B"/>
    <w:rsid w:val="007B5A46"/>
    <w:rsid w:val="007B76C4"/>
    <w:rsid w:val="007C1BC2"/>
    <w:rsid w:val="007C2DA6"/>
    <w:rsid w:val="007C664E"/>
    <w:rsid w:val="007D0DBA"/>
    <w:rsid w:val="007D260C"/>
    <w:rsid w:val="007D4DB0"/>
    <w:rsid w:val="007D74CE"/>
    <w:rsid w:val="007E0F62"/>
    <w:rsid w:val="007E250E"/>
    <w:rsid w:val="007E308E"/>
    <w:rsid w:val="007E4D44"/>
    <w:rsid w:val="007E69CB"/>
    <w:rsid w:val="007F073B"/>
    <w:rsid w:val="007F1815"/>
    <w:rsid w:val="007F6866"/>
    <w:rsid w:val="008006D7"/>
    <w:rsid w:val="0080083F"/>
    <w:rsid w:val="0080111F"/>
    <w:rsid w:val="00805C72"/>
    <w:rsid w:val="008064EA"/>
    <w:rsid w:val="00806E60"/>
    <w:rsid w:val="00810647"/>
    <w:rsid w:val="008110F1"/>
    <w:rsid w:val="0081290B"/>
    <w:rsid w:val="0081447C"/>
    <w:rsid w:val="00817F8F"/>
    <w:rsid w:val="008222F7"/>
    <w:rsid w:val="00823358"/>
    <w:rsid w:val="008254F7"/>
    <w:rsid w:val="0082573E"/>
    <w:rsid w:val="00831225"/>
    <w:rsid w:val="00831685"/>
    <w:rsid w:val="008369EB"/>
    <w:rsid w:val="00837049"/>
    <w:rsid w:val="00837EFF"/>
    <w:rsid w:val="008428AB"/>
    <w:rsid w:val="00844183"/>
    <w:rsid w:val="0084451A"/>
    <w:rsid w:val="00844607"/>
    <w:rsid w:val="00844AC7"/>
    <w:rsid w:val="0084611E"/>
    <w:rsid w:val="00850137"/>
    <w:rsid w:val="00851AA7"/>
    <w:rsid w:val="0085278E"/>
    <w:rsid w:val="008551A5"/>
    <w:rsid w:val="008565EC"/>
    <w:rsid w:val="00861E97"/>
    <w:rsid w:val="008625FF"/>
    <w:rsid w:val="00862A6A"/>
    <w:rsid w:val="00863664"/>
    <w:rsid w:val="00865E97"/>
    <w:rsid w:val="00867CB0"/>
    <w:rsid w:val="00874267"/>
    <w:rsid w:val="00877051"/>
    <w:rsid w:val="008770C7"/>
    <w:rsid w:val="0088151C"/>
    <w:rsid w:val="008817AB"/>
    <w:rsid w:val="0088288E"/>
    <w:rsid w:val="008836A4"/>
    <w:rsid w:val="008840E7"/>
    <w:rsid w:val="008843A4"/>
    <w:rsid w:val="00885D86"/>
    <w:rsid w:val="00894FAA"/>
    <w:rsid w:val="00895894"/>
    <w:rsid w:val="0089695B"/>
    <w:rsid w:val="008A0C81"/>
    <w:rsid w:val="008A1589"/>
    <w:rsid w:val="008A2107"/>
    <w:rsid w:val="008A76BE"/>
    <w:rsid w:val="008B0C5D"/>
    <w:rsid w:val="008B1C49"/>
    <w:rsid w:val="008B2272"/>
    <w:rsid w:val="008B3B5E"/>
    <w:rsid w:val="008B400B"/>
    <w:rsid w:val="008B5562"/>
    <w:rsid w:val="008B67CC"/>
    <w:rsid w:val="008B738C"/>
    <w:rsid w:val="008C008B"/>
    <w:rsid w:val="008C10F7"/>
    <w:rsid w:val="008C18F8"/>
    <w:rsid w:val="008C2B29"/>
    <w:rsid w:val="008C2CA0"/>
    <w:rsid w:val="008C2FA2"/>
    <w:rsid w:val="008C4D22"/>
    <w:rsid w:val="008C562E"/>
    <w:rsid w:val="008C6803"/>
    <w:rsid w:val="008C7966"/>
    <w:rsid w:val="008D0A7E"/>
    <w:rsid w:val="008D1228"/>
    <w:rsid w:val="008D1427"/>
    <w:rsid w:val="008D1805"/>
    <w:rsid w:val="008D31D6"/>
    <w:rsid w:val="008D4011"/>
    <w:rsid w:val="008D5E89"/>
    <w:rsid w:val="008D708B"/>
    <w:rsid w:val="008D7955"/>
    <w:rsid w:val="008E1075"/>
    <w:rsid w:val="008E17C7"/>
    <w:rsid w:val="008E3BDA"/>
    <w:rsid w:val="008E4B33"/>
    <w:rsid w:val="008E4E24"/>
    <w:rsid w:val="008E7C7B"/>
    <w:rsid w:val="008F163A"/>
    <w:rsid w:val="008F19EF"/>
    <w:rsid w:val="008F452F"/>
    <w:rsid w:val="008F74F2"/>
    <w:rsid w:val="009009E9"/>
    <w:rsid w:val="00904382"/>
    <w:rsid w:val="00905ADC"/>
    <w:rsid w:val="00906C33"/>
    <w:rsid w:val="00910954"/>
    <w:rsid w:val="009122DB"/>
    <w:rsid w:val="009129EC"/>
    <w:rsid w:val="0091379A"/>
    <w:rsid w:val="009139E9"/>
    <w:rsid w:val="0091445C"/>
    <w:rsid w:val="00915168"/>
    <w:rsid w:val="009173AF"/>
    <w:rsid w:val="00922070"/>
    <w:rsid w:val="0092257D"/>
    <w:rsid w:val="009240B6"/>
    <w:rsid w:val="00931BBC"/>
    <w:rsid w:val="009321D6"/>
    <w:rsid w:val="00932946"/>
    <w:rsid w:val="0093381E"/>
    <w:rsid w:val="0094003B"/>
    <w:rsid w:val="009424FA"/>
    <w:rsid w:val="009426CB"/>
    <w:rsid w:val="00944052"/>
    <w:rsid w:val="00945859"/>
    <w:rsid w:val="00946944"/>
    <w:rsid w:val="00947678"/>
    <w:rsid w:val="00950A8B"/>
    <w:rsid w:val="00950F9D"/>
    <w:rsid w:val="00955EBD"/>
    <w:rsid w:val="009573F2"/>
    <w:rsid w:val="009607CF"/>
    <w:rsid w:val="0096239E"/>
    <w:rsid w:val="00962C4E"/>
    <w:rsid w:val="00963073"/>
    <w:rsid w:val="00963744"/>
    <w:rsid w:val="00963E73"/>
    <w:rsid w:val="00966CB0"/>
    <w:rsid w:val="00967D86"/>
    <w:rsid w:val="0097240E"/>
    <w:rsid w:val="00972BAC"/>
    <w:rsid w:val="0097315A"/>
    <w:rsid w:val="009746C9"/>
    <w:rsid w:val="0098054D"/>
    <w:rsid w:val="00980CAC"/>
    <w:rsid w:val="009825D1"/>
    <w:rsid w:val="00983376"/>
    <w:rsid w:val="0098435F"/>
    <w:rsid w:val="009854DE"/>
    <w:rsid w:val="0098688D"/>
    <w:rsid w:val="009974C8"/>
    <w:rsid w:val="00997FEE"/>
    <w:rsid w:val="009A3F0A"/>
    <w:rsid w:val="009A4378"/>
    <w:rsid w:val="009A65D7"/>
    <w:rsid w:val="009B004B"/>
    <w:rsid w:val="009B1FC5"/>
    <w:rsid w:val="009B208A"/>
    <w:rsid w:val="009B20CF"/>
    <w:rsid w:val="009B2F78"/>
    <w:rsid w:val="009B3EFE"/>
    <w:rsid w:val="009B4617"/>
    <w:rsid w:val="009B493A"/>
    <w:rsid w:val="009C27E5"/>
    <w:rsid w:val="009C415E"/>
    <w:rsid w:val="009C4A28"/>
    <w:rsid w:val="009C5093"/>
    <w:rsid w:val="009C5A3A"/>
    <w:rsid w:val="009C7871"/>
    <w:rsid w:val="009D02C5"/>
    <w:rsid w:val="009D0F54"/>
    <w:rsid w:val="009D1A59"/>
    <w:rsid w:val="009D1F8F"/>
    <w:rsid w:val="009D29F0"/>
    <w:rsid w:val="009D3D73"/>
    <w:rsid w:val="009D4FEF"/>
    <w:rsid w:val="009D50DE"/>
    <w:rsid w:val="009D6AFF"/>
    <w:rsid w:val="009D7480"/>
    <w:rsid w:val="009D7ED7"/>
    <w:rsid w:val="009E73AD"/>
    <w:rsid w:val="009E76F4"/>
    <w:rsid w:val="009F0743"/>
    <w:rsid w:val="009F13C7"/>
    <w:rsid w:val="009F4061"/>
    <w:rsid w:val="009F5357"/>
    <w:rsid w:val="009F7653"/>
    <w:rsid w:val="00A00569"/>
    <w:rsid w:val="00A01ACE"/>
    <w:rsid w:val="00A04DC6"/>
    <w:rsid w:val="00A06B99"/>
    <w:rsid w:val="00A06C74"/>
    <w:rsid w:val="00A10692"/>
    <w:rsid w:val="00A109C8"/>
    <w:rsid w:val="00A12E98"/>
    <w:rsid w:val="00A12FFF"/>
    <w:rsid w:val="00A15D82"/>
    <w:rsid w:val="00A164FC"/>
    <w:rsid w:val="00A17088"/>
    <w:rsid w:val="00A172DF"/>
    <w:rsid w:val="00A21E85"/>
    <w:rsid w:val="00A224A0"/>
    <w:rsid w:val="00A2459B"/>
    <w:rsid w:val="00A2712A"/>
    <w:rsid w:val="00A27D22"/>
    <w:rsid w:val="00A31CBA"/>
    <w:rsid w:val="00A32CEA"/>
    <w:rsid w:val="00A3306B"/>
    <w:rsid w:val="00A341E8"/>
    <w:rsid w:val="00A355A5"/>
    <w:rsid w:val="00A36044"/>
    <w:rsid w:val="00A366A9"/>
    <w:rsid w:val="00A41C58"/>
    <w:rsid w:val="00A46912"/>
    <w:rsid w:val="00A46C0D"/>
    <w:rsid w:val="00A477AB"/>
    <w:rsid w:val="00A51980"/>
    <w:rsid w:val="00A523FE"/>
    <w:rsid w:val="00A54809"/>
    <w:rsid w:val="00A55338"/>
    <w:rsid w:val="00A55505"/>
    <w:rsid w:val="00A55FC0"/>
    <w:rsid w:val="00A64099"/>
    <w:rsid w:val="00A66160"/>
    <w:rsid w:val="00A678B0"/>
    <w:rsid w:val="00A71A13"/>
    <w:rsid w:val="00A71F03"/>
    <w:rsid w:val="00A76544"/>
    <w:rsid w:val="00A800B7"/>
    <w:rsid w:val="00A8038F"/>
    <w:rsid w:val="00A803AE"/>
    <w:rsid w:val="00A80C10"/>
    <w:rsid w:val="00A820B5"/>
    <w:rsid w:val="00A9080C"/>
    <w:rsid w:val="00A91B90"/>
    <w:rsid w:val="00A94B35"/>
    <w:rsid w:val="00A94DE9"/>
    <w:rsid w:val="00A96425"/>
    <w:rsid w:val="00A97980"/>
    <w:rsid w:val="00AA0B84"/>
    <w:rsid w:val="00AA4782"/>
    <w:rsid w:val="00AA4EE7"/>
    <w:rsid w:val="00AA6C74"/>
    <w:rsid w:val="00AB6016"/>
    <w:rsid w:val="00AB6F5F"/>
    <w:rsid w:val="00AC2A37"/>
    <w:rsid w:val="00AC2E2D"/>
    <w:rsid w:val="00AD0E50"/>
    <w:rsid w:val="00AD134A"/>
    <w:rsid w:val="00AD5A9E"/>
    <w:rsid w:val="00AD5D54"/>
    <w:rsid w:val="00AD632D"/>
    <w:rsid w:val="00AE2008"/>
    <w:rsid w:val="00AE3B00"/>
    <w:rsid w:val="00AE3C30"/>
    <w:rsid w:val="00AE550C"/>
    <w:rsid w:val="00AF0554"/>
    <w:rsid w:val="00AF1C07"/>
    <w:rsid w:val="00AF26B8"/>
    <w:rsid w:val="00AF4880"/>
    <w:rsid w:val="00AF48BF"/>
    <w:rsid w:val="00AF53D8"/>
    <w:rsid w:val="00AF670B"/>
    <w:rsid w:val="00AF737F"/>
    <w:rsid w:val="00B006DF"/>
    <w:rsid w:val="00B05ECD"/>
    <w:rsid w:val="00B06172"/>
    <w:rsid w:val="00B07854"/>
    <w:rsid w:val="00B137A6"/>
    <w:rsid w:val="00B16040"/>
    <w:rsid w:val="00B16A24"/>
    <w:rsid w:val="00B16A8C"/>
    <w:rsid w:val="00B16AAF"/>
    <w:rsid w:val="00B173F5"/>
    <w:rsid w:val="00B207E5"/>
    <w:rsid w:val="00B212BA"/>
    <w:rsid w:val="00B2145C"/>
    <w:rsid w:val="00B21EA0"/>
    <w:rsid w:val="00B2598D"/>
    <w:rsid w:val="00B26B8D"/>
    <w:rsid w:val="00B27004"/>
    <w:rsid w:val="00B275C1"/>
    <w:rsid w:val="00B32ED2"/>
    <w:rsid w:val="00B3320D"/>
    <w:rsid w:val="00B34DD1"/>
    <w:rsid w:val="00B41160"/>
    <w:rsid w:val="00B43F62"/>
    <w:rsid w:val="00B45869"/>
    <w:rsid w:val="00B5023F"/>
    <w:rsid w:val="00B5046B"/>
    <w:rsid w:val="00B549AD"/>
    <w:rsid w:val="00B5591F"/>
    <w:rsid w:val="00B55E16"/>
    <w:rsid w:val="00B56D3C"/>
    <w:rsid w:val="00B5767B"/>
    <w:rsid w:val="00B57F5F"/>
    <w:rsid w:val="00B629F7"/>
    <w:rsid w:val="00B63081"/>
    <w:rsid w:val="00B64564"/>
    <w:rsid w:val="00B6522B"/>
    <w:rsid w:val="00B65709"/>
    <w:rsid w:val="00B67B0D"/>
    <w:rsid w:val="00B67DF2"/>
    <w:rsid w:val="00B704E8"/>
    <w:rsid w:val="00B70906"/>
    <w:rsid w:val="00B70C3F"/>
    <w:rsid w:val="00B711EE"/>
    <w:rsid w:val="00B725C3"/>
    <w:rsid w:val="00B74019"/>
    <w:rsid w:val="00B75975"/>
    <w:rsid w:val="00B76F7F"/>
    <w:rsid w:val="00B77F74"/>
    <w:rsid w:val="00B81189"/>
    <w:rsid w:val="00B81688"/>
    <w:rsid w:val="00B82B0C"/>
    <w:rsid w:val="00B85BF7"/>
    <w:rsid w:val="00B8684A"/>
    <w:rsid w:val="00B8704A"/>
    <w:rsid w:val="00B914FC"/>
    <w:rsid w:val="00B91526"/>
    <w:rsid w:val="00B939CC"/>
    <w:rsid w:val="00B94E3C"/>
    <w:rsid w:val="00B94F29"/>
    <w:rsid w:val="00B97359"/>
    <w:rsid w:val="00BA50D5"/>
    <w:rsid w:val="00BA69A5"/>
    <w:rsid w:val="00BA6E29"/>
    <w:rsid w:val="00BB1ADA"/>
    <w:rsid w:val="00BB5805"/>
    <w:rsid w:val="00BB7816"/>
    <w:rsid w:val="00BC0029"/>
    <w:rsid w:val="00BC155C"/>
    <w:rsid w:val="00BC175B"/>
    <w:rsid w:val="00BC2D46"/>
    <w:rsid w:val="00BC547B"/>
    <w:rsid w:val="00BC7823"/>
    <w:rsid w:val="00BD4B6C"/>
    <w:rsid w:val="00BE0C3A"/>
    <w:rsid w:val="00BE294C"/>
    <w:rsid w:val="00BE355D"/>
    <w:rsid w:val="00BE4E49"/>
    <w:rsid w:val="00BE5C91"/>
    <w:rsid w:val="00BF066A"/>
    <w:rsid w:val="00BF2A4C"/>
    <w:rsid w:val="00BF3DE3"/>
    <w:rsid w:val="00BF5F53"/>
    <w:rsid w:val="00BF60E7"/>
    <w:rsid w:val="00BF711A"/>
    <w:rsid w:val="00C02A9F"/>
    <w:rsid w:val="00C038CD"/>
    <w:rsid w:val="00C03CCB"/>
    <w:rsid w:val="00C03ECB"/>
    <w:rsid w:val="00C060DF"/>
    <w:rsid w:val="00C062CC"/>
    <w:rsid w:val="00C06375"/>
    <w:rsid w:val="00C11762"/>
    <w:rsid w:val="00C11CDB"/>
    <w:rsid w:val="00C1565B"/>
    <w:rsid w:val="00C2388E"/>
    <w:rsid w:val="00C306D1"/>
    <w:rsid w:val="00C361EE"/>
    <w:rsid w:val="00C37933"/>
    <w:rsid w:val="00C408C7"/>
    <w:rsid w:val="00C44A5D"/>
    <w:rsid w:val="00C44DD7"/>
    <w:rsid w:val="00C47DB1"/>
    <w:rsid w:val="00C47EEA"/>
    <w:rsid w:val="00C51382"/>
    <w:rsid w:val="00C519D0"/>
    <w:rsid w:val="00C55252"/>
    <w:rsid w:val="00C6053B"/>
    <w:rsid w:val="00C70ACB"/>
    <w:rsid w:val="00C71F96"/>
    <w:rsid w:val="00C74A40"/>
    <w:rsid w:val="00C80178"/>
    <w:rsid w:val="00C8017E"/>
    <w:rsid w:val="00C80299"/>
    <w:rsid w:val="00C8195D"/>
    <w:rsid w:val="00C82559"/>
    <w:rsid w:val="00C841E9"/>
    <w:rsid w:val="00C85953"/>
    <w:rsid w:val="00C86B7B"/>
    <w:rsid w:val="00C87148"/>
    <w:rsid w:val="00C90472"/>
    <w:rsid w:val="00C9245F"/>
    <w:rsid w:val="00C94DD9"/>
    <w:rsid w:val="00C95854"/>
    <w:rsid w:val="00C9615F"/>
    <w:rsid w:val="00C96646"/>
    <w:rsid w:val="00CA2C2F"/>
    <w:rsid w:val="00CA4FEC"/>
    <w:rsid w:val="00CA7625"/>
    <w:rsid w:val="00CB0375"/>
    <w:rsid w:val="00CB29DC"/>
    <w:rsid w:val="00CB3F54"/>
    <w:rsid w:val="00CC7CEB"/>
    <w:rsid w:val="00CD01F8"/>
    <w:rsid w:val="00CD0311"/>
    <w:rsid w:val="00CD284E"/>
    <w:rsid w:val="00CD3ADC"/>
    <w:rsid w:val="00CD3CE6"/>
    <w:rsid w:val="00CD5582"/>
    <w:rsid w:val="00CD7921"/>
    <w:rsid w:val="00CE084B"/>
    <w:rsid w:val="00CE10F8"/>
    <w:rsid w:val="00CE1AB0"/>
    <w:rsid w:val="00CE2396"/>
    <w:rsid w:val="00CE26BC"/>
    <w:rsid w:val="00CE31FE"/>
    <w:rsid w:val="00CE4B98"/>
    <w:rsid w:val="00CE5A8F"/>
    <w:rsid w:val="00CF32F2"/>
    <w:rsid w:val="00CF4122"/>
    <w:rsid w:val="00CF57DF"/>
    <w:rsid w:val="00CF7011"/>
    <w:rsid w:val="00D01D66"/>
    <w:rsid w:val="00D0217C"/>
    <w:rsid w:val="00D02D57"/>
    <w:rsid w:val="00D0430E"/>
    <w:rsid w:val="00D044FD"/>
    <w:rsid w:val="00D05859"/>
    <w:rsid w:val="00D0615C"/>
    <w:rsid w:val="00D072CB"/>
    <w:rsid w:val="00D07FBE"/>
    <w:rsid w:val="00D11879"/>
    <w:rsid w:val="00D118D6"/>
    <w:rsid w:val="00D174F4"/>
    <w:rsid w:val="00D1784F"/>
    <w:rsid w:val="00D20171"/>
    <w:rsid w:val="00D20266"/>
    <w:rsid w:val="00D20C29"/>
    <w:rsid w:val="00D21550"/>
    <w:rsid w:val="00D231A2"/>
    <w:rsid w:val="00D24429"/>
    <w:rsid w:val="00D25E13"/>
    <w:rsid w:val="00D27A95"/>
    <w:rsid w:val="00D324F1"/>
    <w:rsid w:val="00D33842"/>
    <w:rsid w:val="00D405FE"/>
    <w:rsid w:val="00D41468"/>
    <w:rsid w:val="00D42933"/>
    <w:rsid w:val="00D434AB"/>
    <w:rsid w:val="00D4533C"/>
    <w:rsid w:val="00D46A99"/>
    <w:rsid w:val="00D47915"/>
    <w:rsid w:val="00D47AA2"/>
    <w:rsid w:val="00D50263"/>
    <w:rsid w:val="00D57D6E"/>
    <w:rsid w:val="00D615E3"/>
    <w:rsid w:val="00D618A4"/>
    <w:rsid w:val="00D61F5A"/>
    <w:rsid w:val="00D64744"/>
    <w:rsid w:val="00D64BDC"/>
    <w:rsid w:val="00D656C2"/>
    <w:rsid w:val="00D743AE"/>
    <w:rsid w:val="00D75C89"/>
    <w:rsid w:val="00D833F2"/>
    <w:rsid w:val="00D85102"/>
    <w:rsid w:val="00D9200F"/>
    <w:rsid w:val="00D930E5"/>
    <w:rsid w:val="00D962B0"/>
    <w:rsid w:val="00D97C08"/>
    <w:rsid w:val="00DA06F0"/>
    <w:rsid w:val="00DA384F"/>
    <w:rsid w:val="00DA436F"/>
    <w:rsid w:val="00DA7BE9"/>
    <w:rsid w:val="00DB20F2"/>
    <w:rsid w:val="00DB2602"/>
    <w:rsid w:val="00DB4814"/>
    <w:rsid w:val="00DB4C12"/>
    <w:rsid w:val="00DB5336"/>
    <w:rsid w:val="00DB7E1D"/>
    <w:rsid w:val="00DB7F35"/>
    <w:rsid w:val="00DC27AA"/>
    <w:rsid w:val="00DC3856"/>
    <w:rsid w:val="00DC4BD6"/>
    <w:rsid w:val="00DC6035"/>
    <w:rsid w:val="00DD065C"/>
    <w:rsid w:val="00DD068D"/>
    <w:rsid w:val="00DD0B20"/>
    <w:rsid w:val="00DD215C"/>
    <w:rsid w:val="00DD2595"/>
    <w:rsid w:val="00DD275E"/>
    <w:rsid w:val="00DD40E7"/>
    <w:rsid w:val="00DE0FA2"/>
    <w:rsid w:val="00DE2C01"/>
    <w:rsid w:val="00DE3E5F"/>
    <w:rsid w:val="00DE49D1"/>
    <w:rsid w:val="00DE4BC9"/>
    <w:rsid w:val="00DE4C87"/>
    <w:rsid w:val="00DE6C35"/>
    <w:rsid w:val="00DF1734"/>
    <w:rsid w:val="00DF3DA9"/>
    <w:rsid w:val="00DF5C73"/>
    <w:rsid w:val="00DF5EB2"/>
    <w:rsid w:val="00DF5F14"/>
    <w:rsid w:val="00E0081E"/>
    <w:rsid w:val="00E02094"/>
    <w:rsid w:val="00E02818"/>
    <w:rsid w:val="00E05C2F"/>
    <w:rsid w:val="00E05E9A"/>
    <w:rsid w:val="00E063C6"/>
    <w:rsid w:val="00E10F4C"/>
    <w:rsid w:val="00E126A8"/>
    <w:rsid w:val="00E12A61"/>
    <w:rsid w:val="00E12B02"/>
    <w:rsid w:val="00E12B27"/>
    <w:rsid w:val="00E13E5A"/>
    <w:rsid w:val="00E15400"/>
    <w:rsid w:val="00E20797"/>
    <w:rsid w:val="00E2419F"/>
    <w:rsid w:val="00E2453B"/>
    <w:rsid w:val="00E250A8"/>
    <w:rsid w:val="00E25976"/>
    <w:rsid w:val="00E279A9"/>
    <w:rsid w:val="00E30FDB"/>
    <w:rsid w:val="00E31B3E"/>
    <w:rsid w:val="00E32E1D"/>
    <w:rsid w:val="00E366D6"/>
    <w:rsid w:val="00E428FB"/>
    <w:rsid w:val="00E43345"/>
    <w:rsid w:val="00E43E67"/>
    <w:rsid w:val="00E44388"/>
    <w:rsid w:val="00E44D8D"/>
    <w:rsid w:val="00E45D09"/>
    <w:rsid w:val="00E47352"/>
    <w:rsid w:val="00E52193"/>
    <w:rsid w:val="00E536DB"/>
    <w:rsid w:val="00E5388F"/>
    <w:rsid w:val="00E550F7"/>
    <w:rsid w:val="00E56D1F"/>
    <w:rsid w:val="00E63A55"/>
    <w:rsid w:val="00E63D8B"/>
    <w:rsid w:val="00E65393"/>
    <w:rsid w:val="00E66C88"/>
    <w:rsid w:val="00E67678"/>
    <w:rsid w:val="00E702C3"/>
    <w:rsid w:val="00E71594"/>
    <w:rsid w:val="00E721A0"/>
    <w:rsid w:val="00E745D1"/>
    <w:rsid w:val="00E74FCB"/>
    <w:rsid w:val="00E75143"/>
    <w:rsid w:val="00E816E1"/>
    <w:rsid w:val="00E81F4B"/>
    <w:rsid w:val="00E82FAF"/>
    <w:rsid w:val="00E861A6"/>
    <w:rsid w:val="00E9336B"/>
    <w:rsid w:val="00E94CEE"/>
    <w:rsid w:val="00E95D47"/>
    <w:rsid w:val="00E968FF"/>
    <w:rsid w:val="00E97D72"/>
    <w:rsid w:val="00EA11BE"/>
    <w:rsid w:val="00EA256E"/>
    <w:rsid w:val="00EA2D0A"/>
    <w:rsid w:val="00EA2D58"/>
    <w:rsid w:val="00EA3237"/>
    <w:rsid w:val="00EA482B"/>
    <w:rsid w:val="00EB09A1"/>
    <w:rsid w:val="00EB1B76"/>
    <w:rsid w:val="00EB74E6"/>
    <w:rsid w:val="00EB7B13"/>
    <w:rsid w:val="00EC0850"/>
    <w:rsid w:val="00EC0D58"/>
    <w:rsid w:val="00EC2B5D"/>
    <w:rsid w:val="00EC5549"/>
    <w:rsid w:val="00EC644A"/>
    <w:rsid w:val="00EC6A3F"/>
    <w:rsid w:val="00EC772E"/>
    <w:rsid w:val="00ED4567"/>
    <w:rsid w:val="00ED6E66"/>
    <w:rsid w:val="00EE0C70"/>
    <w:rsid w:val="00EE3033"/>
    <w:rsid w:val="00EE3C33"/>
    <w:rsid w:val="00EE594F"/>
    <w:rsid w:val="00EE664B"/>
    <w:rsid w:val="00EE7042"/>
    <w:rsid w:val="00EE72A0"/>
    <w:rsid w:val="00EF1A23"/>
    <w:rsid w:val="00EF2198"/>
    <w:rsid w:val="00EF354B"/>
    <w:rsid w:val="00EF500F"/>
    <w:rsid w:val="00F0568C"/>
    <w:rsid w:val="00F062D7"/>
    <w:rsid w:val="00F06D57"/>
    <w:rsid w:val="00F110A3"/>
    <w:rsid w:val="00F11BFA"/>
    <w:rsid w:val="00F15577"/>
    <w:rsid w:val="00F169E2"/>
    <w:rsid w:val="00F16AF4"/>
    <w:rsid w:val="00F1701A"/>
    <w:rsid w:val="00F17E9F"/>
    <w:rsid w:val="00F2038A"/>
    <w:rsid w:val="00F2076A"/>
    <w:rsid w:val="00F222EB"/>
    <w:rsid w:val="00F228E3"/>
    <w:rsid w:val="00F26189"/>
    <w:rsid w:val="00F26D60"/>
    <w:rsid w:val="00F30554"/>
    <w:rsid w:val="00F33AA5"/>
    <w:rsid w:val="00F348D2"/>
    <w:rsid w:val="00F360F8"/>
    <w:rsid w:val="00F36905"/>
    <w:rsid w:val="00F377E1"/>
    <w:rsid w:val="00F40351"/>
    <w:rsid w:val="00F4485F"/>
    <w:rsid w:val="00F44B6A"/>
    <w:rsid w:val="00F44BF2"/>
    <w:rsid w:val="00F456D7"/>
    <w:rsid w:val="00F46904"/>
    <w:rsid w:val="00F521C7"/>
    <w:rsid w:val="00F5403F"/>
    <w:rsid w:val="00F55061"/>
    <w:rsid w:val="00F56EF9"/>
    <w:rsid w:val="00F57C11"/>
    <w:rsid w:val="00F60BF8"/>
    <w:rsid w:val="00F62590"/>
    <w:rsid w:val="00F642BB"/>
    <w:rsid w:val="00F64863"/>
    <w:rsid w:val="00F701ED"/>
    <w:rsid w:val="00F7052C"/>
    <w:rsid w:val="00F708E5"/>
    <w:rsid w:val="00F70C69"/>
    <w:rsid w:val="00F72AFE"/>
    <w:rsid w:val="00F76298"/>
    <w:rsid w:val="00F77707"/>
    <w:rsid w:val="00F84C3D"/>
    <w:rsid w:val="00F85876"/>
    <w:rsid w:val="00F85B6D"/>
    <w:rsid w:val="00F85BAE"/>
    <w:rsid w:val="00F85D00"/>
    <w:rsid w:val="00F87190"/>
    <w:rsid w:val="00F873B9"/>
    <w:rsid w:val="00F877AA"/>
    <w:rsid w:val="00F90449"/>
    <w:rsid w:val="00F90AFE"/>
    <w:rsid w:val="00F91752"/>
    <w:rsid w:val="00F94283"/>
    <w:rsid w:val="00F94B34"/>
    <w:rsid w:val="00F94D0B"/>
    <w:rsid w:val="00F95E68"/>
    <w:rsid w:val="00F960C1"/>
    <w:rsid w:val="00FA0331"/>
    <w:rsid w:val="00FA0763"/>
    <w:rsid w:val="00FA0A6B"/>
    <w:rsid w:val="00FA19E5"/>
    <w:rsid w:val="00FA1DD1"/>
    <w:rsid w:val="00FA29E6"/>
    <w:rsid w:val="00FA5E85"/>
    <w:rsid w:val="00FA68BC"/>
    <w:rsid w:val="00FB0A47"/>
    <w:rsid w:val="00FB3BA9"/>
    <w:rsid w:val="00FB4485"/>
    <w:rsid w:val="00FB46FF"/>
    <w:rsid w:val="00FB6174"/>
    <w:rsid w:val="00FB6E8C"/>
    <w:rsid w:val="00FB7006"/>
    <w:rsid w:val="00FC049C"/>
    <w:rsid w:val="00FC18E9"/>
    <w:rsid w:val="00FC1C0E"/>
    <w:rsid w:val="00FC24E6"/>
    <w:rsid w:val="00FC3BA9"/>
    <w:rsid w:val="00FC4B2C"/>
    <w:rsid w:val="00FC5ED8"/>
    <w:rsid w:val="00FD0037"/>
    <w:rsid w:val="00FD2A97"/>
    <w:rsid w:val="00FD3BB0"/>
    <w:rsid w:val="00FD47C8"/>
    <w:rsid w:val="00FD4E88"/>
    <w:rsid w:val="00FD5141"/>
    <w:rsid w:val="00FD5CAA"/>
    <w:rsid w:val="00FD7D35"/>
    <w:rsid w:val="00FE1810"/>
    <w:rsid w:val="00FE3434"/>
    <w:rsid w:val="00FE3B3C"/>
    <w:rsid w:val="00FE5A30"/>
    <w:rsid w:val="00FF05FD"/>
    <w:rsid w:val="00FF2E30"/>
    <w:rsid w:val="00FF3278"/>
    <w:rsid w:val="00FF46A4"/>
    <w:rsid w:val="010593A8"/>
    <w:rsid w:val="0193E141"/>
    <w:rsid w:val="0241E3F7"/>
    <w:rsid w:val="03BFF96F"/>
    <w:rsid w:val="05E326FD"/>
    <w:rsid w:val="06E69130"/>
    <w:rsid w:val="097EDB58"/>
    <w:rsid w:val="0BC2B781"/>
    <w:rsid w:val="12208B2B"/>
    <w:rsid w:val="123F4669"/>
    <w:rsid w:val="12A255D3"/>
    <w:rsid w:val="142EE94D"/>
    <w:rsid w:val="16BFE6BF"/>
    <w:rsid w:val="16F9527D"/>
    <w:rsid w:val="17CA9BD0"/>
    <w:rsid w:val="19FE3CBF"/>
    <w:rsid w:val="1ADB6969"/>
    <w:rsid w:val="1C4DFD53"/>
    <w:rsid w:val="1CFA373C"/>
    <w:rsid w:val="1DCD7BC4"/>
    <w:rsid w:val="1EDFB05F"/>
    <w:rsid w:val="218D43FC"/>
    <w:rsid w:val="28D3EB15"/>
    <w:rsid w:val="297A33F3"/>
    <w:rsid w:val="2C28087C"/>
    <w:rsid w:val="2D7EE882"/>
    <w:rsid w:val="3007FAA9"/>
    <w:rsid w:val="3399FD74"/>
    <w:rsid w:val="35DED5FF"/>
    <w:rsid w:val="37E6A4F2"/>
    <w:rsid w:val="383F7298"/>
    <w:rsid w:val="3AB8089E"/>
    <w:rsid w:val="3AFB0949"/>
    <w:rsid w:val="3D665558"/>
    <w:rsid w:val="3FFE274F"/>
    <w:rsid w:val="401D04A3"/>
    <w:rsid w:val="40B96B45"/>
    <w:rsid w:val="41BF3C93"/>
    <w:rsid w:val="45D3819D"/>
    <w:rsid w:val="47F7CF6B"/>
    <w:rsid w:val="495EC46F"/>
    <w:rsid w:val="4A1D37B3"/>
    <w:rsid w:val="4AB0443C"/>
    <w:rsid w:val="4AB76449"/>
    <w:rsid w:val="4B376A05"/>
    <w:rsid w:val="4E1D9680"/>
    <w:rsid w:val="4E5EBAE3"/>
    <w:rsid w:val="4F7B7C8A"/>
    <w:rsid w:val="4FE89A76"/>
    <w:rsid w:val="4FF39AD8"/>
    <w:rsid w:val="5041C0CC"/>
    <w:rsid w:val="535A10B0"/>
    <w:rsid w:val="53F2F456"/>
    <w:rsid w:val="54A9F9B6"/>
    <w:rsid w:val="58102DEF"/>
    <w:rsid w:val="597CA2EE"/>
    <w:rsid w:val="5ED2FA3D"/>
    <w:rsid w:val="6002AEEF"/>
    <w:rsid w:val="634F8439"/>
    <w:rsid w:val="637EAF28"/>
    <w:rsid w:val="653771C7"/>
    <w:rsid w:val="656E520C"/>
    <w:rsid w:val="69F34D81"/>
    <w:rsid w:val="6B7C6C4E"/>
    <w:rsid w:val="6DE43783"/>
    <w:rsid w:val="6E562BF4"/>
    <w:rsid w:val="6E9B22E3"/>
    <w:rsid w:val="6FABA3A5"/>
    <w:rsid w:val="6FBEB77A"/>
    <w:rsid w:val="6FE7E3C0"/>
    <w:rsid w:val="71485D96"/>
    <w:rsid w:val="718D353E"/>
    <w:rsid w:val="784F815A"/>
    <w:rsid w:val="7A01E967"/>
    <w:rsid w:val="7EE39E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E8D13"/>
  <w15:chartTrackingRefBased/>
  <w15:docId w15:val="{7F956DD8-1753-41D0-A8B1-A386FB6B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qFormat/>
    <w:rsid w:val="00AF1C07"/>
    <w:pPr>
      <w:tabs>
        <w:tab w:val="num" w:pos="720"/>
      </w:tabs>
      <w:spacing w:after="240"/>
      <w:ind w:left="720" w:hanging="36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nhideWhenUsed/>
    <w:rsid w:val="00F33AA5"/>
    <w:rPr>
      <w:color w:val="0000FF" w:themeColor="hyperlink"/>
      <w:u w:val="single"/>
    </w:rPr>
  </w:style>
  <w:style w:type="character" w:styleId="UnresolvedMention">
    <w:name w:val="Unresolved Mention"/>
    <w:basedOn w:val="DefaultParagraphFont"/>
    <w:uiPriority w:val="99"/>
    <w:unhideWhenUsed/>
    <w:rsid w:val="00F33AA5"/>
    <w:rPr>
      <w:color w:val="605E5C"/>
      <w:shd w:val="clear" w:color="auto" w:fill="E1DFDD"/>
    </w:rPr>
  </w:style>
  <w:style w:type="character" w:styleId="CommentReference">
    <w:name w:val="annotation reference"/>
    <w:basedOn w:val="DefaultParagraphFont"/>
    <w:semiHidden/>
    <w:unhideWhenUsed/>
    <w:rsid w:val="007965FF"/>
    <w:rPr>
      <w:sz w:val="16"/>
      <w:szCs w:val="16"/>
    </w:rPr>
  </w:style>
  <w:style w:type="paragraph" w:styleId="CommentText">
    <w:name w:val="annotation text"/>
    <w:basedOn w:val="Normal"/>
    <w:link w:val="CommentTextChar"/>
    <w:unhideWhenUsed/>
    <w:rsid w:val="007965FF"/>
    <w:rPr>
      <w:sz w:val="20"/>
    </w:rPr>
  </w:style>
  <w:style w:type="character" w:customStyle="1" w:styleId="CommentTextChar">
    <w:name w:val="Comment Text Char"/>
    <w:basedOn w:val="DefaultParagraphFont"/>
    <w:link w:val="CommentText"/>
    <w:rsid w:val="007965FF"/>
    <w:rPr>
      <w:rFonts w:ascii="Arial" w:hAnsi="Arial"/>
      <w:lang w:eastAsia="en-US"/>
    </w:rPr>
  </w:style>
  <w:style w:type="paragraph" w:styleId="CommentSubject">
    <w:name w:val="annotation subject"/>
    <w:basedOn w:val="CommentText"/>
    <w:next w:val="CommentText"/>
    <w:link w:val="CommentSubjectChar"/>
    <w:semiHidden/>
    <w:unhideWhenUsed/>
    <w:rsid w:val="007965FF"/>
    <w:rPr>
      <w:b/>
      <w:bCs/>
    </w:rPr>
  </w:style>
  <w:style w:type="character" w:customStyle="1" w:styleId="CommentSubjectChar">
    <w:name w:val="Comment Subject Char"/>
    <w:basedOn w:val="CommentTextChar"/>
    <w:link w:val="CommentSubject"/>
    <w:semiHidden/>
    <w:rsid w:val="007965FF"/>
    <w:rPr>
      <w:rFonts w:ascii="Arial" w:hAnsi="Arial"/>
      <w:b/>
      <w:bCs/>
      <w:lang w:eastAsia="en-US"/>
    </w:rPr>
  </w:style>
  <w:style w:type="character" w:styleId="Mention">
    <w:name w:val="Mention"/>
    <w:basedOn w:val="DefaultParagraphFont"/>
    <w:uiPriority w:val="99"/>
    <w:unhideWhenUsed/>
    <w:rsid w:val="00BE294C"/>
    <w:rPr>
      <w:color w:val="2B579A"/>
      <w:shd w:val="clear" w:color="auto" w:fill="E1DFDD"/>
    </w:rPr>
  </w:style>
  <w:style w:type="paragraph" w:styleId="NormalWeb">
    <w:name w:val="Normal (Web)"/>
    <w:basedOn w:val="Normal"/>
    <w:uiPriority w:val="99"/>
    <w:unhideWhenUsed/>
    <w:rsid w:val="00ED6E66"/>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DeptBulletsChar">
    <w:name w:val="DeptBullets Char"/>
    <w:basedOn w:val="DefaultParagraphFont"/>
    <w:link w:val="DeptBullets"/>
    <w:rsid w:val="006D5A18"/>
    <w:rPr>
      <w:rFonts w:ascii="Arial" w:hAnsi="Arial"/>
      <w:sz w:val="24"/>
      <w:lang w:eastAsia="en-US"/>
    </w:rPr>
  </w:style>
  <w:style w:type="character" w:customStyle="1" w:styleId="BodyTextChar">
    <w:name w:val="Body Text Char"/>
    <w:basedOn w:val="DefaultParagraphFont"/>
    <w:link w:val="BodyText"/>
    <w:uiPriority w:val="1"/>
    <w:rsid w:val="0098688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6439">
      <w:bodyDiv w:val="1"/>
      <w:marLeft w:val="0"/>
      <w:marRight w:val="0"/>
      <w:marTop w:val="0"/>
      <w:marBottom w:val="0"/>
      <w:divBdr>
        <w:top w:val="none" w:sz="0" w:space="0" w:color="auto"/>
        <w:left w:val="none" w:sz="0" w:space="0" w:color="auto"/>
        <w:bottom w:val="none" w:sz="0" w:space="0" w:color="auto"/>
        <w:right w:val="none" w:sz="0" w:space="0" w:color="auto"/>
      </w:divBdr>
      <w:divsChild>
        <w:div w:id="499271453">
          <w:marLeft w:val="0"/>
          <w:marRight w:val="0"/>
          <w:marTop w:val="0"/>
          <w:marBottom w:val="0"/>
          <w:divBdr>
            <w:top w:val="none" w:sz="0" w:space="0" w:color="auto"/>
            <w:left w:val="none" w:sz="0" w:space="0" w:color="auto"/>
            <w:bottom w:val="none" w:sz="0" w:space="0" w:color="auto"/>
            <w:right w:val="none" w:sz="0" w:space="0" w:color="auto"/>
          </w:divBdr>
        </w:div>
      </w:divsChild>
    </w:div>
    <w:div w:id="1045131533">
      <w:bodyDiv w:val="1"/>
      <w:marLeft w:val="0"/>
      <w:marRight w:val="0"/>
      <w:marTop w:val="0"/>
      <w:marBottom w:val="0"/>
      <w:divBdr>
        <w:top w:val="none" w:sz="0" w:space="0" w:color="auto"/>
        <w:left w:val="none" w:sz="0" w:space="0" w:color="auto"/>
        <w:bottom w:val="none" w:sz="0" w:space="0" w:color="auto"/>
        <w:right w:val="none" w:sz="0" w:space="0" w:color="auto"/>
      </w:divBdr>
    </w:div>
    <w:div w:id="1621717166">
      <w:bodyDiv w:val="1"/>
      <w:marLeft w:val="0"/>
      <w:marRight w:val="0"/>
      <w:marTop w:val="0"/>
      <w:marBottom w:val="0"/>
      <w:divBdr>
        <w:top w:val="none" w:sz="0" w:space="0" w:color="auto"/>
        <w:left w:val="none" w:sz="0" w:space="0" w:color="auto"/>
        <w:bottom w:val="none" w:sz="0" w:space="0" w:color="auto"/>
        <w:right w:val="none" w:sz="0" w:space="0" w:color="auto"/>
      </w:divBdr>
      <w:divsChild>
        <w:div w:id="805782789">
          <w:marLeft w:val="0"/>
          <w:marRight w:val="0"/>
          <w:marTop w:val="0"/>
          <w:marBottom w:val="0"/>
          <w:divBdr>
            <w:top w:val="none" w:sz="0" w:space="0" w:color="auto"/>
            <w:left w:val="none" w:sz="0" w:space="0" w:color="auto"/>
            <w:bottom w:val="none" w:sz="0" w:space="0" w:color="auto"/>
            <w:right w:val="none" w:sz="0" w:space="0" w:color="auto"/>
          </w:divBdr>
        </w:div>
      </w:divsChild>
    </w:div>
    <w:div w:id="2108887519">
      <w:bodyDiv w:val="1"/>
      <w:marLeft w:val="0"/>
      <w:marRight w:val="0"/>
      <w:marTop w:val="0"/>
      <w:marBottom w:val="0"/>
      <w:divBdr>
        <w:top w:val="none" w:sz="0" w:space="0" w:color="auto"/>
        <w:left w:val="none" w:sz="0" w:space="0" w:color="auto"/>
        <w:bottom w:val="none" w:sz="0" w:space="0" w:color="auto"/>
        <w:right w:val="none" w:sz="0" w:space="0" w:color="auto"/>
      </w:divBdr>
      <w:divsChild>
        <w:div w:id="49029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duction-for-early-career-teachers-england?utm_source=email&amp;utm_medium=email&amp;utm_campaign=statguidance" TargetMode="External"/><Relationship Id="rId13" Type="http://schemas.openxmlformats.org/officeDocument/2006/relationships/hyperlink" Target="https://www.gov.uk/government/publications/induction-for-early-career-teachers-england" TargetMode="External"/><Relationship Id="rId18" Type="http://schemas.openxmlformats.org/officeDocument/2006/relationships/hyperlink" Target="https://istip.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induction-for-early-career-teachers-england" TargetMode="External"/><Relationship Id="rId17" Type="http://schemas.openxmlformats.org/officeDocument/2006/relationships/hyperlink" Target="https://nta.org.uk/" TargetMode="External"/><Relationship Id="rId2" Type="http://schemas.openxmlformats.org/officeDocument/2006/relationships/numbering" Target="numbering.xml"/><Relationship Id="rId16" Type="http://schemas.openxmlformats.org/officeDocument/2006/relationships/hyperlink" Target="https://manage-training-for-early-career-teachers.education.gov.uk/" TargetMode="External"/><Relationship Id="rId20" Type="http://schemas.openxmlformats.org/officeDocument/2006/relationships/hyperlink" Target="https://www.gov.uk/government/publications/early-career-framework-reforms-overview/early-career-framework-reforms-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duction-for-early-career-teachers-england" TargetMode="External"/><Relationship Id="rId5" Type="http://schemas.openxmlformats.org/officeDocument/2006/relationships/webSettings" Target="webSettings.xml"/><Relationship Id="rId15" Type="http://schemas.openxmlformats.org/officeDocument/2006/relationships/hyperlink" Target="https://www.gov.uk/guidance/get-information-about-schools" TargetMode="External"/><Relationship Id="rId10" Type="http://schemas.openxmlformats.org/officeDocument/2006/relationships/hyperlink" Target="https://www.gov.uk/government/publications/early-career-framework-reforms-overview/early-career-framework-reforms-overview?utm_source=email&amp;utm_medium=email&amp;utm_campaign=statguidance" TargetMode="External"/><Relationship Id="rId19" Type="http://schemas.openxmlformats.org/officeDocument/2006/relationships/hyperlink" Target="https://www.gov.uk/government/publications/early-career-framework-reforms-overview/early-career-framework-reforms-overview" TargetMode="External"/><Relationship Id="rId4" Type="http://schemas.openxmlformats.org/officeDocument/2006/relationships/settings" Target="settings.xml"/><Relationship Id="rId9" Type="http://schemas.openxmlformats.org/officeDocument/2006/relationships/hyperlink" Target="https://www.gov.uk/government/publications/appropriate-bodies-guidance-induction-and-the-early-career-framework?utm_source=email&amp;utm_medium=email&amp;utm_campaign=statguidance" TargetMode="External"/><Relationship Id="rId14" Type="http://schemas.openxmlformats.org/officeDocument/2006/relationships/hyperlink" Target="https://www.gov.uk/government/publications/induction-for-early-career-teachers-eng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4957-3D0A-4E24-8B9F-AA8C5F63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6201</Words>
  <Characters>35352</Characters>
  <Application>Microsoft Office Word</Application>
  <DocSecurity>0</DocSecurity>
  <Lines>294</Lines>
  <Paragraphs>82</Paragraphs>
  <ScaleCrop>false</ScaleCrop>
  <Company/>
  <LinksUpToDate>false</LinksUpToDate>
  <CharactersWithSpaces>41471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EASEY, Nathan</dc:creator>
  <cp:keywords/>
  <dc:description/>
  <cp:lastModifiedBy>EASEY, Nathan</cp:lastModifiedBy>
  <cp:revision>595</cp:revision>
  <dcterms:created xsi:type="dcterms:W3CDTF">2021-04-29T00:39:00Z</dcterms:created>
  <dcterms:modified xsi:type="dcterms:W3CDTF">2021-05-14T15:49:00Z</dcterms:modified>
</cp:coreProperties>
</file>