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5CF8C" w14:textId="70C7138C" w:rsidR="00AA32CA" w:rsidRPr="00AD67ED" w:rsidRDefault="00704637" w:rsidP="00072E1F">
      <w:pPr>
        <w:spacing w:line="240" w:lineRule="auto"/>
        <w:ind w:left="-284"/>
        <w:contextualSpacing/>
        <w:rPr>
          <w:b/>
          <w:sz w:val="32"/>
        </w:rPr>
      </w:pPr>
      <w:r w:rsidRPr="00F14385">
        <w:rPr>
          <w:rFonts w:ascii="Times New Roman" w:eastAsia="Times New Roman" w:hAnsi="Times New Roman" w:cs="Times New Roman"/>
          <w:noProof/>
          <w:lang w:eastAsia="en-GB"/>
        </w:rPr>
        <w:drawing>
          <wp:inline distT="0" distB="0" distL="0" distR="0" wp14:anchorId="3F28BCFF" wp14:editId="4738F2AE">
            <wp:extent cx="1147782" cy="5990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47782" cy="599086"/>
                    </a:xfrm>
                    <a:prstGeom prst="rect">
                      <a:avLst/>
                    </a:prstGeom>
                    <a:noFill/>
                    <a:ln>
                      <a:noFill/>
                    </a:ln>
                  </pic:spPr>
                </pic:pic>
              </a:graphicData>
            </a:graphic>
          </wp:inline>
        </w:drawing>
      </w:r>
      <w:r w:rsidR="002228D9">
        <w:rPr>
          <w:b/>
          <w:sz w:val="32"/>
        </w:rPr>
        <w:t xml:space="preserve">                                                                 </w:t>
      </w:r>
      <w:r w:rsidR="002228D9">
        <w:rPr>
          <w:noProof/>
          <w:sz w:val="44"/>
          <w:szCs w:val="44"/>
          <w:lang w:eastAsia="en-GB"/>
        </w:rPr>
        <w:drawing>
          <wp:inline distT="0" distB="0" distL="0" distR="0" wp14:anchorId="4CC1917F" wp14:editId="3BA06797">
            <wp:extent cx="1080770" cy="653415"/>
            <wp:effectExtent l="0" t="0" r="508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770" cy="653415"/>
                    </a:xfrm>
                    <a:prstGeom prst="rect">
                      <a:avLst/>
                    </a:prstGeom>
                    <a:noFill/>
                    <a:ln>
                      <a:noFill/>
                    </a:ln>
                  </pic:spPr>
                </pic:pic>
              </a:graphicData>
            </a:graphic>
          </wp:inline>
        </w:drawing>
      </w:r>
    </w:p>
    <w:p w14:paraId="0F95A8E7" w14:textId="77777777" w:rsidR="00B95415" w:rsidRDefault="00B95415" w:rsidP="00072E1F">
      <w:pPr>
        <w:pBdr>
          <w:bottom w:val="single" w:sz="12" w:space="0" w:color="auto"/>
        </w:pBdr>
        <w:spacing w:line="240" w:lineRule="auto"/>
        <w:contextualSpacing/>
        <w:jc w:val="center"/>
        <w:rPr>
          <w:b/>
          <w:sz w:val="28"/>
          <w:szCs w:val="28"/>
        </w:rPr>
      </w:pPr>
    </w:p>
    <w:p w14:paraId="33F62F9E" w14:textId="20EE5E2A" w:rsidR="00FC0847" w:rsidRDefault="006A58B8" w:rsidP="00FC0847">
      <w:pPr>
        <w:pBdr>
          <w:bottom w:val="single" w:sz="12" w:space="0" w:color="auto"/>
        </w:pBdr>
        <w:spacing w:line="240" w:lineRule="auto"/>
        <w:contextualSpacing/>
        <w:jc w:val="center"/>
      </w:pPr>
      <w:r w:rsidRPr="00AA32CA">
        <w:rPr>
          <w:b/>
          <w:sz w:val="28"/>
          <w:szCs w:val="28"/>
        </w:rPr>
        <w:t xml:space="preserve">Summary Note – Meeting of </w:t>
      </w:r>
      <w:r w:rsidR="00C801F2" w:rsidRPr="00C801F2">
        <w:rPr>
          <w:b/>
          <w:sz w:val="28"/>
          <w:szCs w:val="28"/>
        </w:rPr>
        <w:t>System Design</w:t>
      </w:r>
      <w:r w:rsidR="00AA32CA" w:rsidRPr="00AA32CA">
        <w:rPr>
          <w:b/>
          <w:sz w:val="28"/>
          <w:szCs w:val="28"/>
        </w:rPr>
        <w:t xml:space="preserve"> </w:t>
      </w:r>
      <w:r w:rsidR="00072E1F">
        <w:rPr>
          <w:b/>
          <w:sz w:val="28"/>
          <w:szCs w:val="28"/>
        </w:rPr>
        <w:t>Working Group</w:t>
      </w:r>
      <w:r w:rsidR="00A50F7A">
        <w:tab/>
      </w:r>
    </w:p>
    <w:p w14:paraId="193990A1" w14:textId="433DC688" w:rsidR="00A50F7A" w:rsidRPr="00634744" w:rsidRDefault="00A50F7A" w:rsidP="00072E1F">
      <w:pPr>
        <w:pBdr>
          <w:bottom w:val="single" w:sz="12" w:space="0" w:color="auto"/>
        </w:pBdr>
        <w:spacing w:line="240" w:lineRule="auto"/>
        <w:contextualSpacing/>
        <w:jc w:val="center"/>
        <w:rPr>
          <w:b/>
          <w:sz w:val="28"/>
          <w:szCs w:val="28"/>
        </w:rPr>
      </w:pPr>
      <w:r>
        <w:tab/>
      </w:r>
      <w:r>
        <w:tab/>
      </w:r>
      <w:r>
        <w:tab/>
      </w:r>
      <w:r>
        <w:tab/>
      </w:r>
      <w:r>
        <w:tab/>
      </w:r>
    </w:p>
    <w:p w14:paraId="2B1FA49D" w14:textId="77777777" w:rsidR="00E03F6C" w:rsidRDefault="00E03F6C" w:rsidP="00E03F6C">
      <w:pPr>
        <w:spacing w:line="360" w:lineRule="auto"/>
        <w:contextualSpacing/>
      </w:pPr>
    </w:p>
    <w:p w14:paraId="48A10097" w14:textId="10EE0DB6" w:rsidR="008C37F1" w:rsidRPr="008C37F1" w:rsidRDefault="00A50F7A" w:rsidP="00E03F6C">
      <w:pPr>
        <w:spacing w:line="360" w:lineRule="auto"/>
        <w:contextualSpacing/>
        <w:rPr>
          <w:b/>
          <w:szCs w:val="40"/>
        </w:rPr>
      </w:pPr>
      <w:r w:rsidRPr="00A50F7A">
        <w:t>Title:</w:t>
      </w:r>
      <w:r>
        <w:rPr>
          <w:b/>
        </w:rPr>
        <w:t xml:space="preserve">  </w:t>
      </w:r>
      <w:r>
        <w:rPr>
          <w:b/>
        </w:rPr>
        <w:tab/>
      </w:r>
      <w:r>
        <w:rPr>
          <w:b/>
        </w:rPr>
        <w:tab/>
      </w:r>
      <w:r w:rsidR="00C801F2">
        <w:rPr>
          <w:b/>
          <w:szCs w:val="40"/>
        </w:rPr>
        <w:t xml:space="preserve">System Design </w:t>
      </w:r>
      <w:r w:rsidRPr="00A50F7A">
        <w:rPr>
          <w:b/>
          <w:szCs w:val="40"/>
        </w:rPr>
        <w:t>Working Group</w:t>
      </w:r>
    </w:p>
    <w:p w14:paraId="36C87DAD" w14:textId="08D01361" w:rsidR="00A50F7A" w:rsidRDefault="00A50F7A" w:rsidP="00E03F6C">
      <w:pPr>
        <w:spacing w:line="360" w:lineRule="auto"/>
        <w:contextualSpacing/>
        <w:rPr>
          <w:b/>
        </w:rPr>
      </w:pPr>
      <w:r w:rsidRPr="00A50F7A">
        <w:t>Date:</w:t>
      </w:r>
      <w:r>
        <w:rPr>
          <w:b/>
        </w:rPr>
        <w:t xml:space="preserve"> </w:t>
      </w:r>
      <w:r>
        <w:rPr>
          <w:b/>
        </w:rPr>
        <w:tab/>
      </w:r>
      <w:r>
        <w:rPr>
          <w:b/>
        </w:rPr>
        <w:tab/>
      </w:r>
      <w:r w:rsidR="000424A8">
        <w:rPr>
          <w:b/>
        </w:rPr>
        <w:t xml:space="preserve">Thursday </w:t>
      </w:r>
      <w:r w:rsidR="00A72283">
        <w:rPr>
          <w:b/>
        </w:rPr>
        <w:t>7</w:t>
      </w:r>
      <w:r w:rsidR="002B73D4">
        <w:rPr>
          <w:b/>
        </w:rPr>
        <w:t xml:space="preserve"> </w:t>
      </w:r>
      <w:r w:rsidR="00A72283">
        <w:rPr>
          <w:b/>
        </w:rPr>
        <w:t>February 2018</w:t>
      </w:r>
    </w:p>
    <w:p w14:paraId="5F7C54EC" w14:textId="6D392D6A" w:rsidR="009A3335" w:rsidRPr="009A3335" w:rsidRDefault="00A50F7A" w:rsidP="009A3335">
      <w:pPr>
        <w:rPr>
          <w:b/>
        </w:rPr>
      </w:pPr>
      <w:r w:rsidRPr="00A50F7A">
        <w:t>Venue</w:t>
      </w:r>
      <w:r>
        <w:rPr>
          <w:b/>
        </w:rPr>
        <w:t xml:space="preserve">: </w:t>
      </w:r>
      <w:r>
        <w:rPr>
          <w:b/>
        </w:rPr>
        <w:tab/>
      </w:r>
      <w:r w:rsidR="00A72283">
        <w:rPr>
          <w:b/>
        </w:rPr>
        <w:t>MHCLG</w:t>
      </w:r>
      <w:r w:rsidR="00C05DFD">
        <w:rPr>
          <w:b/>
        </w:rPr>
        <w:t xml:space="preserve"> H</w:t>
      </w:r>
      <w:r w:rsidR="009A3335" w:rsidRPr="009A3335">
        <w:rPr>
          <w:b/>
        </w:rPr>
        <w:t>eadquarters</w:t>
      </w:r>
      <w:r w:rsidR="00C05DFD">
        <w:rPr>
          <w:b/>
        </w:rPr>
        <w:t>,</w:t>
      </w:r>
      <w:r w:rsidR="009A3335" w:rsidRPr="009A3335">
        <w:rPr>
          <w:b/>
        </w:rPr>
        <w:t xml:space="preserve"> </w:t>
      </w:r>
      <w:r w:rsidR="00A72283">
        <w:rPr>
          <w:b/>
        </w:rPr>
        <w:t xml:space="preserve">2 </w:t>
      </w:r>
      <w:proofErr w:type="spellStart"/>
      <w:r w:rsidR="00A72283">
        <w:rPr>
          <w:b/>
        </w:rPr>
        <w:t>Marsham</w:t>
      </w:r>
      <w:proofErr w:type="spellEnd"/>
      <w:r w:rsidR="00A72283">
        <w:rPr>
          <w:b/>
        </w:rPr>
        <w:t xml:space="preserve"> Street</w:t>
      </w:r>
      <w:r w:rsidR="00C70D22">
        <w:rPr>
          <w:b/>
        </w:rPr>
        <w:t xml:space="preserve"> </w:t>
      </w:r>
      <w:r w:rsidR="00C70D22" w:rsidRPr="00C70D22">
        <w:rPr>
          <w:rStyle w:val="xbe"/>
          <w:b/>
          <w:color w:val="222222"/>
          <w:lang w:val="en-US"/>
        </w:rPr>
        <w:t>SW1P 4DF</w:t>
      </w:r>
    </w:p>
    <w:p w14:paraId="69DD01C7" w14:textId="1A65F4B1" w:rsidR="00A50F7A" w:rsidRPr="00AD67ED" w:rsidRDefault="00A50F7A" w:rsidP="00E03F6C">
      <w:pPr>
        <w:pBdr>
          <w:bottom w:val="single" w:sz="12" w:space="1" w:color="auto"/>
        </w:pBdr>
        <w:spacing w:line="360" w:lineRule="auto"/>
        <w:contextualSpacing/>
      </w:pPr>
    </w:p>
    <w:p w14:paraId="4586ACE3" w14:textId="39CAC5A0" w:rsidR="008E20E2" w:rsidRPr="00302A5C" w:rsidRDefault="006A58B8" w:rsidP="00704804">
      <w:pPr>
        <w:spacing w:after="240" w:line="240" w:lineRule="auto"/>
        <w:rPr>
          <w:b/>
          <w:sz w:val="22"/>
          <w:szCs w:val="22"/>
        </w:rPr>
      </w:pPr>
      <w:r w:rsidRPr="00302A5C">
        <w:rPr>
          <w:b/>
          <w:sz w:val="22"/>
          <w:szCs w:val="22"/>
        </w:rPr>
        <w:t>Attendance</w:t>
      </w:r>
    </w:p>
    <w:p w14:paraId="29160D58" w14:textId="4585D1B4" w:rsidR="00861D52" w:rsidRPr="003E7763" w:rsidRDefault="006A58B8" w:rsidP="00704804">
      <w:pPr>
        <w:pStyle w:val="ListParagraph"/>
        <w:numPr>
          <w:ilvl w:val="0"/>
          <w:numId w:val="8"/>
        </w:numPr>
        <w:spacing w:after="240" w:line="240" w:lineRule="auto"/>
        <w:contextualSpacing w:val="0"/>
        <w:rPr>
          <w:b/>
          <w:sz w:val="22"/>
          <w:szCs w:val="22"/>
        </w:rPr>
      </w:pPr>
      <w:r w:rsidRPr="003E7763">
        <w:rPr>
          <w:sz w:val="22"/>
          <w:szCs w:val="22"/>
        </w:rPr>
        <w:t>A</w:t>
      </w:r>
      <w:r w:rsidR="00087250" w:rsidRPr="003E7763">
        <w:rPr>
          <w:sz w:val="22"/>
          <w:szCs w:val="22"/>
        </w:rPr>
        <w:t xml:space="preserve">n attendance list is attached </w:t>
      </w:r>
      <w:r w:rsidRPr="003E7763">
        <w:rPr>
          <w:sz w:val="22"/>
          <w:szCs w:val="22"/>
        </w:rPr>
        <w:t>to this note</w:t>
      </w:r>
      <w:r w:rsidR="00087250" w:rsidRPr="003E7763">
        <w:rPr>
          <w:sz w:val="22"/>
          <w:szCs w:val="22"/>
        </w:rPr>
        <w:t xml:space="preserve">. Please see </w:t>
      </w:r>
      <w:r w:rsidR="00087250" w:rsidRPr="003E7763">
        <w:rPr>
          <w:b/>
          <w:sz w:val="22"/>
          <w:szCs w:val="22"/>
          <w:u w:val="single"/>
        </w:rPr>
        <w:t>Annex A</w:t>
      </w:r>
      <w:r w:rsidRPr="003E7763">
        <w:rPr>
          <w:sz w:val="22"/>
          <w:szCs w:val="22"/>
        </w:rPr>
        <w:t>.</w:t>
      </w:r>
    </w:p>
    <w:p w14:paraId="424D7D32" w14:textId="6A8BEA51" w:rsidR="00072E1F" w:rsidRPr="00861D52" w:rsidRDefault="009457F7" w:rsidP="00704804">
      <w:pPr>
        <w:spacing w:after="240" w:line="240" w:lineRule="auto"/>
        <w:rPr>
          <w:b/>
          <w:sz w:val="22"/>
          <w:szCs w:val="22"/>
        </w:rPr>
      </w:pPr>
      <w:r w:rsidRPr="00861D52">
        <w:rPr>
          <w:b/>
          <w:sz w:val="22"/>
          <w:szCs w:val="22"/>
        </w:rPr>
        <w:t>Welcome</w:t>
      </w:r>
      <w:r w:rsidR="00FC0847" w:rsidRPr="00861D52">
        <w:rPr>
          <w:b/>
          <w:sz w:val="22"/>
          <w:szCs w:val="22"/>
        </w:rPr>
        <w:t xml:space="preserve"> and </w:t>
      </w:r>
      <w:r w:rsidR="000D645D" w:rsidRPr="00861D52">
        <w:rPr>
          <w:b/>
          <w:sz w:val="22"/>
          <w:szCs w:val="22"/>
        </w:rPr>
        <w:t>Opening</w:t>
      </w:r>
    </w:p>
    <w:p w14:paraId="24795A0F" w14:textId="25EA4B7F" w:rsidR="00C70D22" w:rsidRPr="003E7763" w:rsidRDefault="004818A8" w:rsidP="00704804">
      <w:pPr>
        <w:pStyle w:val="ListParagraph"/>
        <w:numPr>
          <w:ilvl w:val="0"/>
          <w:numId w:val="8"/>
        </w:numPr>
        <w:spacing w:after="240" w:line="240" w:lineRule="auto"/>
        <w:contextualSpacing w:val="0"/>
        <w:jc w:val="both"/>
        <w:rPr>
          <w:sz w:val="22"/>
          <w:szCs w:val="22"/>
        </w:rPr>
      </w:pPr>
      <w:r>
        <w:rPr>
          <w:sz w:val="22"/>
          <w:szCs w:val="22"/>
        </w:rPr>
        <w:t>This meeting was chaired by Mike Heiser, who</w:t>
      </w:r>
      <w:r w:rsidR="00000FA7" w:rsidRPr="003E7763">
        <w:rPr>
          <w:sz w:val="22"/>
          <w:szCs w:val="22"/>
        </w:rPr>
        <w:t xml:space="preserve"> </w:t>
      </w:r>
      <w:r w:rsidR="00605E63" w:rsidRPr="003E7763">
        <w:rPr>
          <w:sz w:val="22"/>
          <w:szCs w:val="22"/>
        </w:rPr>
        <w:t xml:space="preserve">opened the </w:t>
      </w:r>
      <w:r w:rsidR="00766499" w:rsidRPr="003E7763">
        <w:rPr>
          <w:sz w:val="22"/>
          <w:szCs w:val="22"/>
        </w:rPr>
        <w:t>meeting</w:t>
      </w:r>
      <w:r w:rsidR="00605E63" w:rsidRPr="003E7763">
        <w:rPr>
          <w:sz w:val="22"/>
          <w:szCs w:val="22"/>
        </w:rPr>
        <w:t xml:space="preserve"> with introductions and </w:t>
      </w:r>
      <w:r w:rsidR="00DC6F33" w:rsidRPr="003E7763">
        <w:rPr>
          <w:sz w:val="22"/>
          <w:szCs w:val="22"/>
        </w:rPr>
        <w:t>welcomed attendees</w:t>
      </w:r>
      <w:r w:rsidR="00C87314" w:rsidRPr="003E7763">
        <w:rPr>
          <w:sz w:val="22"/>
          <w:szCs w:val="22"/>
        </w:rPr>
        <w:t>.</w:t>
      </w:r>
    </w:p>
    <w:p w14:paraId="2708FA59" w14:textId="613E2D5C" w:rsidR="00546A6F" w:rsidRPr="00861D52" w:rsidRDefault="00546A6F" w:rsidP="00704804">
      <w:pPr>
        <w:spacing w:after="240" w:line="240" w:lineRule="auto"/>
        <w:rPr>
          <w:b/>
          <w:sz w:val="22"/>
          <w:szCs w:val="22"/>
        </w:rPr>
      </w:pPr>
      <w:r w:rsidRPr="00861D52">
        <w:rPr>
          <w:b/>
          <w:sz w:val="22"/>
          <w:szCs w:val="22"/>
        </w:rPr>
        <w:t>Recap of where we are</w:t>
      </w:r>
      <w:r w:rsidR="008B5EDF" w:rsidRPr="00861D52">
        <w:rPr>
          <w:b/>
          <w:sz w:val="22"/>
          <w:szCs w:val="22"/>
        </w:rPr>
        <w:t xml:space="preserve"> on the Business Rates Retention Reforms</w:t>
      </w:r>
    </w:p>
    <w:p w14:paraId="6900AC64" w14:textId="08632031" w:rsidR="00F969BF" w:rsidRPr="003E7763" w:rsidRDefault="00F969BF" w:rsidP="00704804">
      <w:pPr>
        <w:pStyle w:val="ListParagraph"/>
        <w:numPr>
          <w:ilvl w:val="0"/>
          <w:numId w:val="8"/>
        </w:numPr>
        <w:spacing w:after="240" w:line="240" w:lineRule="auto"/>
        <w:contextualSpacing w:val="0"/>
        <w:rPr>
          <w:sz w:val="22"/>
          <w:szCs w:val="22"/>
        </w:rPr>
      </w:pPr>
      <w:r w:rsidRPr="003E7763">
        <w:rPr>
          <w:sz w:val="22"/>
          <w:szCs w:val="22"/>
        </w:rPr>
        <w:t>At the last meeting of the working group in</w:t>
      </w:r>
      <w:r w:rsidR="000D645D" w:rsidRPr="003E7763">
        <w:rPr>
          <w:sz w:val="22"/>
          <w:szCs w:val="22"/>
        </w:rPr>
        <w:t xml:space="preserve"> November the Working Group </w:t>
      </w:r>
      <w:r w:rsidRPr="003E7763">
        <w:rPr>
          <w:sz w:val="22"/>
          <w:szCs w:val="22"/>
        </w:rPr>
        <w:t xml:space="preserve">a forward look </w:t>
      </w:r>
      <w:r w:rsidR="003E7763">
        <w:rPr>
          <w:sz w:val="22"/>
          <w:szCs w:val="22"/>
        </w:rPr>
        <w:t xml:space="preserve">commissioned by the Steering Group </w:t>
      </w:r>
      <w:r w:rsidRPr="003E7763">
        <w:rPr>
          <w:sz w:val="22"/>
          <w:szCs w:val="22"/>
        </w:rPr>
        <w:t xml:space="preserve">was agreed. This has subsequently been approved by the Steering Group. </w:t>
      </w:r>
    </w:p>
    <w:p w14:paraId="41AEE9E6" w14:textId="7705B16A" w:rsidR="00A72283" w:rsidRPr="00861D52" w:rsidRDefault="00736F33" w:rsidP="00704804">
      <w:pPr>
        <w:spacing w:after="240" w:line="240" w:lineRule="auto"/>
        <w:rPr>
          <w:b/>
          <w:sz w:val="22"/>
          <w:szCs w:val="22"/>
        </w:rPr>
      </w:pPr>
      <w:r w:rsidRPr="00861D52">
        <w:rPr>
          <w:b/>
          <w:sz w:val="22"/>
          <w:szCs w:val="22"/>
        </w:rPr>
        <w:t>First</w:t>
      </w:r>
      <w:r w:rsidR="00800B55" w:rsidRPr="00861D52">
        <w:rPr>
          <w:b/>
          <w:sz w:val="22"/>
          <w:szCs w:val="22"/>
        </w:rPr>
        <w:t xml:space="preserve"> </w:t>
      </w:r>
      <w:r w:rsidR="00A72283" w:rsidRPr="00861D52">
        <w:rPr>
          <w:b/>
          <w:sz w:val="22"/>
          <w:szCs w:val="22"/>
        </w:rPr>
        <w:t xml:space="preserve">of the system design </w:t>
      </w:r>
      <w:r w:rsidR="000D645D" w:rsidRPr="00861D52">
        <w:rPr>
          <w:b/>
          <w:sz w:val="22"/>
          <w:szCs w:val="22"/>
        </w:rPr>
        <w:t>papers –</w:t>
      </w:r>
      <w:r w:rsidR="00A72283" w:rsidRPr="00861D52">
        <w:rPr>
          <w:b/>
          <w:sz w:val="22"/>
          <w:szCs w:val="22"/>
        </w:rPr>
        <w:t xml:space="preserve"> </w:t>
      </w:r>
      <w:r w:rsidR="00174AB0" w:rsidRPr="00861D52">
        <w:rPr>
          <w:b/>
          <w:sz w:val="22"/>
          <w:szCs w:val="22"/>
        </w:rPr>
        <w:t>the reform of the central and local ratings lists</w:t>
      </w:r>
    </w:p>
    <w:p w14:paraId="3A1DAF11" w14:textId="477A42BE" w:rsidR="003E7763" w:rsidRPr="00704804" w:rsidRDefault="003E7763" w:rsidP="00704804">
      <w:pPr>
        <w:pStyle w:val="ListParagraph"/>
        <w:numPr>
          <w:ilvl w:val="0"/>
          <w:numId w:val="8"/>
        </w:numPr>
        <w:spacing w:after="240" w:line="240" w:lineRule="auto"/>
        <w:contextualSpacing w:val="0"/>
        <w:rPr>
          <w:sz w:val="22"/>
          <w:szCs w:val="22"/>
        </w:rPr>
      </w:pPr>
      <w:r w:rsidRPr="003E7763">
        <w:rPr>
          <w:sz w:val="22"/>
          <w:szCs w:val="22"/>
        </w:rPr>
        <w:t xml:space="preserve">A paper </w:t>
      </w:r>
      <w:r>
        <w:rPr>
          <w:sz w:val="22"/>
          <w:szCs w:val="22"/>
        </w:rPr>
        <w:t>on the central and local ratings lists was circulated to the working group in advance of the meeting and formed the main agenda item. It will be made available on the LGA website.</w:t>
      </w:r>
    </w:p>
    <w:p w14:paraId="3ED20E5F" w14:textId="48D46CA3" w:rsidR="00A72283" w:rsidRPr="003E7763" w:rsidRDefault="003E7763" w:rsidP="00704804">
      <w:pPr>
        <w:pStyle w:val="ListParagraph"/>
        <w:numPr>
          <w:ilvl w:val="0"/>
          <w:numId w:val="8"/>
        </w:numPr>
        <w:spacing w:after="240" w:line="240" w:lineRule="auto"/>
        <w:contextualSpacing w:val="0"/>
        <w:rPr>
          <w:b/>
          <w:sz w:val="22"/>
          <w:szCs w:val="22"/>
        </w:rPr>
      </w:pPr>
      <w:r>
        <w:rPr>
          <w:sz w:val="22"/>
          <w:szCs w:val="22"/>
        </w:rPr>
        <w:t>The paper</w:t>
      </w:r>
      <w:r w:rsidR="00A72283" w:rsidRPr="003E7763">
        <w:rPr>
          <w:sz w:val="22"/>
          <w:szCs w:val="22"/>
        </w:rPr>
        <w:t xml:space="preserve"> consists of 6 questions</w:t>
      </w:r>
      <w:r w:rsidR="00B24E16" w:rsidRPr="003E7763">
        <w:rPr>
          <w:sz w:val="22"/>
          <w:szCs w:val="22"/>
        </w:rPr>
        <w:t>. Each question was discussed by the working group and a recommendation given.</w:t>
      </w:r>
    </w:p>
    <w:p w14:paraId="0D815F70" w14:textId="18CA3305" w:rsidR="000D645D" w:rsidRPr="00582A07" w:rsidRDefault="00174AB0" w:rsidP="00704804">
      <w:pPr>
        <w:spacing w:after="240" w:line="240" w:lineRule="auto"/>
        <w:rPr>
          <w:rFonts w:eastAsia="Times New Roman"/>
          <w:b/>
          <w:sz w:val="22"/>
          <w:szCs w:val="22"/>
          <w:u w:val="single"/>
        </w:rPr>
      </w:pPr>
      <w:r>
        <w:rPr>
          <w:rFonts w:eastAsia="Times New Roman"/>
          <w:b/>
          <w:sz w:val="22"/>
          <w:szCs w:val="22"/>
          <w:u w:val="single"/>
        </w:rPr>
        <w:t>Q1:</w:t>
      </w:r>
      <w:r w:rsidR="000D645D" w:rsidRPr="00302A5C">
        <w:rPr>
          <w:rFonts w:eastAsia="Times New Roman"/>
          <w:b/>
          <w:sz w:val="22"/>
          <w:szCs w:val="22"/>
          <w:u w:val="single"/>
        </w:rPr>
        <w:t xml:space="preserve"> Is this still the basis on which the Department should develop clear and transparent criteria for publication?  </w:t>
      </w:r>
    </w:p>
    <w:p w14:paraId="006140BB" w14:textId="271FA648" w:rsidR="00A72283" w:rsidRPr="003E7763" w:rsidRDefault="00B24E16" w:rsidP="00704804">
      <w:pPr>
        <w:pStyle w:val="ListParagraph"/>
        <w:numPr>
          <w:ilvl w:val="0"/>
          <w:numId w:val="9"/>
        </w:numPr>
        <w:spacing w:after="240" w:line="240" w:lineRule="auto"/>
        <w:contextualSpacing w:val="0"/>
        <w:rPr>
          <w:sz w:val="22"/>
          <w:szCs w:val="22"/>
        </w:rPr>
      </w:pPr>
      <w:r w:rsidRPr="003E7763">
        <w:rPr>
          <w:rFonts w:eastAsia="Times New Roman"/>
          <w:sz w:val="22"/>
          <w:szCs w:val="22"/>
        </w:rPr>
        <w:t>MHCLG outlined</w:t>
      </w:r>
      <w:r w:rsidR="000D645D" w:rsidRPr="003E7763">
        <w:rPr>
          <w:rFonts w:eastAsia="Times New Roman"/>
          <w:sz w:val="22"/>
          <w:szCs w:val="22"/>
        </w:rPr>
        <w:t xml:space="preserve"> previous discussion</w:t>
      </w:r>
      <w:r w:rsidRPr="003E7763">
        <w:rPr>
          <w:rFonts w:eastAsia="Times New Roman"/>
          <w:sz w:val="22"/>
          <w:szCs w:val="22"/>
        </w:rPr>
        <w:t xml:space="preserve"> of the reform of the central and local and ratings lists as summarised in the paper</w:t>
      </w:r>
      <w:r w:rsidR="000D645D" w:rsidRPr="003E7763">
        <w:rPr>
          <w:rFonts w:eastAsia="Times New Roman"/>
          <w:sz w:val="22"/>
          <w:szCs w:val="22"/>
        </w:rPr>
        <w:t>.</w:t>
      </w:r>
    </w:p>
    <w:p w14:paraId="23DEC855" w14:textId="24DD3745" w:rsidR="001B3A09" w:rsidRPr="003E7763" w:rsidRDefault="007A3C49" w:rsidP="00704804">
      <w:pPr>
        <w:pStyle w:val="ListParagraph"/>
        <w:numPr>
          <w:ilvl w:val="0"/>
          <w:numId w:val="9"/>
        </w:numPr>
        <w:spacing w:after="240" w:line="240" w:lineRule="auto"/>
        <w:contextualSpacing w:val="0"/>
        <w:rPr>
          <w:rFonts w:eastAsia="Times New Roman"/>
          <w:sz w:val="22"/>
          <w:szCs w:val="22"/>
        </w:rPr>
      </w:pPr>
      <w:r w:rsidRPr="003E7763">
        <w:rPr>
          <w:rFonts w:eastAsia="Times New Roman"/>
          <w:sz w:val="22"/>
          <w:szCs w:val="22"/>
        </w:rPr>
        <w:t>The working group supported MHCLG’s proposals to bring forwar</w:t>
      </w:r>
      <w:r w:rsidR="001E01BF" w:rsidRPr="003E7763">
        <w:rPr>
          <w:rFonts w:eastAsia="Times New Roman"/>
          <w:sz w:val="22"/>
          <w:szCs w:val="22"/>
        </w:rPr>
        <w:t>d clear and consistent criteria based on current legislation and the princ</w:t>
      </w:r>
      <w:r w:rsidR="003E7763" w:rsidRPr="003E7763">
        <w:rPr>
          <w:rFonts w:eastAsia="Times New Roman"/>
          <w:sz w:val="22"/>
          <w:szCs w:val="22"/>
        </w:rPr>
        <w:t xml:space="preserve">iple of ‘network’ hereditaments. They </w:t>
      </w:r>
      <w:r w:rsidRPr="003E7763">
        <w:rPr>
          <w:rFonts w:eastAsia="Times New Roman"/>
          <w:sz w:val="22"/>
          <w:szCs w:val="22"/>
        </w:rPr>
        <w:t>were especially attracted to consistency as a principle.</w:t>
      </w:r>
      <w:r w:rsidR="00BF5D38">
        <w:rPr>
          <w:rFonts w:eastAsia="Times New Roman"/>
          <w:sz w:val="22"/>
          <w:szCs w:val="22"/>
        </w:rPr>
        <w:t xml:space="preserve"> They also felt that it is correct to assume a hereditament to be best suited to local lists unless the hereditament is clearly part of a national network.</w:t>
      </w:r>
      <w:r w:rsidRPr="003E7763">
        <w:rPr>
          <w:rFonts w:eastAsia="Times New Roman"/>
          <w:sz w:val="22"/>
          <w:szCs w:val="22"/>
        </w:rPr>
        <w:t xml:space="preserve"> </w:t>
      </w:r>
    </w:p>
    <w:p w14:paraId="2453B23B" w14:textId="13E27993" w:rsidR="00861D52" w:rsidRPr="003E7763" w:rsidRDefault="00861D52" w:rsidP="00704804">
      <w:pPr>
        <w:pStyle w:val="ListParagraph"/>
        <w:numPr>
          <w:ilvl w:val="0"/>
          <w:numId w:val="9"/>
        </w:numPr>
        <w:spacing w:after="240" w:line="240" w:lineRule="auto"/>
        <w:contextualSpacing w:val="0"/>
        <w:rPr>
          <w:sz w:val="22"/>
          <w:szCs w:val="22"/>
        </w:rPr>
      </w:pPr>
      <w:r w:rsidRPr="003E7763">
        <w:rPr>
          <w:rFonts w:eastAsia="Times New Roman"/>
          <w:sz w:val="22"/>
          <w:szCs w:val="22"/>
        </w:rPr>
        <w:t xml:space="preserve">It was also agreed that these criteria would be presented to the working group once drafted for discussion. </w:t>
      </w:r>
    </w:p>
    <w:p w14:paraId="4C2FDF2E" w14:textId="77777777" w:rsidR="00B24E16" w:rsidRPr="003E7763" w:rsidRDefault="00B24E16" w:rsidP="00704804">
      <w:pPr>
        <w:pStyle w:val="ListParagraph"/>
        <w:numPr>
          <w:ilvl w:val="0"/>
          <w:numId w:val="9"/>
        </w:numPr>
        <w:spacing w:after="240" w:line="240" w:lineRule="auto"/>
        <w:contextualSpacing w:val="0"/>
        <w:rPr>
          <w:rFonts w:eastAsia="Times New Roman"/>
          <w:sz w:val="22"/>
          <w:szCs w:val="22"/>
        </w:rPr>
      </w:pPr>
      <w:r w:rsidRPr="003E7763">
        <w:rPr>
          <w:rFonts w:eastAsia="Times New Roman"/>
          <w:sz w:val="22"/>
          <w:szCs w:val="22"/>
        </w:rPr>
        <w:lastRenderedPageBreak/>
        <w:t>The working group suggested that the criteria be informed by what can be controlled and influenced by an authority; they argued that where control and influence are not present then the hereditament is most suited to assessment in the central list.</w:t>
      </w:r>
    </w:p>
    <w:p w14:paraId="4AAFEB0C" w14:textId="5252DCF2" w:rsidR="00861D52" w:rsidRPr="003230B2" w:rsidRDefault="00861D52" w:rsidP="00704804">
      <w:pPr>
        <w:pStyle w:val="ListParagraph"/>
        <w:numPr>
          <w:ilvl w:val="0"/>
          <w:numId w:val="9"/>
        </w:numPr>
        <w:spacing w:after="240" w:line="240" w:lineRule="auto"/>
        <w:contextualSpacing w:val="0"/>
        <w:rPr>
          <w:sz w:val="22"/>
          <w:szCs w:val="22"/>
        </w:rPr>
      </w:pPr>
      <w:r w:rsidRPr="003E7763">
        <w:rPr>
          <w:rFonts w:eastAsia="Times New Roman"/>
          <w:sz w:val="22"/>
          <w:szCs w:val="22"/>
        </w:rPr>
        <w:t>The general consensus of the Working Group was that the issue lies in implementation rathe</w:t>
      </w:r>
      <w:r w:rsidR="002F31E2">
        <w:rPr>
          <w:rFonts w:eastAsia="Times New Roman"/>
          <w:sz w:val="22"/>
          <w:szCs w:val="22"/>
        </w:rPr>
        <w:t xml:space="preserve">r than legislation. Some members of the group also felt </w:t>
      </w:r>
      <w:bookmarkStart w:id="0" w:name="_GoBack"/>
      <w:bookmarkEnd w:id="0"/>
      <w:r w:rsidRPr="003E7763">
        <w:rPr>
          <w:rFonts w:eastAsia="Times New Roman"/>
          <w:sz w:val="22"/>
          <w:szCs w:val="22"/>
        </w:rPr>
        <w:t>that MHCLG has not been proactive in maintaining the central list.</w:t>
      </w:r>
    </w:p>
    <w:p w14:paraId="0CC6EBDA" w14:textId="1D73C62D" w:rsidR="003230B2" w:rsidRPr="003230B2" w:rsidRDefault="003230B2" w:rsidP="00704804">
      <w:pPr>
        <w:pStyle w:val="ListParagraph"/>
        <w:numPr>
          <w:ilvl w:val="0"/>
          <w:numId w:val="9"/>
        </w:numPr>
        <w:spacing w:after="240" w:line="240" w:lineRule="auto"/>
        <w:contextualSpacing w:val="0"/>
        <w:rPr>
          <w:sz w:val="22"/>
          <w:szCs w:val="22"/>
        </w:rPr>
      </w:pPr>
      <w:r w:rsidRPr="003230B2">
        <w:rPr>
          <w:rFonts w:eastAsia="Times New Roman"/>
          <w:sz w:val="22"/>
          <w:szCs w:val="22"/>
        </w:rPr>
        <w:t xml:space="preserve">Several specific anomalies were noted by working group members including </w:t>
      </w:r>
      <w:r>
        <w:rPr>
          <w:rFonts w:eastAsia="Times New Roman"/>
          <w:sz w:val="22"/>
          <w:szCs w:val="22"/>
        </w:rPr>
        <w:t>various pieces of railway infrastructure.</w:t>
      </w:r>
    </w:p>
    <w:p w14:paraId="578F6544" w14:textId="48E30F23" w:rsidR="003230B2" w:rsidRPr="00BF5D38" w:rsidRDefault="003230B2" w:rsidP="00704804">
      <w:pPr>
        <w:pStyle w:val="ListParagraph"/>
        <w:numPr>
          <w:ilvl w:val="0"/>
          <w:numId w:val="9"/>
        </w:numPr>
        <w:spacing w:after="240" w:line="240" w:lineRule="auto"/>
        <w:contextualSpacing w:val="0"/>
        <w:rPr>
          <w:sz w:val="22"/>
          <w:szCs w:val="22"/>
        </w:rPr>
      </w:pPr>
      <w:r w:rsidRPr="003230B2">
        <w:rPr>
          <w:rFonts w:eastAsia="Times New Roman"/>
          <w:sz w:val="22"/>
          <w:szCs w:val="22"/>
        </w:rPr>
        <w:t xml:space="preserve">Working group members asked why rate payers would want their hereditaments listed in the central list as opposed to local lists. </w:t>
      </w:r>
      <w:r w:rsidRPr="003230B2">
        <w:rPr>
          <w:sz w:val="22"/>
          <w:szCs w:val="22"/>
        </w:rPr>
        <w:t>MH</w:t>
      </w:r>
      <w:r w:rsidRPr="003230B2">
        <w:rPr>
          <w:rFonts w:eastAsia="Times New Roman"/>
          <w:sz w:val="22"/>
          <w:szCs w:val="22"/>
        </w:rPr>
        <w:t xml:space="preserve">CLG speculated that rate payers may believe that economy of scale would mean they would pay lower rates in comparison to what they pay on many local lists. However, MHCLG does not believe that this view is necessarily accurate as many hereditaments billed across local lists are in fact already assessed as one network and then divided up between the relevant billing authorities. MHCLG also noted that ratepayers may be seeking an administrative benefit of only having to pay one bill.  </w:t>
      </w:r>
    </w:p>
    <w:p w14:paraId="559E2636" w14:textId="00EDD32E" w:rsidR="00BF5D38" w:rsidRPr="003230B2" w:rsidRDefault="00BF5D38" w:rsidP="00704804">
      <w:pPr>
        <w:pStyle w:val="ListParagraph"/>
        <w:numPr>
          <w:ilvl w:val="0"/>
          <w:numId w:val="9"/>
        </w:numPr>
        <w:spacing w:after="240" w:line="240" w:lineRule="auto"/>
        <w:contextualSpacing w:val="0"/>
        <w:rPr>
          <w:sz w:val="22"/>
          <w:szCs w:val="22"/>
        </w:rPr>
      </w:pPr>
      <w:r>
        <w:rPr>
          <w:rFonts w:eastAsia="Times New Roman"/>
          <w:sz w:val="22"/>
          <w:szCs w:val="22"/>
        </w:rPr>
        <w:t xml:space="preserve">MHCLG stated that it is the Department’s intention that these reforms be business neutral. </w:t>
      </w:r>
    </w:p>
    <w:p w14:paraId="6C479289" w14:textId="0F2BF49C" w:rsidR="00B24E16" w:rsidRPr="003E7763" w:rsidRDefault="00861D52" w:rsidP="00704804">
      <w:pPr>
        <w:pStyle w:val="ListParagraph"/>
        <w:numPr>
          <w:ilvl w:val="0"/>
          <w:numId w:val="9"/>
        </w:numPr>
        <w:spacing w:after="240" w:line="240" w:lineRule="auto"/>
        <w:contextualSpacing w:val="0"/>
        <w:rPr>
          <w:sz w:val="22"/>
          <w:szCs w:val="22"/>
        </w:rPr>
      </w:pPr>
      <w:r w:rsidRPr="003E7763">
        <w:rPr>
          <w:sz w:val="22"/>
          <w:szCs w:val="22"/>
        </w:rPr>
        <w:t>MHCLG agreed to come back to the group with an update</w:t>
      </w:r>
      <w:r w:rsidRPr="00330954">
        <w:t xml:space="preserve"> </w:t>
      </w:r>
      <w:r w:rsidRPr="003E7763">
        <w:rPr>
          <w:sz w:val="22"/>
          <w:szCs w:val="22"/>
        </w:rPr>
        <w:t xml:space="preserve">on the number of whole hereditaments which have been moved onto or off the central list since 2013. </w:t>
      </w:r>
    </w:p>
    <w:p w14:paraId="7D5161EC" w14:textId="4E3B23B6" w:rsidR="00B24E16" w:rsidRPr="003E7763" w:rsidRDefault="00B24E16" w:rsidP="00704804">
      <w:pPr>
        <w:pStyle w:val="ListParagraph"/>
        <w:numPr>
          <w:ilvl w:val="0"/>
          <w:numId w:val="9"/>
        </w:numPr>
        <w:spacing w:after="240" w:line="240" w:lineRule="auto"/>
        <w:contextualSpacing w:val="0"/>
        <w:rPr>
          <w:sz w:val="22"/>
          <w:szCs w:val="22"/>
        </w:rPr>
      </w:pPr>
      <w:r w:rsidRPr="003E7763">
        <w:rPr>
          <w:rFonts w:eastAsia="Times New Roman"/>
          <w:sz w:val="22"/>
          <w:szCs w:val="22"/>
        </w:rPr>
        <w:t>They also asked MHCLG to be attuned to land usage when developing these reforms, especially where large quantities of land are not available for other developments be</w:t>
      </w:r>
      <w:r w:rsidR="00330954" w:rsidRPr="003E7763">
        <w:rPr>
          <w:rFonts w:eastAsia="Times New Roman"/>
          <w:sz w:val="22"/>
          <w:szCs w:val="22"/>
        </w:rPr>
        <w:t>cause they are occupied by a central list hereditament</w:t>
      </w:r>
      <w:r w:rsidRPr="003E7763">
        <w:rPr>
          <w:rFonts w:eastAsia="Times New Roman"/>
          <w:sz w:val="22"/>
          <w:szCs w:val="22"/>
        </w:rPr>
        <w:t>.</w:t>
      </w:r>
      <w:r w:rsidR="00330954" w:rsidRPr="003E7763">
        <w:rPr>
          <w:rFonts w:eastAsia="Times New Roman"/>
          <w:sz w:val="22"/>
          <w:szCs w:val="22"/>
        </w:rPr>
        <w:t xml:space="preserve"> Particular concerns were raised about station car parks and it was noted that these are often sited on prime land.</w:t>
      </w:r>
      <w:r w:rsidRPr="003E7763">
        <w:rPr>
          <w:rFonts w:eastAsia="Times New Roman"/>
          <w:sz w:val="22"/>
          <w:szCs w:val="22"/>
        </w:rPr>
        <w:t xml:space="preserve">  </w:t>
      </w:r>
    </w:p>
    <w:p w14:paraId="3362E425" w14:textId="187A33F5" w:rsidR="007A3C49" w:rsidRPr="003E7763" w:rsidRDefault="007A3C49" w:rsidP="00704804">
      <w:pPr>
        <w:pStyle w:val="ListParagraph"/>
        <w:numPr>
          <w:ilvl w:val="0"/>
          <w:numId w:val="9"/>
        </w:numPr>
        <w:spacing w:after="240" w:line="240" w:lineRule="auto"/>
        <w:contextualSpacing w:val="0"/>
        <w:rPr>
          <w:sz w:val="22"/>
          <w:szCs w:val="22"/>
        </w:rPr>
      </w:pPr>
      <w:r w:rsidRPr="003E7763">
        <w:rPr>
          <w:sz w:val="22"/>
          <w:szCs w:val="22"/>
        </w:rPr>
        <w:t xml:space="preserve">Other concerns were raised on the subject of </w:t>
      </w:r>
      <w:r w:rsidR="008409F3">
        <w:rPr>
          <w:sz w:val="22"/>
          <w:szCs w:val="22"/>
        </w:rPr>
        <w:t xml:space="preserve">stations. MHCLG stated that operationally </w:t>
      </w:r>
      <w:r w:rsidRPr="003E7763">
        <w:rPr>
          <w:sz w:val="22"/>
          <w:szCs w:val="22"/>
        </w:rPr>
        <w:t xml:space="preserve">stations do not have intrinsic value </w:t>
      </w:r>
      <w:r w:rsidR="003E7763" w:rsidRPr="003E7763">
        <w:rPr>
          <w:sz w:val="22"/>
          <w:szCs w:val="22"/>
        </w:rPr>
        <w:t xml:space="preserve">but are part of the wider network </w:t>
      </w:r>
      <w:r w:rsidRPr="003E7763">
        <w:rPr>
          <w:sz w:val="22"/>
          <w:szCs w:val="22"/>
        </w:rPr>
        <w:t xml:space="preserve">and should not </w:t>
      </w:r>
      <w:r w:rsidR="00861D52" w:rsidRPr="003E7763">
        <w:rPr>
          <w:sz w:val="22"/>
          <w:szCs w:val="22"/>
        </w:rPr>
        <w:t xml:space="preserve">therefore </w:t>
      </w:r>
      <w:r w:rsidRPr="003E7763">
        <w:rPr>
          <w:sz w:val="22"/>
          <w:szCs w:val="22"/>
        </w:rPr>
        <w:t>be separated from network assessments. MHCLG further noted that retailers in stations are already in local lists.</w:t>
      </w:r>
      <w:r w:rsidR="00861D52" w:rsidRPr="00861D52">
        <w:t xml:space="preserve"> </w:t>
      </w:r>
      <w:r w:rsidR="00861D52" w:rsidRPr="003E7763">
        <w:rPr>
          <w:sz w:val="22"/>
          <w:szCs w:val="22"/>
        </w:rPr>
        <w:t>Local Government maintained that it is an issue of principle and that it would be possible to attribute a value to a station.</w:t>
      </w:r>
      <w:r w:rsidR="003230B2">
        <w:rPr>
          <w:sz w:val="22"/>
          <w:szCs w:val="22"/>
        </w:rPr>
        <w:t xml:space="preserve"> Again, some specific anomalies within the system were raised.</w:t>
      </w:r>
    </w:p>
    <w:p w14:paraId="5E29A4A8" w14:textId="77777777" w:rsidR="007A3C49" w:rsidRPr="003E7763" w:rsidRDefault="007A3C49" w:rsidP="00704804">
      <w:pPr>
        <w:pStyle w:val="ListParagraph"/>
        <w:numPr>
          <w:ilvl w:val="0"/>
          <w:numId w:val="9"/>
        </w:numPr>
        <w:spacing w:after="240" w:line="240" w:lineRule="auto"/>
        <w:contextualSpacing w:val="0"/>
        <w:rPr>
          <w:sz w:val="22"/>
          <w:szCs w:val="22"/>
        </w:rPr>
      </w:pPr>
      <w:r w:rsidRPr="003E7763">
        <w:rPr>
          <w:sz w:val="22"/>
          <w:szCs w:val="22"/>
        </w:rPr>
        <w:t>MHCLG was asked to come back to the group with further information on the valuation of retailers in transport hubs and why this differs between stations and airports.</w:t>
      </w:r>
    </w:p>
    <w:p w14:paraId="7DB70903" w14:textId="3EC4DD1F" w:rsidR="007A3C49" w:rsidRPr="003E7763" w:rsidRDefault="007A3C49" w:rsidP="00704804">
      <w:pPr>
        <w:pStyle w:val="ListParagraph"/>
        <w:numPr>
          <w:ilvl w:val="0"/>
          <w:numId w:val="9"/>
        </w:numPr>
        <w:spacing w:after="240" w:line="240" w:lineRule="auto"/>
        <w:contextualSpacing w:val="0"/>
        <w:rPr>
          <w:sz w:val="22"/>
          <w:szCs w:val="22"/>
        </w:rPr>
      </w:pPr>
      <w:r w:rsidRPr="003E7763">
        <w:rPr>
          <w:sz w:val="22"/>
          <w:szCs w:val="22"/>
        </w:rPr>
        <w:t xml:space="preserve">As the concerns around stations and retailers in transport hubs are valuation not policy issues, the VOA will provide a brief note on these topics at the next working group meeting. </w:t>
      </w:r>
    </w:p>
    <w:p w14:paraId="529E5A68" w14:textId="019002C5" w:rsidR="003230B2" w:rsidRPr="003230B2" w:rsidRDefault="000D645D" w:rsidP="00704804">
      <w:pPr>
        <w:pStyle w:val="ListParagraph"/>
        <w:numPr>
          <w:ilvl w:val="0"/>
          <w:numId w:val="9"/>
        </w:numPr>
        <w:spacing w:after="240" w:line="240" w:lineRule="auto"/>
        <w:contextualSpacing w:val="0"/>
        <w:rPr>
          <w:sz w:val="22"/>
          <w:szCs w:val="22"/>
        </w:rPr>
      </w:pPr>
      <w:r w:rsidRPr="003E7763">
        <w:rPr>
          <w:rFonts w:eastAsia="Times New Roman"/>
          <w:sz w:val="22"/>
          <w:szCs w:val="22"/>
        </w:rPr>
        <w:t xml:space="preserve">Local government </w:t>
      </w:r>
      <w:r w:rsidR="00BC661F" w:rsidRPr="003E7763">
        <w:rPr>
          <w:rFonts w:eastAsia="Times New Roman"/>
          <w:sz w:val="22"/>
          <w:szCs w:val="22"/>
        </w:rPr>
        <w:t xml:space="preserve">also asked MHCLG to consider whether </w:t>
      </w:r>
      <w:r w:rsidRPr="003E7763">
        <w:rPr>
          <w:rFonts w:eastAsia="Times New Roman"/>
          <w:sz w:val="22"/>
          <w:szCs w:val="22"/>
        </w:rPr>
        <w:t>Ministry of Defe</w:t>
      </w:r>
      <w:r w:rsidR="00BC661F" w:rsidRPr="003E7763">
        <w:rPr>
          <w:rFonts w:eastAsia="Times New Roman"/>
          <w:sz w:val="22"/>
          <w:szCs w:val="22"/>
        </w:rPr>
        <w:t xml:space="preserve">nce hereditaments would be better suited to </w:t>
      </w:r>
      <w:r w:rsidRPr="003E7763">
        <w:rPr>
          <w:rFonts w:eastAsia="Times New Roman"/>
          <w:sz w:val="22"/>
          <w:szCs w:val="22"/>
        </w:rPr>
        <w:t>the central list.</w:t>
      </w:r>
    </w:p>
    <w:p w14:paraId="385F46DE" w14:textId="77777777" w:rsidR="00704804" w:rsidRDefault="00704804" w:rsidP="00704804">
      <w:pPr>
        <w:spacing w:after="240" w:line="240" w:lineRule="auto"/>
        <w:rPr>
          <w:rFonts w:eastAsia="Times New Roman"/>
          <w:b/>
          <w:sz w:val="22"/>
          <w:szCs w:val="22"/>
          <w:u w:val="single"/>
        </w:rPr>
      </w:pPr>
    </w:p>
    <w:p w14:paraId="3A2E964E" w14:textId="77777777" w:rsidR="00704804" w:rsidRDefault="00704804" w:rsidP="00704804">
      <w:pPr>
        <w:spacing w:after="240" w:line="240" w:lineRule="auto"/>
        <w:rPr>
          <w:rFonts w:eastAsia="Times New Roman"/>
          <w:b/>
          <w:sz w:val="22"/>
          <w:szCs w:val="22"/>
          <w:u w:val="single"/>
        </w:rPr>
      </w:pPr>
    </w:p>
    <w:p w14:paraId="3594F3A8" w14:textId="2848F824" w:rsidR="000D645D" w:rsidRPr="00704804" w:rsidRDefault="008F2950" w:rsidP="00704804">
      <w:pPr>
        <w:spacing w:after="240" w:line="240" w:lineRule="auto"/>
        <w:rPr>
          <w:rFonts w:eastAsia="Times New Roman"/>
          <w:b/>
          <w:sz w:val="22"/>
          <w:szCs w:val="22"/>
          <w:u w:val="single"/>
        </w:rPr>
      </w:pPr>
      <w:r>
        <w:rPr>
          <w:rFonts w:eastAsia="Times New Roman"/>
          <w:b/>
          <w:sz w:val="22"/>
          <w:szCs w:val="22"/>
          <w:u w:val="single"/>
        </w:rPr>
        <w:lastRenderedPageBreak/>
        <w:t xml:space="preserve">Q2: </w:t>
      </w:r>
      <w:r w:rsidR="000D645D" w:rsidRPr="00302A5C">
        <w:rPr>
          <w:rFonts w:eastAsia="Times New Roman"/>
          <w:b/>
          <w:sz w:val="22"/>
          <w:szCs w:val="22"/>
          <w:u w:val="single"/>
        </w:rPr>
        <w:t xml:space="preserve">Do you agree with this approach to the process under which we will identify those properties which on application of the criteria might move between lists?  </w:t>
      </w:r>
    </w:p>
    <w:p w14:paraId="62F3CFEE" w14:textId="297B5E2D" w:rsidR="00A72283" w:rsidRPr="00DB3026" w:rsidRDefault="008F2950" w:rsidP="00704804">
      <w:pPr>
        <w:pStyle w:val="ListParagraph"/>
        <w:numPr>
          <w:ilvl w:val="0"/>
          <w:numId w:val="10"/>
        </w:numPr>
        <w:spacing w:after="240" w:line="240" w:lineRule="auto"/>
        <w:contextualSpacing w:val="0"/>
        <w:rPr>
          <w:rFonts w:eastAsia="Times New Roman"/>
          <w:sz w:val="22"/>
          <w:szCs w:val="22"/>
        </w:rPr>
      </w:pPr>
      <w:r w:rsidRPr="00DB3026">
        <w:rPr>
          <w:rFonts w:eastAsia="Times New Roman"/>
          <w:sz w:val="22"/>
          <w:szCs w:val="22"/>
        </w:rPr>
        <w:t>MHCLG described the high level steps proposed in the paper:</w:t>
      </w:r>
      <w:r w:rsidR="000D645D" w:rsidRPr="00DB3026">
        <w:rPr>
          <w:rFonts w:eastAsia="Times New Roman"/>
          <w:sz w:val="22"/>
          <w:szCs w:val="22"/>
        </w:rPr>
        <w:t xml:space="preserve"> to </w:t>
      </w:r>
      <w:r w:rsidRPr="00DB3026">
        <w:rPr>
          <w:rFonts w:eastAsia="Times New Roman"/>
          <w:sz w:val="22"/>
          <w:szCs w:val="22"/>
        </w:rPr>
        <w:t xml:space="preserve">draft criteria; </w:t>
      </w:r>
      <w:r w:rsidR="000D645D" w:rsidRPr="00DB3026">
        <w:rPr>
          <w:rFonts w:eastAsia="Times New Roman"/>
          <w:sz w:val="22"/>
          <w:szCs w:val="22"/>
        </w:rPr>
        <w:t>identify the hereditaments</w:t>
      </w:r>
      <w:r w:rsidRPr="00DB3026">
        <w:rPr>
          <w:rFonts w:eastAsia="Times New Roman"/>
          <w:sz w:val="22"/>
          <w:szCs w:val="22"/>
        </w:rPr>
        <w:t xml:space="preserve"> subject to moving list; </w:t>
      </w:r>
      <w:r w:rsidR="000D645D" w:rsidRPr="00DB3026">
        <w:rPr>
          <w:rFonts w:eastAsia="Times New Roman"/>
          <w:sz w:val="22"/>
          <w:szCs w:val="22"/>
        </w:rPr>
        <w:t>and consult stake</w:t>
      </w:r>
      <w:r w:rsidRPr="00DB3026">
        <w:rPr>
          <w:rFonts w:eastAsia="Times New Roman"/>
          <w:sz w:val="22"/>
          <w:szCs w:val="22"/>
        </w:rPr>
        <w:t xml:space="preserve">holders. </w:t>
      </w:r>
      <w:r w:rsidR="000D645D" w:rsidRPr="00DB3026">
        <w:rPr>
          <w:rFonts w:eastAsia="Times New Roman"/>
          <w:sz w:val="22"/>
          <w:szCs w:val="22"/>
        </w:rPr>
        <w:t>MHCLG</w:t>
      </w:r>
      <w:r w:rsidRPr="00DB3026">
        <w:rPr>
          <w:rFonts w:eastAsia="Times New Roman"/>
          <w:sz w:val="22"/>
          <w:szCs w:val="22"/>
        </w:rPr>
        <w:t>, authorities and the VOA</w:t>
      </w:r>
      <w:r w:rsidR="000D645D" w:rsidRPr="00DB3026">
        <w:rPr>
          <w:rFonts w:eastAsia="Times New Roman"/>
          <w:sz w:val="22"/>
          <w:szCs w:val="22"/>
        </w:rPr>
        <w:t xml:space="preserve"> have a good idea of the anomalies</w:t>
      </w:r>
      <w:r w:rsidRPr="00DB3026">
        <w:rPr>
          <w:rFonts w:eastAsia="Times New Roman"/>
          <w:sz w:val="22"/>
          <w:szCs w:val="22"/>
        </w:rPr>
        <w:t xml:space="preserve"> currently</w:t>
      </w:r>
      <w:r w:rsidR="000D645D" w:rsidRPr="00DB3026">
        <w:rPr>
          <w:rFonts w:eastAsia="Times New Roman"/>
          <w:sz w:val="22"/>
          <w:szCs w:val="22"/>
        </w:rPr>
        <w:t xml:space="preserve"> in the system. The initial list will draw up </w:t>
      </w:r>
      <w:r w:rsidRPr="00DB3026">
        <w:rPr>
          <w:rFonts w:eastAsia="Times New Roman"/>
          <w:sz w:val="22"/>
          <w:szCs w:val="22"/>
        </w:rPr>
        <w:t>a view of which hereditament</w:t>
      </w:r>
      <w:r w:rsidR="003648C0" w:rsidRPr="00DB3026">
        <w:rPr>
          <w:rFonts w:eastAsia="Times New Roman"/>
          <w:sz w:val="22"/>
          <w:szCs w:val="22"/>
        </w:rPr>
        <w:t xml:space="preserve">s </w:t>
      </w:r>
      <w:r w:rsidRPr="00DB3026">
        <w:rPr>
          <w:rFonts w:eastAsia="Times New Roman"/>
          <w:sz w:val="22"/>
          <w:szCs w:val="22"/>
        </w:rPr>
        <w:t xml:space="preserve">are </w:t>
      </w:r>
      <w:r w:rsidR="003648C0" w:rsidRPr="00DB3026">
        <w:rPr>
          <w:rFonts w:eastAsia="Times New Roman"/>
          <w:sz w:val="22"/>
          <w:szCs w:val="22"/>
        </w:rPr>
        <w:t>incorrect</w:t>
      </w:r>
      <w:r w:rsidRPr="00DB3026">
        <w:rPr>
          <w:rFonts w:eastAsia="Times New Roman"/>
          <w:sz w:val="22"/>
          <w:szCs w:val="22"/>
        </w:rPr>
        <w:t>ly listed</w:t>
      </w:r>
      <w:r w:rsidR="003648C0" w:rsidRPr="00DB3026">
        <w:rPr>
          <w:rFonts w:eastAsia="Times New Roman"/>
          <w:sz w:val="22"/>
          <w:szCs w:val="22"/>
        </w:rPr>
        <w:t>. Following this an</w:t>
      </w:r>
      <w:r w:rsidR="000D645D" w:rsidRPr="00DB3026">
        <w:rPr>
          <w:rFonts w:eastAsia="Times New Roman"/>
          <w:sz w:val="22"/>
          <w:szCs w:val="22"/>
        </w:rPr>
        <w:t xml:space="preserve"> </w:t>
      </w:r>
      <w:r w:rsidR="003648C0" w:rsidRPr="00DB3026">
        <w:rPr>
          <w:rFonts w:eastAsia="Times New Roman"/>
          <w:sz w:val="22"/>
          <w:szCs w:val="22"/>
        </w:rPr>
        <w:t xml:space="preserve">evidence check will be </w:t>
      </w:r>
      <w:r w:rsidR="000D645D" w:rsidRPr="00DB3026">
        <w:rPr>
          <w:rFonts w:eastAsia="Times New Roman"/>
          <w:sz w:val="22"/>
          <w:szCs w:val="22"/>
        </w:rPr>
        <w:t>undertake</w:t>
      </w:r>
      <w:r w:rsidR="003648C0" w:rsidRPr="00DB3026">
        <w:rPr>
          <w:rFonts w:eastAsia="Times New Roman"/>
          <w:sz w:val="22"/>
          <w:szCs w:val="22"/>
        </w:rPr>
        <w:t>n</w:t>
      </w:r>
      <w:r w:rsidRPr="00DB3026">
        <w:rPr>
          <w:rFonts w:eastAsia="Times New Roman"/>
          <w:sz w:val="22"/>
          <w:szCs w:val="22"/>
        </w:rPr>
        <w:t>, seek</w:t>
      </w:r>
      <w:r w:rsidR="000D645D" w:rsidRPr="00DB3026">
        <w:rPr>
          <w:rFonts w:eastAsia="Times New Roman"/>
          <w:sz w:val="22"/>
          <w:szCs w:val="22"/>
        </w:rPr>
        <w:t xml:space="preserve">ing the views of stakeholders. The evidence check approach is preferred to a ‘call for evidence’ </w:t>
      </w:r>
      <w:r w:rsidR="003648C0" w:rsidRPr="00DB3026">
        <w:rPr>
          <w:rFonts w:eastAsia="Times New Roman"/>
          <w:sz w:val="22"/>
          <w:szCs w:val="22"/>
        </w:rPr>
        <w:t>which</w:t>
      </w:r>
      <w:r w:rsidR="000D645D" w:rsidRPr="00DB3026">
        <w:rPr>
          <w:rFonts w:eastAsia="Times New Roman"/>
          <w:sz w:val="22"/>
          <w:szCs w:val="22"/>
        </w:rPr>
        <w:t xml:space="preserve"> may lead to large numbers of responses outside relevant scope.</w:t>
      </w:r>
    </w:p>
    <w:p w14:paraId="64A8CA79" w14:textId="5F8A4BEB" w:rsidR="003648C0" w:rsidRPr="00DB3026" w:rsidRDefault="008F2950" w:rsidP="00704804">
      <w:pPr>
        <w:pStyle w:val="ListParagraph"/>
        <w:numPr>
          <w:ilvl w:val="0"/>
          <w:numId w:val="10"/>
        </w:numPr>
        <w:spacing w:after="240" w:line="240" w:lineRule="auto"/>
        <w:contextualSpacing w:val="0"/>
        <w:rPr>
          <w:rFonts w:eastAsia="Times New Roman"/>
          <w:sz w:val="22"/>
          <w:szCs w:val="22"/>
        </w:rPr>
      </w:pPr>
      <w:r w:rsidRPr="00DB3026">
        <w:rPr>
          <w:rFonts w:eastAsia="Times New Roman"/>
          <w:sz w:val="22"/>
          <w:szCs w:val="22"/>
        </w:rPr>
        <w:t>The working group approved the</w:t>
      </w:r>
      <w:r w:rsidR="003230B2" w:rsidRPr="00DB3026">
        <w:rPr>
          <w:rFonts w:eastAsia="Times New Roman"/>
          <w:sz w:val="22"/>
          <w:szCs w:val="22"/>
        </w:rPr>
        <w:t xml:space="preserve"> proposed approach, having agre</w:t>
      </w:r>
      <w:r w:rsidRPr="00DB3026">
        <w:rPr>
          <w:rFonts w:eastAsia="Times New Roman"/>
          <w:sz w:val="22"/>
          <w:szCs w:val="22"/>
        </w:rPr>
        <w:t xml:space="preserve">ed </w:t>
      </w:r>
      <w:r w:rsidR="003230B2" w:rsidRPr="00DB3026">
        <w:rPr>
          <w:rFonts w:eastAsia="Times New Roman"/>
          <w:sz w:val="22"/>
          <w:szCs w:val="22"/>
        </w:rPr>
        <w:t xml:space="preserve">with MHCLG </w:t>
      </w:r>
      <w:r w:rsidRPr="00DB3026">
        <w:rPr>
          <w:rFonts w:eastAsia="Times New Roman"/>
          <w:sz w:val="22"/>
          <w:szCs w:val="22"/>
        </w:rPr>
        <w:t>that work would come back before the group for comment at appropriate stages.</w:t>
      </w:r>
    </w:p>
    <w:p w14:paraId="016B003C" w14:textId="3A9B29EB" w:rsidR="000D645D" w:rsidRPr="00DB3026" w:rsidRDefault="003230B2" w:rsidP="00704804">
      <w:pPr>
        <w:pStyle w:val="ListParagraph"/>
        <w:numPr>
          <w:ilvl w:val="0"/>
          <w:numId w:val="10"/>
        </w:numPr>
        <w:spacing w:after="240" w:line="240" w:lineRule="auto"/>
        <w:contextualSpacing w:val="0"/>
        <w:rPr>
          <w:sz w:val="22"/>
          <w:szCs w:val="22"/>
        </w:rPr>
      </w:pPr>
      <w:r w:rsidRPr="00DB3026">
        <w:rPr>
          <w:rFonts w:eastAsia="Times New Roman"/>
          <w:sz w:val="22"/>
          <w:szCs w:val="22"/>
        </w:rPr>
        <w:t xml:space="preserve">It was also noted that stakeholders will need to be made aware that their hereditaments are listed in the evidence check, as detailed listed may not be enough information to identify them. MHCLG stated that they intend to contact all stakeholders on publication of the evidence check. </w:t>
      </w:r>
    </w:p>
    <w:p w14:paraId="315D59CD" w14:textId="2FEA0D79" w:rsidR="00BF5D38" w:rsidRPr="00BF5D38" w:rsidRDefault="00BF5D38" w:rsidP="00704804">
      <w:pPr>
        <w:spacing w:after="240" w:line="240" w:lineRule="auto"/>
        <w:rPr>
          <w:rFonts w:eastAsia="Times New Roman"/>
          <w:b/>
          <w:sz w:val="22"/>
          <w:szCs w:val="22"/>
          <w:u w:val="single"/>
        </w:rPr>
      </w:pPr>
      <w:r>
        <w:rPr>
          <w:rFonts w:eastAsia="Times New Roman"/>
          <w:b/>
          <w:sz w:val="22"/>
          <w:szCs w:val="22"/>
          <w:u w:val="single"/>
        </w:rPr>
        <w:t xml:space="preserve">Q3: </w:t>
      </w:r>
      <w:r w:rsidR="000D645D" w:rsidRPr="00302A5C">
        <w:rPr>
          <w:rFonts w:eastAsia="Times New Roman"/>
          <w:b/>
          <w:sz w:val="22"/>
          <w:szCs w:val="22"/>
          <w:u w:val="single"/>
        </w:rPr>
        <w:t>How should we translate the outcome of the movement of hereditaments between li</w:t>
      </w:r>
      <w:r w:rsidR="00704804">
        <w:rPr>
          <w:rFonts w:eastAsia="Times New Roman"/>
          <w:b/>
          <w:sz w:val="22"/>
          <w:szCs w:val="22"/>
          <w:u w:val="single"/>
        </w:rPr>
        <w:t>sts into authorities’ baselines?</w:t>
      </w:r>
    </w:p>
    <w:p w14:paraId="3ECB4794" w14:textId="61EF4FD4" w:rsidR="00BF5D38" w:rsidRPr="00DB3026" w:rsidRDefault="00BF5D38" w:rsidP="00704804">
      <w:pPr>
        <w:pStyle w:val="ListParagraph"/>
        <w:numPr>
          <w:ilvl w:val="0"/>
          <w:numId w:val="11"/>
        </w:numPr>
        <w:spacing w:after="240" w:line="240" w:lineRule="auto"/>
        <w:contextualSpacing w:val="0"/>
        <w:rPr>
          <w:sz w:val="22"/>
          <w:szCs w:val="22"/>
        </w:rPr>
      </w:pPr>
      <w:r w:rsidRPr="00DB3026">
        <w:rPr>
          <w:sz w:val="22"/>
          <w:szCs w:val="22"/>
        </w:rPr>
        <w:t>The working group acknowledged the complexity of recalculating baselines when hereditaments move between lists. Various specific issues were noted, such as the impact of provisions</w:t>
      </w:r>
      <w:r w:rsidR="00C25DA0" w:rsidRPr="00DB3026">
        <w:rPr>
          <w:sz w:val="22"/>
          <w:szCs w:val="22"/>
        </w:rPr>
        <w:t xml:space="preserve"> and outstanding appeals</w:t>
      </w:r>
      <w:r w:rsidRPr="00DB3026">
        <w:rPr>
          <w:sz w:val="22"/>
          <w:szCs w:val="22"/>
        </w:rPr>
        <w:t xml:space="preserve">, section </w:t>
      </w:r>
      <w:r w:rsidR="00C25DA0" w:rsidRPr="00DB3026">
        <w:rPr>
          <w:sz w:val="22"/>
          <w:szCs w:val="22"/>
        </w:rPr>
        <w:t>31 grants and discretionary relief as well as the impossibility of knowing a hereditaments’ true rateable value at a specific point in time.</w:t>
      </w:r>
      <w:r w:rsidRPr="00DB3026">
        <w:rPr>
          <w:sz w:val="22"/>
          <w:szCs w:val="22"/>
        </w:rPr>
        <w:t xml:space="preserve"> </w:t>
      </w:r>
    </w:p>
    <w:p w14:paraId="7722B77B" w14:textId="49F3B30D" w:rsidR="00BF5D38" w:rsidRDefault="00BF5D38" w:rsidP="00704804">
      <w:pPr>
        <w:pStyle w:val="ListParagraph"/>
        <w:numPr>
          <w:ilvl w:val="0"/>
          <w:numId w:val="11"/>
        </w:numPr>
        <w:spacing w:after="240" w:line="240" w:lineRule="auto"/>
        <w:contextualSpacing w:val="0"/>
        <w:rPr>
          <w:sz w:val="22"/>
          <w:szCs w:val="22"/>
        </w:rPr>
      </w:pPr>
      <w:r w:rsidRPr="00DB3026">
        <w:rPr>
          <w:sz w:val="22"/>
          <w:szCs w:val="22"/>
        </w:rPr>
        <w:t>It was agreed that the reca</w:t>
      </w:r>
      <w:r w:rsidR="003D3F18">
        <w:rPr>
          <w:sz w:val="22"/>
          <w:szCs w:val="22"/>
        </w:rPr>
        <w:t>lculations should be designed on the starting principle that they</w:t>
      </w:r>
      <w:r w:rsidRPr="00DB3026">
        <w:rPr>
          <w:sz w:val="22"/>
          <w:szCs w:val="22"/>
        </w:rPr>
        <w:t xml:space="preserve"> leave authorities no better and no worse off. It was also agreed that recalculations of baselines following revaluation was a good model to emulate. It was further agreed that this subject would be re-visited in the paper on transition.</w:t>
      </w:r>
    </w:p>
    <w:p w14:paraId="61D7C45E" w14:textId="60C35238" w:rsidR="000E7E3E" w:rsidRPr="000E7E3E" w:rsidRDefault="000E7E3E" w:rsidP="00704804">
      <w:pPr>
        <w:pStyle w:val="ListParagraph"/>
        <w:numPr>
          <w:ilvl w:val="0"/>
          <w:numId w:val="11"/>
        </w:numPr>
        <w:spacing w:after="240" w:line="240" w:lineRule="auto"/>
        <w:contextualSpacing w:val="0"/>
        <w:rPr>
          <w:sz w:val="22"/>
          <w:szCs w:val="22"/>
        </w:rPr>
      </w:pPr>
      <w:r w:rsidRPr="00DB3026">
        <w:rPr>
          <w:rFonts w:eastAsia="Times New Roman"/>
          <w:sz w:val="22"/>
          <w:szCs w:val="22"/>
        </w:rPr>
        <w:t>The working group noted that some hereditaments identified to move to the central list will currently be listed in one authority’s local list. They asked that MHCLG be particularly mindful of preventing detriment to these authorities when designing the reforms.</w:t>
      </w:r>
    </w:p>
    <w:p w14:paraId="6E3835A8" w14:textId="5439C3CB" w:rsidR="008F2950" w:rsidRDefault="00C25DA0" w:rsidP="00704804">
      <w:pPr>
        <w:pStyle w:val="ListParagraph"/>
        <w:numPr>
          <w:ilvl w:val="0"/>
          <w:numId w:val="11"/>
        </w:numPr>
        <w:spacing w:after="240" w:line="240" w:lineRule="auto"/>
        <w:contextualSpacing w:val="0"/>
        <w:rPr>
          <w:sz w:val="22"/>
          <w:szCs w:val="22"/>
        </w:rPr>
      </w:pPr>
      <w:r w:rsidRPr="00DB3026">
        <w:rPr>
          <w:sz w:val="22"/>
          <w:szCs w:val="22"/>
        </w:rPr>
        <w:t>The working group</w:t>
      </w:r>
      <w:r w:rsidR="008F2950" w:rsidRPr="00DB3026">
        <w:rPr>
          <w:sz w:val="22"/>
          <w:szCs w:val="22"/>
        </w:rPr>
        <w:t xml:space="preserve"> noted that hereditaments moved into the central list would no longer be eligible to pay local supplements. They asked that MHCLG consider compensating authorities for hereditaments not subject to levies. MHCLG noted that the process for </w:t>
      </w:r>
      <w:r w:rsidR="00BF5D38" w:rsidRPr="00DB3026">
        <w:rPr>
          <w:sz w:val="22"/>
          <w:szCs w:val="22"/>
        </w:rPr>
        <w:t>nominating a hereditament onto a</w:t>
      </w:r>
      <w:r w:rsidR="008F2950" w:rsidRPr="00DB3026">
        <w:rPr>
          <w:sz w:val="22"/>
          <w:szCs w:val="22"/>
        </w:rPr>
        <w:t xml:space="preserve"> different list will include an opportunity for affected rate payers and authorities to respond to proposals.</w:t>
      </w:r>
    </w:p>
    <w:p w14:paraId="40362AA6" w14:textId="5030EA42" w:rsidR="000E7E3E" w:rsidRPr="00DB3026" w:rsidRDefault="000E7E3E" w:rsidP="00704804">
      <w:pPr>
        <w:pStyle w:val="ListParagraph"/>
        <w:numPr>
          <w:ilvl w:val="0"/>
          <w:numId w:val="11"/>
        </w:numPr>
        <w:spacing w:after="240" w:line="240" w:lineRule="auto"/>
        <w:contextualSpacing w:val="0"/>
        <w:rPr>
          <w:sz w:val="22"/>
          <w:szCs w:val="22"/>
        </w:rPr>
      </w:pPr>
      <w:r>
        <w:rPr>
          <w:sz w:val="22"/>
          <w:szCs w:val="22"/>
        </w:rPr>
        <w:t>The working group also requested that MHCLG consider the use of transitional reliefs for Local Growth Zones/ Designated Areas.</w:t>
      </w:r>
    </w:p>
    <w:p w14:paraId="7159DEDE" w14:textId="4FDBC7FD" w:rsidR="000D645D" w:rsidRPr="00704804" w:rsidRDefault="00DB3026" w:rsidP="00704804">
      <w:pPr>
        <w:spacing w:after="240" w:line="240" w:lineRule="auto"/>
        <w:rPr>
          <w:rFonts w:eastAsia="Times New Roman"/>
          <w:b/>
          <w:sz w:val="22"/>
          <w:szCs w:val="22"/>
          <w:u w:val="single"/>
        </w:rPr>
      </w:pPr>
      <w:r>
        <w:rPr>
          <w:rFonts w:eastAsia="Times New Roman"/>
          <w:b/>
          <w:sz w:val="22"/>
          <w:szCs w:val="22"/>
          <w:u w:val="single"/>
        </w:rPr>
        <w:t>Q4:</w:t>
      </w:r>
      <w:r w:rsidR="000D645D" w:rsidRPr="00302A5C">
        <w:rPr>
          <w:rFonts w:eastAsia="Times New Roman"/>
          <w:b/>
          <w:sz w:val="22"/>
          <w:szCs w:val="22"/>
          <w:u w:val="single"/>
        </w:rPr>
        <w:t xml:space="preserve"> What are your views on the use of area lists to share risk (</w:t>
      </w:r>
      <w:r w:rsidR="00704804">
        <w:rPr>
          <w:rFonts w:eastAsia="Times New Roman"/>
          <w:b/>
          <w:sz w:val="22"/>
          <w:szCs w:val="22"/>
          <w:u w:val="single"/>
        </w:rPr>
        <w:t>and reward) and support pooling?</w:t>
      </w:r>
    </w:p>
    <w:p w14:paraId="29A433A9" w14:textId="7500180E" w:rsidR="003648C0" w:rsidRPr="000E0FF6" w:rsidRDefault="000D645D" w:rsidP="00704804">
      <w:pPr>
        <w:pStyle w:val="ListParagraph"/>
        <w:numPr>
          <w:ilvl w:val="0"/>
          <w:numId w:val="11"/>
        </w:numPr>
        <w:spacing w:after="240" w:line="240" w:lineRule="auto"/>
        <w:contextualSpacing w:val="0"/>
        <w:rPr>
          <w:sz w:val="22"/>
          <w:szCs w:val="22"/>
        </w:rPr>
      </w:pPr>
      <w:r w:rsidRPr="000E0FF6">
        <w:rPr>
          <w:sz w:val="22"/>
          <w:szCs w:val="22"/>
        </w:rPr>
        <w:t>London councils support</w:t>
      </w:r>
      <w:r w:rsidR="00520A41" w:rsidRPr="000E0FF6">
        <w:rPr>
          <w:sz w:val="22"/>
          <w:szCs w:val="22"/>
        </w:rPr>
        <w:t>ed the idea of</w:t>
      </w:r>
      <w:r w:rsidRPr="000E0FF6">
        <w:rPr>
          <w:sz w:val="22"/>
          <w:szCs w:val="22"/>
        </w:rPr>
        <w:t xml:space="preserve"> area list, particul</w:t>
      </w:r>
      <w:r w:rsidR="00520A41" w:rsidRPr="000E0FF6">
        <w:rPr>
          <w:sz w:val="22"/>
          <w:szCs w:val="22"/>
        </w:rPr>
        <w:t>arly around transport infrastructure</w:t>
      </w:r>
      <w:r w:rsidRPr="000E0FF6">
        <w:rPr>
          <w:sz w:val="22"/>
          <w:szCs w:val="22"/>
        </w:rPr>
        <w:t>.</w:t>
      </w:r>
      <w:r w:rsidR="003B5192" w:rsidRPr="000E0FF6">
        <w:rPr>
          <w:sz w:val="22"/>
          <w:szCs w:val="22"/>
        </w:rPr>
        <w:t xml:space="preserve"> MHCLG noted that some non-London authorities were noted to be in support in the published summary of responses to the Further Consultation</w:t>
      </w:r>
      <w:r w:rsidR="000E0FF6" w:rsidRPr="000E0FF6">
        <w:rPr>
          <w:sz w:val="22"/>
          <w:szCs w:val="22"/>
        </w:rPr>
        <w:t xml:space="preserve"> although no direct question was asked in the Further Consultation</w:t>
      </w:r>
      <w:r w:rsidRPr="000E0FF6">
        <w:rPr>
          <w:sz w:val="22"/>
          <w:szCs w:val="22"/>
        </w:rPr>
        <w:t>.</w:t>
      </w:r>
    </w:p>
    <w:p w14:paraId="18238474" w14:textId="1FA7B591" w:rsidR="003B5192" w:rsidRPr="000E0FF6" w:rsidRDefault="003B5192" w:rsidP="00704804">
      <w:pPr>
        <w:pStyle w:val="ListParagraph"/>
        <w:numPr>
          <w:ilvl w:val="0"/>
          <w:numId w:val="11"/>
        </w:numPr>
        <w:spacing w:after="240" w:line="240" w:lineRule="auto"/>
        <w:contextualSpacing w:val="0"/>
        <w:rPr>
          <w:sz w:val="22"/>
          <w:szCs w:val="22"/>
        </w:rPr>
      </w:pPr>
      <w:r w:rsidRPr="000E0FF6">
        <w:rPr>
          <w:sz w:val="22"/>
          <w:szCs w:val="22"/>
        </w:rPr>
        <w:lastRenderedPageBreak/>
        <w:t>The working group</w:t>
      </w:r>
      <w:r w:rsidR="003648C0" w:rsidRPr="000E0FF6">
        <w:rPr>
          <w:sz w:val="22"/>
          <w:szCs w:val="22"/>
        </w:rPr>
        <w:t xml:space="preserve"> felt there was not enough information to comment on area list</w:t>
      </w:r>
      <w:r w:rsidRPr="000E0FF6">
        <w:rPr>
          <w:sz w:val="22"/>
          <w:szCs w:val="22"/>
        </w:rPr>
        <w:t>s at present but agreed they should remain in consideration. MHCLG stated that this topic will be revisited in the technical paper on pooling.</w:t>
      </w:r>
    </w:p>
    <w:p w14:paraId="170EAFC0" w14:textId="00BFA95D" w:rsidR="000E0FF6" w:rsidRPr="000E0FF6" w:rsidRDefault="000E0FF6" w:rsidP="00704804">
      <w:pPr>
        <w:pStyle w:val="ListParagraph"/>
        <w:numPr>
          <w:ilvl w:val="0"/>
          <w:numId w:val="11"/>
        </w:numPr>
        <w:spacing w:after="240" w:line="240" w:lineRule="auto"/>
        <w:contextualSpacing w:val="0"/>
        <w:rPr>
          <w:sz w:val="22"/>
          <w:szCs w:val="22"/>
        </w:rPr>
      </w:pPr>
      <w:r w:rsidRPr="000E0FF6">
        <w:rPr>
          <w:sz w:val="22"/>
          <w:szCs w:val="22"/>
        </w:rPr>
        <w:t xml:space="preserve">Some members suggested that the percentage of the billing authority’s rateable value a hereditament represented could help determine whether it should be considered for inclusion on an area list to help with risk management. </w:t>
      </w:r>
    </w:p>
    <w:p w14:paraId="01A99A91" w14:textId="23280F27" w:rsidR="00F408B5" w:rsidRPr="000E0FF6" w:rsidRDefault="000E0FF6" w:rsidP="00704804">
      <w:pPr>
        <w:pStyle w:val="ListParagraph"/>
        <w:numPr>
          <w:ilvl w:val="0"/>
          <w:numId w:val="11"/>
        </w:numPr>
        <w:spacing w:after="240" w:line="240" w:lineRule="auto"/>
        <w:contextualSpacing w:val="0"/>
        <w:rPr>
          <w:sz w:val="22"/>
          <w:szCs w:val="22"/>
        </w:rPr>
      </w:pPr>
      <w:r w:rsidRPr="000E0FF6">
        <w:rPr>
          <w:sz w:val="22"/>
          <w:szCs w:val="22"/>
        </w:rPr>
        <w:t>How area lists could be used to deepen pooling arrangements was briefly discussed. Group members asked if all pools would be expected to have area lists were this reform to be introduced. The group noted that if area lists were to be created then pool governance would need to reflect this.</w:t>
      </w:r>
    </w:p>
    <w:p w14:paraId="03C29942" w14:textId="3D941CE9" w:rsidR="0055328B" w:rsidRPr="00704804" w:rsidRDefault="000E0FF6" w:rsidP="00704804">
      <w:pPr>
        <w:spacing w:after="240" w:line="240" w:lineRule="auto"/>
        <w:rPr>
          <w:rFonts w:eastAsia="Times New Roman"/>
          <w:b/>
          <w:sz w:val="22"/>
          <w:szCs w:val="22"/>
          <w:u w:val="single"/>
        </w:rPr>
      </w:pPr>
      <w:r>
        <w:rPr>
          <w:rFonts w:eastAsia="Times New Roman"/>
          <w:b/>
          <w:sz w:val="22"/>
          <w:szCs w:val="22"/>
          <w:u w:val="single"/>
        </w:rPr>
        <w:t>Q5: </w:t>
      </w:r>
      <w:r w:rsidR="000D645D" w:rsidRPr="00302A5C">
        <w:rPr>
          <w:rFonts w:eastAsia="Times New Roman"/>
          <w:b/>
          <w:sz w:val="22"/>
          <w:szCs w:val="22"/>
          <w:u w:val="single"/>
        </w:rPr>
        <w:t>What are your views on allowing authorities to nominate hereditaments that fit a criteria based on national infrastructure to be designated to the central list in order to manage income volatility?</w:t>
      </w:r>
    </w:p>
    <w:p w14:paraId="4274A9C6" w14:textId="1429C227" w:rsidR="00930800" w:rsidRPr="00930800" w:rsidRDefault="0055328B" w:rsidP="00704804">
      <w:pPr>
        <w:pStyle w:val="ListParagraph"/>
        <w:numPr>
          <w:ilvl w:val="0"/>
          <w:numId w:val="15"/>
        </w:numPr>
        <w:spacing w:after="240" w:line="240" w:lineRule="auto"/>
        <w:contextualSpacing w:val="0"/>
        <w:rPr>
          <w:sz w:val="22"/>
          <w:szCs w:val="22"/>
        </w:rPr>
      </w:pPr>
      <w:r w:rsidRPr="00930800">
        <w:rPr>
          <w:rFonts w:eastAsia="Times New Roman"/>
          <w:sz w:val="22"/>
          <w:szCs w:val="22"/>
        </w:rPr>
        <w:t>MH</w:t>
      </w:r>
      <w:r w:rsidR="00D17296" w:rsidRPr="00930800">
        <w:rPr>
          <w:rFonts w:eastAsia="Times New Roman"/>
          <w:sz w:val="22"/>
          <w:szCs w:val="22"/>
        </w:rPr>
        <w:t>CLG explained that possible criteria would include a narrow list of hereditament types that are nationally significant and would exclude</w:t>
      </w:r>
      <w:r w:rsidR="008409F3">
        <w:rPr>
          <w:rFonts w:eastAsia="Times New Roman"/>
          <w:sz w:val="22"/>
          <w:szCs w:val="22"/>
        </w:rPr>
        <w:t xml:space="preserve"> large</w:t>
      </w:r>
      <w:r w:rsidR="00D17296" w:rsidRPr="00930800">
        <w:rPr>
          <w:rFonts w:eastAsia="Times New Roman"/>
          <w:sz w:val="22"/>
          <w:szCs w:val="22"/>
        </w:rPr>
        <w:t xml:space="preserve"> hereditaments </w:t>
      </w:r>
      <w:r w:rsidR="008409F3">
        <w:rPr>
          <w:rFonts w:eastAsia="Times New Roman"/>
          <w:sz w:val="22"/>
          <w:szCs w:val="22"/>
        </w:rPr>
        <w:t xml:space="preserve">that are not nationally significant, </w:t>
      </w:r>
      <w:r w:rsidR="00D17296" w:rsidRPr="00930800">
        <w:rPr>
          <w:rFonts w:eastAsia="Times New Roman"/>
          <w:sz w:val="22"/>
          <w:szCs w:val="22"/>
        </w:rPr>
        <w:t>such as supermarkets</w:t>
      </w:r>
      <w:r w:rsidR="00585DD0" w:rsidRPr="00930800">
        <w:rPr>
          <w:rFonts w:eastAsia="Times New Roman"/>
          <w:sz w:val="22"/>
          <w:szCs w:val="22"/>
        </w:rPr>
        <w:t>.</w:t>
      </w:r>
    </w:p>
    <w:p w14:paraId="65466809" w14:textId="465FE2B8" w:rsidR="00930800" w:rsidRPr="00930800" w:rsidRDefault="00D17296" w:rsidP="00704804">
      <w:pPr>
        <w:pStyle w:val="ListParagraph"/>
        <w:numPr>
          <w:ilvl w:val="0"/>
          <w:numId w:val="15"/>
        </w:numPr>
        <w:spacing w:after="240" w:line="240" w:lineRule="auto"/>
        <w:contextualSpacing w:val="0"/>
        <w:rPr>
          <w:sz w:val="22"/>
          <w:szCs w:val="22"/>
        </w:rPr>
      </w:pPr>
      <w:r w:rsidRPr="00930800">
        <w:rPr>
          <w:rFonts w:eastAsia="Times New Roman"/>
          <w:sz w:val="22"/>
          <w:szCs w:val="22"/>
        </w:rPr>
        <w:t>The working group recommended that MHCLG remove from consideration the nomination of national infrastructure to the central list</w:t>
      </w:r>
      <w:r w:rsidR="000D645D" w:rsidRPr="00930800">
        <w:rPr>
          <w:rFonts w:eastAsia="Times New Roman"/>
          <w:sz w:val="22"/>
          <w:szCs w:val="22"/>
        </w:rPr>
        <w:t xml:space="preserve"> </w:t>
      </w:r>
      <w:r w:rsidRPr="00930800">
        <w:rPr>
          <w:rFonts w:eastAsia="Times New Roman"/>
          <w:sz w:val="22"/>
          <w:szCs w:val="22"/>
        </w:rPr>
        <w:t xml:space="preserve">by authorities. The main objection to this proposed reform was that it would create inconsistency and so undermine the principles behind reform of ratings lists. Additionally, it was felt that this would be too open to </w:t>
      </w:r>
      <w:r w:rsidR="008409F3">
        <w:rPr>
          <w:rFonts w:eastAsia="Times New Roman"/>
          <w:sz w:val="22"/>
          <w:szCs w:val="22"/>
        </w:rPr>
        <w:t>‘</w:t>
      </w:r>
      <w:r w:rsidRPr="00930800">
        <w:rPr>
          <w:rFonts w:eastAsia="Times New Roman"/>
          <w:sz w:val="22"/>
          <w:szCs w:val="22"/>
        </w:rPr>
        <w:t>gaming</w:t>
      </w:r>
      <w:r w:rsidR="008409F3">
        <w:rPr>
          <w:rFonts w:eastAsia="Times New Roman"/>
          <w:sz w:val="22"/>
          <w:szCs w:val="22"/>
        </w:rPr>
        <w:t>’</w:t>
      </w:r>
      <w:r w:rsidRPr="00930800">
        <w:rPr>
          <w:rFonts w:eastAsia="Times New Roman"/>
          <w:sz w:val="22"/>
          <w:szCs w:val="22"/>
        </w:rPr>
        <w:t xml:space="preserve">. </w:t>
      </w:r>
    </w:p>
    <w:p w14:paraId="5ABC99E6" w14:textId="30BD79AE" w:rsidR="00D17296" w:rsidRPr="00930800" w:rsidRDefault="00D17296" w:rsidP="00704804">
      <w:pPr>
        <w:pStyle w:val="ListParagraph"/>
        <w:numPr>
          <w:ilvl w:val="0"/>
          <w:numId w:val="15"/>
        </w:numPr>
        <w:spacing w:after="240" w:line="240" w:lineRule="auto"/>
        <w:contextualSpacing w:val="0"/>
        <w:rPr>
          <w:sz w:val="22"/>
          <w:szCs w:val="22"/>
        </w:rPr>
      </w:pPr>
      <w:r w:rsidRPr="00930800">
        <w:rPr>
          <w:rFonts w:eastAsia="Times New Roman"/>
          <w:sz w:val="22"/>
          <w:szCs w:val="22"/>
        </w:rPr>
        <w:t>Members noted that the narrow list of h</w:t>
      </w:r>
      <w:r w:rsidR="000D645D" w:rsidRPr="00930800">
        <w:rPr>
          <w:rFonts w:eastAsia="Times New Roman"/>
          <w:sz w:val="22"/>
          <w:szCs w:val="22"/>
        </w:rPr>
        <w:t>ereditaments th</w:t>
      </w:r>
      <w:r w:rsidRPr="00930800">
        <w:rPr>
          <w:rFonts w:eastAsia="Times New Roman"/>
          <w:sz w:val="22"/>
          <w:szCs w:val="22"/>
        </w:rPr>
        <w:t xml:space="preserve">at could be nominated would make the reform ineffective in addressing problems faced by </w:t>
      </w:r>
      <w:r w:rsidR="000D645D" w:rsidRPr="00930800">
        <w:rPr>
          <w:rFonts w:eastAsia="Times New Roman"/>
          <w:sz w:val="22"/>
          <w:szCs w:val="22"/>
        </w:rPr>
        <w:t>small</w:t>
      </w:r>
      <w:r w:rsidR="008409F3">
        <w:rPr>
          <w:rFonts w:eastAsia="Times New Roman"/>
          <w:sz w:val="22"/>
          <w:szCs w:val="22"/>
        </w:rPr>
        <w:t xml:space="preserve"> districts where non-national infrastructure</w:t>
      </w:r>
      <w:r w:rsidRPr="00930800">
        <w:rPr>
          <w:rFonts w:eastAsia="Times New Roman"/>
          <w:sz w:val="22"/>
          <w:szCs w:val="22"/>
        </w:rPr>
        <w:t xml:space="preserve"> such as supermarkets</w:t>
      </w:r>
      <w:r w:rsidR="008409F3">
        <w:rPr>
          <w:rFonts w:eastAsia="Times New Roman"/>
          <w:sz w:val="22"/>
          <w:szCs w:val="22"/>
        </w:rPr>
        <w:t xml:space="preserve"> can still dominate as a proportion of a local </w:t>
      </w:r>
      <w:r w:rsidR="000D645D" w:rsidRPr="00930800">
        <w:rPr>
          <w:rFonts w:eastAsia="Times New Roman"/>
          <w:sz w:val="22"/>
          <w:szCs w:val="22"/>
        </w:rPr>
        <w:t>list.</w:t>
      </w:r>
    </w:p>
    <w:p w14:paraId="6AB73B43" w14:textId="09EEF699" w:rsidR="000D645D" w:rsidRPr="00704804" w:rsidRDefault="00D17296" w:rsidP="00704804">
      <w:pPr>
        <w:pStyle w:val="ListParagraph"/>
        <w:numPr>
          <w:ilvl w:val="0"/>
          <w:numId w:val="15"/>
        </w:numPr>
        <w:spacing w:after="240" w:line="240" w:lineRule="auto"/>
        <w:contextualSpacing w:val="0"/>
        <w:rPr>
          <w:rFonts w:eastAsia="Times New Roman"/>
          <w:sz w:val="22"/>
          <w:szCs w:val="22"/>
        </w:rPr>
      </w:pPr>
      <w:r w:rsidRPr="00930800">
        <w:rPr>
          <w:rFonts w:eastAsia="Times New Roman"/>
          <w:sz w:val="22"/>
          <w:szCs w:val="22"/>
        </w:rPr>
        <w:t xml:space="preserve">MHCLG noted that other mechanisms were available to help authorities manage risk which may be more suited, such as the safety net and centralising appeals risk. The working group agreed that these mechanisms are more appropriate for addressing risk. </w:t>
      </w:r>
      <w:r w:rsidR="000D645D" w:rsidRPr="00930800">
        <w:rPr>
          <w:rFonts w:eastAsia="Times New Roman"/>
          <w:sz w:val="22"/>
          <w:szCs w:val="22"/>
        </w:rPr>
        <w:t xml:space="preserve"> </w:t>
      </w:r>
    </w:p>
    <w:p w14:paraId="798839E0" w14:textId="2F76FC5D" w:rsidR="00930800" w:rsidRPr="00704804" w:rsidRDefault="00D17296" w:rsidP="00704804">
      <w:pPr>
        <w:spacing w:after="240" w:line="240" w:lineRule="auto"/>
        <w:rPr>
          <w:rFonts w:eastAsia="Times New Roman"/>
          <w:b/>
          <w:sz w:val="22"/>
          <w:szCs w:val="22"/>
          <w:u w:val="single"/>
        </w:rPr>
      </w:pPr>
      <w:r>
        <w:rPr>
          <w:rFonts w:eastAsia="Times New Roman"/>
          <w:b/>
          <w:sz w:val="22"/>
          <w:szCs w:val="22"/>
          <w:u w:val="single"/>
        </w:rPr>
        <w:t xml:space="preserve">Q6: </w:t>
      </w:r>
      <w:r w:rsidR="000D645D" w:rsidRPr="00302A5C">
        <w:rPr>
          <w:rFonts w:eastAsia="Times New Roman"/>
          <w:b/>
          <w:sz w:val="22"/>
          <w:szCs w:val="22"/>
          <w:u w:val="single"/>
        </w:rPr>
        <w:t>What are your views on the proposals for post 2020/21 reform?</w:t>
      </w:r>
    </w:p>
    <w:p w14:paraId="19C52C67" w14:textId="77777777" w:rsidR="00480CED" w:rsidRPr="00480CED" w:rsidRDefault="00930800" w:rsidP="00704804">
      <w:pPr>
        <w:pStyle w:val="ListParagraph"/>
        <w:numPr>
          <w:ilvl w:val="0"/>
          <w:numId w:val="15"/>
        </w:numPr>
        <w:spacing w:after="240" w:line="240" w:lineRule="auto"/>
        <w:contextualSpacing w:val="0"/>
        <w:rPr>
          <w:rFonts w:eastAsia="Times New Roman"/>
          <w:sz w:val="22"/>
          <w:szCs w:val="22"/>
        </w:rPr>
      </w:pPr>
      <w:r w:rsidRPr="00480CED">
        <w:rPr>
          <w:rFonts w:eastAsia="Times New Roman"/>
          <w:sz w:val="22"/>
          <w:szCs w:val="22"/>
        </w:rPr>
        <w:t xml:space="preserve">The working group agreed that is was in the interests of consistency </w:t>
      </w:r>
      <w:r w:rsidR="000D645D" w:rsidRPr="00480CED">
        <w:rPr>
          <w:rFonts w:eastAsia="Times New Roman"/>
          <w:sz w:val="22"/>
          <w:szCs w:val="22"/>
        </w:rPr>
        <w:t xml:space="preserve">future </w:t>
      </w:r>
      <w:r w:rsidRPr="00480CED">
        <w:rPr>
          <w:rFonts w:eastAsia="Times New Roman"/>
          <w:sz w:val="22"/>
          <w:szCs w:val="22"/>
        </w:rPr>
        <w:t xml:space="preserve">reform to include extending charitable reliefs available to ratepayers whose hereditaments are listed in local lists to hereditaments in the central list. </w:t>
      </w:r>
    </w:p>
    <w:p w14:paraId="741B9F33" w14:textId="3C453C7E" w:rsidR="00585DD0" w:rsidRPr="00480CED" w:rsidRDefault="00930800" w:rsidP="00704804">
      <w:pPr>
        <w:pStyle w:val="ListParagraph"/>
        <w:numPr>
          <w:ilvl w:val="0"/>
          <w:numId w:val="15"/>
        </w:numPr>
        <w:spacing w:after="240" w:line="240" w:lineRule="auto"/>
        <w:contextualSpacing w:val="0"/>
        <w:rPr>
          <w:sz w:val="22"/>
          <w:szCs w:val="22"/>
        </w:rPr>
      </w:pPr>
      <w:r w:rsidRPr="00480CED">
        <w:rPr>
          <w:rFonts w:eastAsia="Times New Roman"/>
          <w:sz w:val="22"/>
          <w:szCs w:val="22"/>
        </w:rPr>
        <w:t xml:space="preserve">They also supported pursuing the power of direction for </w:t>
      </w:r>
      <w:r w:rsidR="000D645D" w:rsidRPr="00480CED">
        <w:rPr>
          <w:rFonts w:eastAsia="Times New Roman"/>
          <w:sz w:val="22"/>
          <w:szCs w:val="22"/>
        </w:rPr>
        <w:t>the Secretary of State for</w:t>
      </w:r>
      <w:r w:rsidRPr="00480CED">
        <w:rPr>
          <w:rFonts w:eastAsia="Times New Roman"/>
          <w:sz w:val="22"/>
          <w:szCs w:val="22"/>
        </w:rPr>
        <w:t xml:space="preserve"> the purpose of easing administration. However, members cautioned</w:t>
      </w:r>
      <w:r w:rsidR="000D645D" w:rsidRPr="00480CED">
        <w:rPr>
          <w:rFonts w:eastAsia="Times New Roman"/>
          <w:sz w:val="22"/>
          <w:szCs w:val="22"/>
        </w:rPr>
        <w:t xml:space="preserve"> MHCLG not </w:t>
      </w:r>
      <w:r w:rsidRPr="00480CED">
        <w:rPr>
          <w:rFonts w:eastAsia="Times New Roman"/>
          <w:sz w:val="22"/>
          <w:szCs w:val="22"/>
        </w:rPr>
        <w:t xml:space="preserve">to </w:t>
      </w:r>
      <w:r w:rsidR="000D645D" w:rsidRPr="00480CED">
        <w:rPr>
          <w:rFonts w:eastAsia="Times New Roman"/>
          <w:sz w:val="22"/>
          <w:szCs w:val="22"/>
        </w:rPr>
        <w:t xml:space="preserve">be too broad </w:t>
      </w:r>
      <w:r w:rsidRPr="00480CED">
        <w:rPr>
          <w:rFonts w:eastAsia="Times New Roman"/>
          <w:sz w:val="22"/>
          <w:szCs w:val="22"/>
        </w:rPr>
        <w:t xml:space="preserve">in the creation of this power, </w:t>
      </w:r>
      <w:r w:rsidR="000D645D" w:rsidRPr="00480CED">
        <w:rPr>
          <w:rFonts w:eastAsia="Times New Roman"/>
          <w:sz w:val="22"/>
          <w:szCs w:val="22"/>
        </w:rPr>
        <w:t xml:space="preserve">so as </w:t>
      </w:r>
      <w:r w:rsidRPr="00480CED">
        <w:rPr>
          <w:rFonts w:eastAsia="Times New Roman"/>
          <w:sz w:val="22"/>
          <w:szCs w:val="22"/>
        </w:rPr>
        <w:t xml:space="preserve">not </w:t>
      </w:r>
      <w:r w:rsidR="000D645D" w:rsidRPr="00480CED">
        <w:rPr>
          <w:rFonts w:eastAsia="Times New Roman"/>
          <w:sz w:val="22"/>
          <w:szCs w:val="22"/>
        </w:rPr>
        <w:t>to</w:t>
      </w:r>
      <w:r w:rsidRPr="00480CED">
        <w:rPr>
          <w:rFonts w:eastAsia="Times New Roman"/>
          <w:sz w:val="22"/>
          <w:szCs w:val="22"/>
        </w:rPr>
        <w:t xml:space="preserve"> cause uncertainty in the future</w:t>
      </w:r>
      <w:r w:rsidR="000D645D" w:rsidRPr="00480CED">
        <w:rPr>
          <w:rFonts w:eastAsia="Times New Roman"/>
          <w:sz w:val="22"/>
          <w:szCs w:val="22"/>
        </w:rPr>
        <w:t>. Some felt the criteria should be enshrined in the primary legislation whilst others felt the power to amend the criteria should only exist in specific and exceptional situations. Others felt that the power to change the central list should also specify a process for challenge</w:t>
      </w:r>
      <w:r w:rsidR="0055328B" w:rsidRPr="00480CED">
        <w:rPr>
          <w:rFonts w:eastAsia="Times New Roman"/>
          <w:sz w:val="22"/>
          <w:szCs w:val="22"/>
        </w:rPr>
        <w:t>.</w:t>
      </w:r>
    </w:p>
    <w:p w14:paraId="441FD90C" w14:textId="136CE8A1" w:rsidR="00585DD0" w:rsidRPr="00480CED" w:rsidRDefault="00480CED" w:rsidP="00704804">
      <w:pPr>
        <w:pStyle w:val="ListParagraph"/>
        <w:numPr>
          <w:ilvl w:val="0"/>
          <w:numId w:val="15"/>
        </w:numPr>
        <w:spacing w:after="240" w:line="240" w:lineRule="auto"/>
        <w:contextualSpacing w:val="0"/>
        <w:rPr>
          <w:sz w:val="22"/>
          <w:szCs w:val="22"/>
        </w:rPr>
      </w:pPr>
      <w:r w:rsidRPr="00480CED">
        <w:rPr>
          <w:rFonts w:eastAsia="Times New Roman"/>
          <w:sz w:val="22"/>
          <w:szCs w:val="22"/>
        </w:rPr>
        <w:t xml:space="preserve">The working group also noted </w:t>
      </w:r>
      <w:r w:rsidR="000D645D" w:rsidRPr="00480CED">
        <w:rPr>
          <w:rFonts w:eastAsia="Times New Roman"/>
          <w:sz w:val="22"/>
          <w:szCs w:val="22"/>
        </w:rPr>
        <w:t>that it is important that there is a good line of communication between the</w:t>
      </w:r>
      <w:r w:rsidRPr="00480CED">
        <w:rPr>
          <w:rFonts w:eastAsia="Times New Roman"/>
          <w:sz w:val="22"/>
          <w:szCs w:val="22"/>
        </w:rPr>
        <w:t xml:space="preserve"> VOA </w:t>
      </w:r>
      <w:r w:rsidR="000D645D" w:rsidRPr="00480CED">
        <w:rPr>
          <w:rFonts w:eastAsia="Times New Roman"/>
          <w:sz w:val="22"/>
          <w:szCs w:val="22"/>
        </w:rPr>
        <w:t>teams that maintain the central and local list</w:t>
      </w:r>
      <w:r w:rsidR="0055328B" w:rsidRPr="00480CED">
        <w:rPr>
          <w:rFonts w:eastAsia="Times New Roman"/>
          <w:sz w:val="22"/>
          <w:szCs w:val="22"/>
        </w:rPr>
        <w:t>.</w:t>
      </w:r>
    </w:p>
    <w:p w14:paraId="64EF26EE" w14:textId="21A52C0B" w:rsidR="00585DD0" w:rsidRPr="00480CED" w:rsidRDefault="00480CED" w:rsidP="00704804">
      <w:pPr>
        <w:pStyle w:val="ListParagraph"/>
        <w:numPr>
          <w:ilvl w:val="0"/>
          <w:numId w:val="15"/>
        </w:numPr>
        <w:spacing w:after="240" w:line="240" w:lineRule="auto"/>
        <w:contextualSpacing w:val="0"/>
        <w:rPr>
          <w:sz w:val="22"/>
          <w:szCs w:val="22"/>
        </w:rPr>
      </w:pPr>
      <w:r w:rsidRPr="00480CED">
        <w:rPr>
          <w:rFonts w:eastAsia="Times New Roman"/>
          <w:sz w:val="22"/>
          <w:szCs w:val="22"/>
        </w:rPr>
        <w:lastRenderedPageBreak/>
        <w:t xml:space="preserve">The working group asked that the forward look be amended to explicitly note that hereditaments to move between lists will need to be identified and confirmed in advance of </w:t>
      </w:r>
      <w:r w:rsidR="000D645D" w:rsidRPr="00480CED">
        <w:rPr>
          <w:rFonts w:eastAsia="Times New Roman"/>
          <w:sz w:val="22"/>
          <w:szCs w:val="22"/>
        </w:rPr>
        <w:t>the settlement in September 2019</w:t>
      </w:r>
      <w:r w:rsidR="0055328B" w:rsidRPr="00480CED">
        <w:rPr>
          <w:rFonts w:eastAsia="Times New Roman"/>
          <w:sz w:val="22"/>
          <w:szCs w:val="22"/>
        </w:rPr>
        <w:t>.</w:t>
      </w:r>
      <w:r w:rsidR="000D645D" w:rsidRPr="00480CED">
        <w:rPr>
          <w:rFonts w:eastAsia="Times New Roman"/>
          <w:sz w:val="22"/>
          <w:szCs w:val="22"/>
        </w:rPr>
        <w:t xml:space="preserve">  </w:t>
      </w:r>
    </w:p>
    <w:p w14:paraId="598F391F" w14:textId="5636A654" w:rsidR="000D645D" w:rsidRPr="00704804" w:rsidRDefault="003F28C4" w:rsidP="00704804">
      <w:pPr>
        <w:pStyle w:val="ListParagraph"/>
        <w:numPr>
          <w:ilvl w:val="0"/>
          <w:numId w:val="15"/>
        </w:numPr>
        <w:spacing w:after="240" w:line="240" w:lineRule="auto"/>
        <w:contextualSpacing w:val="0"/>
        <w:rPr>
          <w:sz w:val="22"/>
          <w:szCs w:val="22"/>
        </w:rPr>
      </w:pPr>
      <w:r w:rsidRPr="00480CED">
        <w:rPr>
          <w:sz w:val="22"/>
          <w:szCs w:val="22"/>
        </w:rPr>
        <w:t>MHCLG invited working group representatives with a particular interest in this work stream to work more closely on the policy development of the central and local lists. Some representatives have subsequently come forward.</w:t>
      </w:r>
    </w:p>
    <w:p w14:paraId="1B9FE508" w14:textId="0997DADE" w:rsidR="00585DD0" w:rsidRPr="00704804" w:rsidRDefault="00585DD0" w:rsidP="00704804">
      <w:pPr>
        <w:spacing w:after="240" w:line="240" w:lineRule="auto"/>
        <w:rPr>
          <w:b/>
          <w:sz w:val="22"/>
          <w:szCs w:val="22"/>
          <w:u w:val="single"/>
        </w:rPr>
      </w:pPr>
      <w:r w:rsidRPr="00302A5C">
        <w:rPr>
          <w:b/>
          <w:sz w:val="22"/>
          <w:szCs w:val="22"/>
          <w:u w:val="single"/>
        </w:rPr>
        <w:t>Actions</w:t>
      </w:r>
    </w:p>
    <w:p w14:paraId="61343B9F" w14:textId="1BBA0874" w:rsidR="00480CED" w:rsidRPr="00704804" w:rsidRDefault="00480CED" w:rsidP="00704804">
      <w:pPr>
        <w:pStyle w:val="ListParagraph"/>
        <w:numPr>
          <w:ilvl w:val="0"/>
          <w:numId w:val="15"/>
        </w:numPr>
        <w:spacing w:after="240" w:line="240" w:lineRule="auto"/>
        <w:contextualSpacing w:val="0"/>
        <w:rPr>
          <w:rFonts w:eastAsia="Times New Roman"/>
          <w:sz w:val="22"/>
          <w:szCs w:val="22"/>
        </w:rPr>
      </w:pPr>
      <w:r w:rsidRPr="00480CED">
        <w:rPr>
          <w:rFonts w:eastAsia="Times New Roman"/>
          <w:sz w:val="22"/>
          <w:szCs w:val="22"/>
        </w:rPr>
        <w:t>The following action were agreed:</w:t>
      </w:r>
    </w:p>
    <w:p w14:paraId="3281A4B3" w14:textId="32982F2F" w:rsidR="00F969BF" w:rsidRDefault="00F969BF" w:rsidP="00704804">
      <w:pPr>
        <w:pStyle w:val="ListParagraph"/>
        <w:numPr>
          <w:ilvl w:val="0"/>
          <w:numId w:val="6"/>
        </w:numPr>
        <w:spacing w:after="240" w:line="240" w:lineRule="auto"/>
        <w:contextualSpacing w:val="0"/>
        <w:rPr>
          <w:rFonts w:eastAsia="Times New Roman"/>
          <w:sz w:val="22"/>
          <w:szCs w:val="22"/>
        </w:rPr>
      </w:pPr>
      <w:r>
        <w:rPr>
          <w:rFonts w:eastAsia="Times New Roman"/>
          <w:sz w:val="22"/>
          <w:szCs w:val="22"/>
        </w:rPr>
        <w:t>MHCLG will present the recommendations of the working group to the steering group to seek their endorsement.</w:t>
      </w:r>
    </w:p>
    <w:p w14:paraId="0A5B32AE" w14:textId="25E4C2D0" w:rsidR="00087250" w:rsidRDefault="00585DD0" w:rsidP="00704804">
      <w:pPr>
        <w:pStyle w:val="ListParagraph"/>
        <w:numPr>
          <w:ilvl w:val="0"/>
          <w:numId w:val="6"/>
        </w:numPr>
        <w:spacing w:after="240" w:line="240" w:lineRule="auto"/>
        <w:contextualSpacing w:val="0"/>
        <w:rPr>
          <w:rFonts w:eastAsia="Times New Roman"/>
          <w:sz w:val="22"/>
          <w:szCs w:val="22"/>
        </w:rPr>
      </w:pPr>
      <w:r w:rsidRPr="00302A5C">
        <w:rPr>
          <w:rFonts w:eastAsia="Times New Roman"/>
          <w:sz w:val="22"/>
          <w:szCs w:val="22"/>
        </w:rPr>
        <w:t xml:space="preserve">MHCLG will </w:t>
      </w:r>
      <w:r w:rsidR="00087250">
        <w:rPr>
          <w:rFonts w:eastAsia="Times New Roman"/>
          <w:sz w:val="22"/>
          <w:szCs w:val="22"/>
        </w:rPr>
        <w:t xml:space="preserve">draft the </w:t>
      </w:r>
      <w:r w:rsidRPr="00302A5C">
        <w:rPr>
          <w:rFonts w:eastAsia="Times New Roman"/>
          <w:sz w:val="22"/>
          <w:szCs w:val="22"/>
        </w:rPr>
        <w:t>criteria</w:t>
      </w:r>
      <w:r w:rsidR="00087250">
        <w:rPr>
          <w:rFonts w:eastAsia="Times New Roman"/>
          <w:sz w:val="22"/>
          <w:szCs w:val="22"/>
        </w:rPr>
        <w:t xml:space="preserve"> discussed for the working group’s</w:t>
      </w:r>
      <w:r w:rsidRPr="00302A5C">
        <w:rPr>
          <w:rFonts w:eastAsia="Times New Roman"/>
          <w:sz w:val="22"/>
          <w:szCs w:val="22"/>
        </w:rPr>
        <w:t xml:space="preserve"> consider</w:t>
      </w:r>
      <w:r w:rsidR="00087250">
        <w:rPr>
          <w:rFonts w:eastAsia="Times New Roman"/>
          <w:sz w:val="22"/>
          <w:szCs w:val="22"/>
        </w:rPr>
        <w:t>ation</w:t>
      </w:r>
      <w:r w:rsidRPr="00302A5C">
        <w:rPr>
          <w:rFonts w:eastAsia="Times New Roman"/>
          <w:sz w:val="22"/>
          <w:szCs w:val="22"/>
        </w:rPr>
        <w:t>.</w:t>
      </w:r>
      <w:r w:rsidR="00087250">
        <w:rPr>
          <w:rFonts w:eastAsia="Times New Roman"/>
          <w:sz w:val="22"/>
          <w:szCs w:val="22"/>
        </w:rPr>
        <w:t xml:space="preserve"> It is expected that this will be presented to the working group at its April meeting.</w:t>
      </w:r>
    </w:p>
    <w:p w14:paraId="475F2DC4" w14:textId="442E6803" w:rsidR="000D645D" w:rsidRDefault="003F28C4" w:rsidP="00704804">
      <w:pPr>
        <w:numPr>
          <w:ilvl w:val="0"/>
          <w:numId w:val="1"/>
        </w:numPr>
        <w:spacing w:after="240" w:line="240" w:lineRule="auto"/>
        <w:rPr>
          <w:sz w:val="22"/>
          <w:szCs w:val="22"/>
        </w:rPr>
      </w:pPr>
      <w:r>
        <w:rPr>
          <w:sz w:val="22"/>
          <w:szCs w:val="22"/>
        </w:rPr>
        <w:t>The VOA will present short notes on railway hereditaments and retailers in transport hubs at the next working group in March.</w:t>
      </w:r>
    </w:p>
    <w:p w14:paraId="1CFA2A1D" w14:textId="7691C4D6" w:rsidR="003F28C4" w:rsidRDefault="003F28C4" w:rsidP="00704804">
      <w:pPr>
        <w:numPr>
          <w:ilvl w:val="0"/>
          <w:numId w:val="1"/>
        </w:numPr>
        <w:spacing w:after="240" w:line="240" w:lineRule="auto"/>
        <w:rPr>
          <w:sz w:val="22"/>
          <w:szCs w:val="22"/>
        </w:rPr>
      </w:pPr>
      <w:r>
        <w:rPr>
          <w:sz w:val="22"/>
          <w:szCs w:val="22"/>
        </w:rPr>
        <w:t>MHCLG will do further scoping work on the position of MOD properties.</w:t>
      </w:r>
    </w:p>
    <w:p w14:paraId="1DDD0C89" w14:textId="66232050" w:rsidR="000D645D" w:rsidRPr="00704804" w:rsidRDefault="003F28C4" w:rsidP="00704804">
      <w:pPr>
        <w:numPr>
          <w:ilvl w:val="0"/>
          <w:numId w:val="1"/>
        </w:numPr>
        <w:spacing w:after="240" w:line="240" w:lineRule="auto"/>
        <w:rPr>
          <w:sz w:val="22"/>
          <w:szCs w:val="22"/>
        </w:rPr>
      </w:pPr>
      <w:r>
        <w:rPr>
          <w:sz w:val="22"/>
          <w:szCs w:val="22"/>
        </w:rPr>
        <w:t>MHCLG will report back to the group on the number of whole hereditaments which have been moved onto or off the central list since 2013.</w:t>
      </w:r>
    </w:p>
    <w:p w14:paraId="3286F5AE" w14:textId="2366CB01" w:rsidR="00AF27D5" w:rsidRPr="00704804" w:rsidRDefault="000D645D" w:rsidP="00704804">
      <w:pPr>
        <w:spacing w:after="240" w:line="240" w:lineRule="auto"/>
        <w:rPr>
          <w:rFonts w:eastAsia="Times New Roman"/>
          <w:b/>
          <w:sz w:val="22"/>
          <w:szCs w:val="22"/>
          <w:u w:val="single"/>
        </w:rPr>
      </w:pPr>
      <w:r w:rsidRPr="00302A5C">
        <w:rPr>
          <w:rFonts w:eastAsia="Times New Roman"/>
          <w:b/>
          <w:sz w:val="22"/>
          <w:szCs w:val="22"/>
          <w:u w:val="single"/>
        </w:rPr>
        <w:t xml:space="preserve">March meeting </w:t>
      </w:r>
    </w:p>
    <w:p w14:paraId="7AAD770B" w14:textId="1EA17BD1" w:rsidR="00C05DFD" w:rsidRPr="00704804" w:rsidRDefault="003F28C4" w:rsidP="00B95415">
      <w:pPr>
        <w:pStyle w:val="ListParagraph"/>
        <w:numPr>
          <w:ilvl w:val="0"/>
          <w:numId w:val="15"/>
        </w:numPr>
        <w:spacing w:after="240" w:line="240" w:lineRule="auto"/>
        <w:contextualSpacing w:val="0"/>
        <w:rPr>
          <w:sz w:val="22"/>
          <w:szCs w:val="22"/>
        </w:rPr>
      </w:pPr>
      <w:r w:rsidRPr="00480CED">
        <w:rPr>
          <w:sz w:val="22"/>
          <w:szCs w:val="22"/>
        </w:rPr>
        <w:t xml:space="preserve">On </w:t>
      </w:r>
      <w:r w:rsidR="00AF27D5" w:rsidRPr="00480CED">
        <w:rPr>
          <w:sz w:val="22"/>
          <w:szCs w:val="22"/>
        </w:rPr>
        <w:t>21</w:t>
      </w:r>
      <w:r w:rsidR="00AF27D5" w:rsidRPr="00480CED">
        <w:rPr>
          <w:sz w:val="22"/>
          <w:szCs w:val="22"/>
          <w:vertAlign w:val="superscript"/>
        </w:rPr>
        <w:t>st</w:t>
      </w:r>
      <w:r w:rsidR="00AF27D5" w:rsidRPr="00480CED">
        <w:rPr>
          <w:sz w:val="22"/>
          <w:szCs w:val="22"/>
        </w:rPr>
        <w:t xml:space="preserve"> March 2018 </w:t>
      </w:r>
      <w:r w:rsidRPr="00480CED">
        <w:rPr>
          <w:sz w:val="22"/>
          <w:szCs w:val="22"/>
        </w:rPr>
        <w:t xml:space="preserve">MHCLG will present a paper on The Safety Net, Levy, Tier Splits and Gearing to the </w:t>
      </w:r>
      <w:r w:rsidR="0054248C" w:rsidRPr="00480CED">
        <w:rPr>
          <w:sz w:val="22"/>
          <w:szCs w:val="22"/>
        </w:rPr>
        <w:t xml:space="preserve">System Design Working Group </w:t>
      </w:r>
      <w:r w:rsidRPr="00480CED">
        <w:rPr>
          <w:sz w:val="22"/>
          <w:szCs w:val="22"/>
        </w:rPr>
        <w:t xml:space="preserve">for consideration. </w:t>
      </w:r>
    </w:p>
    <w:p w14:paraId="3417D61F" w14:textId="77777777" w:rsidR="00704804" w:rsidRDefault="00704804" w:rsidP="00C05DFD">
      <w:pPr>
        <w:contextualSpacing/>
        <w:rPr>
          <w:b/>
        </w:rPr>
      </w:pPr>
    </w:p>
    <w:p w14:paraId="117E2AE5" w14:textId="77777777" w:rsidR="00704804" w:rsidRDefault="00704804" w:rsidP="00C05DFD">
      <w:pPr>
        <w:contextualSpacing/>
        <w:rPr>
          <w:b/>
        </w:rPr>
      </w:pPr>
    </w:p>
    <w:p w14:paraId="30405F8B" w14:textId="77777777" w:rsidR="00704804" w:rsidRDefault="00704804" w:rsidP="00C05DFD">
      <w:pPr>
        <w:contextualSpacing/>
        <w:rPr>
          <w:b/>
        </w:rPr>
      </w:pPr>
    </w:p>
    <w:p w14:paraId="309E34DC" w14:textId="77777777" w:rsidR="00704804" w:rsidRDefault="00704804" w:rsidP="00C05DFD">
      <w:pPr>
        <w:contextualSpacing/>
        <w:rPr>
          <w:b/>
        </w:rPr>
      </w:pPr>
    </w:p>
    <w:p w14:paraId="405E9BD6" w14:textId="77777777" w:rsidR="00704804" w:rsidRDefault="00704804" w:rsidP="00C05DFD">
      <w:pPr>
        <w:contextualSpacing/>
        <w:rPr>
          <w:b/>
        </w:rPr>
      </w:pPr>
    </w:p>
    <w:p w14:paraId="088D3843" w14:textId="77777777" w:rsidR="00704804" w:rsidRDefault="00704804" w:rsidP="00C05DFD">
      <w:pPr>
        <w:contextualSpacing/>
        <w:rPr>
          <w:b/>
        </w:rPr>
      </w:pPr>
    </w:p>
    <w:p w14:paraId="2CB41BD0" w14:textId="77777777" w:rsidR="00704804" w:rsidRDefault="00704804" w:rsidP="00C05DFD">
      <w:pPr>
        <w:contextualSpacing/>
        <w:rPr>
          <w:b/>
        </w:rPr>
      </w:pPr>
    </w:p>
    <w:p w14:paraId="149BBA41" w14:textId="77777777" w:rsidR="00704804" w:rsidRDefault="00704804" w:rsidP="00C05DFD">
      <w:pPr>
        <w:contextualSpacing/>
        <w:rPr>
          <w:b/>
        </w:rPr>
      </w:pPr>
    </w:p>
    <w:p w14:paraId="3545123A" w14:textId="77777777" w:rsidR="00704804" w:rsidRDefault="00704804" w:rsidP="00C05DFD">
      <w:pPr>
        <w:contextualSpacing/>
        <w:rPr>
          <w:b/>
        </w:rPr>
      </w:pPr>
    </w:p>
    <w:p w14:paraId="35D900E8" w14:textId="77777777" w:rsidR="00704804" w:rsidRDefault="00704804" w:rsidP="00C05DFD">
      <w:pPr>
        <w:contextualSpacing/>
        <w:rPr>
          <w:b/>
        </w:rPr>
      </w:pPr>
    </w:p>
    <w:p w14:paraId="610482D8" w14:textId="77777777" w:rsidR="00704804" w:rsidRDefault="00704804" w:rsidP="00C05DFD">
      <w:pPr>
        <w:contextualSpacing/>
        <w:rPr>
          <w:b/>
        </w:rPr>
      </w:pPr>
    </w:p>
    <w:p w14:paraId="051C8C03" w14:textId="77777777" w:rsidR="00704804" w:rsidRDefault="00704804" w:rsidP="00C05DFD">
      <w:pPr>
        <w:contextualSpacing/>
        <w:rPr>
          <w:b/>
        </w:rPr>
      </w:pPr>
    </w:p>
    <w:p w14:paraId="33340603" w14:textId="77777777" w:rsidR="00704804" w:rsidRDefault="00704804" w:rsidP="00C05DFD">
      <w:pPr>
        <w:contextualSpacing/>
        <w:rPr>
          <w:b/>
        </w:rPr>
      </w:pPr>
    </w:p>
    <w:p w14:paraId="6DD78065" w14:textId="77777777" w:rsidR="00704804" w:rsidRDefault="00704804" w:rsidP="00C05DFD">
      <w:pPr>
        <w:contextualSpacing/>
        <w:rPr>
          <w:b/>
        </w:rPr>
      </w:pPr>
    </w:p>
    <w:p w14:paraId="7F65A4B0" w14:textId="77777777" w:rsidR="00704804" w:rsidRDefault="00704804" w:rsidP="00C05DFD">
      <w:pPr>
        <w:contextualSpacing/>
        <w:rPr>
          <w:b/>
        </w:rPr>
      </w:pPr>
    </w:p>
    <w:p w14:paraId="796BF9D5" w14:textId="77777777" w:rsidR="00704804" w:rsidRDefault="00704804" w:rsidP="00C05DFD">
      <w:pPr>
        <w:contextualSpacing/>
        <w:rPr>
          <w:b/>
        </w:rPr>
      </w:pPr>
    </w:p>
    <w:p w14:paraId="3E5C50FF" w14:textId="77777777" w:rsidR="00704804" w:rsidRDefault="00704804" w:rsidP="00C05DFD">
      <w:pPr>
        <w:contextualSpacing/>
        <w:rPr>
          <w:b/>
        </w:rPr>
      </w:pPr>
    </w:p>
    <w:p w14:paraId="769C20C6" w14:textId="77777777" w:rsidR="00704804" w:rsidRDefault="00704804" w:rsidP="00C05DFD">
      <w:pPr>
        <w:contextualSpacing/>
        <w:rPr>
          <w:b/>
        </w:rPr>
      </w:pPr>
    </w:p>
    <w:p w14:paraId="5EA23979" w14:textId="77777777" w:rsidR="00704804" w:rsidRDefault="00704804" w:rsidP="00C05DFD">
      <w:pPr>
        <w:contextualSpacing/>
        <w:rPr>
          <w:b/>
        </w:rPr>
      </w:pPr>
    </w:p>
    <w:p w14:paraId="798A43CE" w14:textId="48E91377" w:rsidR="00C05DFD" w:rsidRPr="00302A5C" w:rsidRDefault="00C05DFD" w:rsidP="00C05DFD">
      <w:pPr>
        <w:contextualSpacing/>
      </w:pPr>
      <w:r w:rsidRPr="00302A5C">
        <w:rPr>
          <w:b/>
        </w:rPr>
        <w:lastRenderedPageBreak/>
        <w:t>Annex A – Attendance List (</w:t>
      </w:r>
      <w:r w:rsidR="00C24645">
        <w:rPr>
          <w:b/>
        </w:rPr>
        <w:t>7</w:t>
      </w:r>
      <w:r w:rsidRPr="00302A5C">
        <w:rPr>
          <w:b/>
        </w:rPr>
        <w:t xml:space="preserve"> </w:t>
      </w:r>
      <w:r w:rsidR="00C24645">
        <w:rPr>
          <w:b/>
        </w:rPr>
        <w:t>February 2018</w:t>
      </w:r>
      <w:r w:rsidRPr="00302A5C">
        <w:rPr>
          <w:b/>
        </w:rPr>
        <w:t>)</w:t>
      </w:r>
    </w:p>
    <w:p w14:paraId="485837B0" w14:textId="77777777" w:rsidR="00C05DFD" w:rsidRPr="00AB116F" w:rsidRDefault="00C05DFD" w:rsidP="00C05DFD">
      <w:pPr>
        <w:contextualSpacing/>
        <w:rPr>
          <w:color w:val="FF0000"/>
        </w:rPr>
      </w:pPr>
    </w:p>
    <w:tbl>
      <w:tblPr>
        <w:tblStyle w:val="TableGrid"/>
        <w:tblW w:w="0" w:type="auto"/>
        <w:tblLook w:val="04A0" w:firstRow="1" w:lastRow="0" w:firstColumn="1" w:lastColumn="0" w:noHBand="0" w:noVBand="1"/>
      </w:tblPr>
      <w:tblGrid>
        <w:gridCol w:w="2235"/>
        <w:gridCol w:w="5103"/>
        <w:gridCol w:w="1904"/>
      </w:tblGrid>
      <w:tr w:rsidR="00702EF2" w14:paraId="3DCC4A94" w14:textId="77777777" w:rsidTr="001C494C">
        <w:tc>
          <w:tcPr>
            <w:tcW w:w="2235" w:type="dxa"/>
          </w:tcPr>
          <w:p w14:paraId="14F33AD8" w14:textId="55E9D65E" w:rsidR="00702EF2" w:rsidRDefault="00702EF2" w:rsidP="00C05DFD">
            <w:pPr>
              <w:rPr>
                <w:b/>
                <w:color w:val="FF0000"/>
              </w:rPr>
            </w:pPr>
            <w:r w:rsidRPr="00AB116F">
              <w:rPr>
                <w:rFonts w:eastAsia="Times New Roman"/>
                <w:b/>
                <w:color w:val="000000"/>
                <w:sz w:val="22"/>
                <w:szCs w:val="22"/>
                <w:lang w:eastAsia="en-GB"/>
              </w:rPr>
              <w:t>Member</w:t>
            </w:r>
          </w:p>
        </w:tc>
        <w:tc>
          <w:tcPr>
            <w:tcW w:w="5103" w:type="dxa"/>
          </w:tcPr>
          <w:p w14:paraId="52253806" w14:textId="06D1C2D2" w:rsidR="00702EF2" w:rsidRDefault="00702EF2" w:rsidP="00C05DFD">
            <w:pPr>
              <w:rPr>
                <w:b/>
                <w:color w:val="FF0000"/>
              </w:rPr>
            </w:pPr>
            <w:r w:rsidRPr="00AB116F">
              <w:rPr>
                <w:rFonts w:eastAsia="Times New Roman"/>
                <w:b/>
                <w:color w:val="000000"/>
                <w:sz w:val="22"/>
                <w:szCs w:val="22"/>
                <w:lang w:eastAsia="en-GB"/>
              </w:rPr>
              <w:t xml:space="preserve">Organisation </w:t>
            </w:r>
          </w:p>
        </w:tc>
        <w:tc>
          <w:tcPr>
            <w:tcW w:w="1904" w:type="dxa"/>
          </w:tcPr>
          <w:p w14:paraId="78E329EC" w14:textId="382BB0A1" w:rsidR="00702EF2" w:rsidRDefault="00702EF2" w:rsidP="00C05DFD">
            <w:pPr>
              <w:rPr>
                <w:b/>
                <w:color w:val="FF0000"/>
              </w:rPr>
            </w:pPr>
            <w:r w:rsidRPr="00AB116F">
              <w:rPr>
                <w:rFonts w:eastAsia="Times New Roman"/>
                <w:b/>
                <w:color w:val="000000"/>
                <w:sz w:val="22"/>
                <w:szCs w:val="22"/>
                <w:lang w:eastAsia="en-GB"/>
              </w:rPr>
              <w:t>Attendance</w:t>
            </w:r>
          </w:p>
        </w:tc>
      </w:tr>
      <w:tr w:rsidR="00702EF2" w14:paraId="5FBA81E2" w14:textId="77777777" w:rsidTr="001C494C">
        <w:tc>
          <w:tcPr>
            <w:tcW w:w="2235" w:type="dxa"/>
          </w:tcPr>
          <w:p w14:paraId="78710933" w14:textId="3558C7F6" w:rsidR="00702EF2" w:rsidRPr="00702EF2" w:rsidRDefault="00702EF2" w:rsidP="00C05DFD">
            <w:r w:rsidRPr="00AB116F">
              <w:rPr>
                <w:rFonts w:eastAsia="Times New Roman"/>
                <w:color w:val="000000"/>
                <w:sz w:val="20"/>
                <w:szCs w:val="20"/>
                <w:lang w:eastAsia="en-GB"/>
              </w:rPr>
              <w:t>Mike Heiser</w:t>
            </w:r>
          </w:p>
        </w:tc>
        <w:tc>
          <w:tcPr>
            <w:tcW w:w="5103" w:type="dxa"/>
          </w:tcPr>
          <w:p w14:paraId="237AEDA1" w14:textId="29FBF95E" w:rsidR="00702EF2" w:rsidRPr="00CB472D" w:rsidRDefault="00702EF2" w:rsidP="00C05DFD">
            <w:pPr>
              <w:rPr>
                <w:sz w:val="20"/>
                <w:szCs w:val="20"/>
              </w:rPr>
            </w:pPr>
            <w:r w:rsidRPr="00CB472D">
              <w:rPr>
                <w:rFonts w:eastAsia="Times New Roman"/>
                <w:color w:val="000000"/>
                <w:sz w:val="20"/>
                <w:szCs w:val="20"/>
                <w:lang w:eastAsia="en-GB"/>
              </w:rPr>
              <w:t>Local Government Association (LGA)</w:t>
            </w:r>
          </w:p>
        </w:tc>
        <w:tc>
          <w:tcPr>
            <w:tcW w:w="1904" w:type="dxa"/>
          </w:tcPr>
          <w:p w14:paraId="3DFAF5F5" w14:textId="429A4C30" w:rsidR="00702EF2" w:rsidRPr="00EA67E3" w:rsidRDefault="00702EF2" w:rsidP="00C05DFD">
            <w:pPr>
              <w:rPr>
                <w:sz w:val="20"/>
                <w:szCs w:val="20"/>
              </w:rPr>
            </w:pPr>
            <w:r w:rsidRPr="00AB116F">
              <w:rPr>
                <w:sz w:val="20"/>
                <w:szCs w:val="20"/>
              </w:rPr>
              <w:t>Present</w:t>
            </w:r>
          </w:p>
        </w:tc>
      </w:tr>
      <w:tr w:rsidR="0054248C" w14:paraId="6BE57AD9" w14:textId="77777777" w:rsidTr="001C494C">
        <w:tc>
          <w:tcPr>
            <w:tcW w:w="2235" w:type="dxa"/>
            <w:vAlign w:val="bottom"/>
          </w:tcPr>
          <w:p w14:paraId="0E9101D5" w14:textId="52F3794C" w:rsidR="0054248C" w:rsidRPr="00702EF2" w:rsidRDefault="0054248C" w:rsidP="00C05DFD">
            <w:pPr>
              <w:rPr>
                <w:rFonts w:eastAsia="Times New Roman"/>
                <w:color w:val="000000"/>
                <w:sz w:val="20"/>
                <w:szCs w:val="20"/>
                <w:lang w:eastAsia="en-GB"/>
              </w:rPr>
            </w:pPr>
            <w:r w:rsidRPr="00702EF2">
              <w:rPr>
                <w:color w:val="000000"/>
                <w:sz w:val="20"/>
                <w:szCs w:val="20"/>
              </w:rPr>
              <w:t>Lorna Baxter</w:t>
            </w:r>
          </w:p>
        </w:tc>
        <w:tc>
          <w:tcPr>
            <w:tcW w:w="5103" w:type="dxa"/>
            <w:vAlign w:val="bottom"/>
          </w:tcPr>
          <w:p w14:paraId="6BFFF39C" w14:textId="17DDD363" w:rsidR="0054248C" w:rsidRPr="00CB472D" w:rsidRDefault="0054248C" w:rsidP="00C05DFD">
            <w:pPr>
              <w:rPr>
                <w:rFonts w:eastAsia="Times New Roman"/>
                <w:color w:val="000000"/>
                <w:sz w:val="20"/>
                <w:szCs w:val="20"/>
                <w:lang w:eastAsia="en-GB"/>
              </w:rPr>
            </w:pPr>
            <w:r w:rsidRPr="00CB472D">
              <w:rPr>
                <w:rFonts w:ascii="Calibri" w:hAnsi="Calibri"/>
                <w:color w:val="000000"/>
                <w:sz w:val="20"/>
                <w:szCs w:val="20"/>
              </w:rPr>
              <w:t>County Councils' Network (CCN)</w:t>
            </w:r>
          </w:p>
        </w:tc>
        <w:tc>
          <w:tcPr>
            <w:tcW w:w="1904" w:type="dxa"/>
          </w:tcPr>
          <w:p w14:paraId="5531A075" w14:textId="590B317A" w:rsidR="0054248C" w:rsidRPr="0054248C" w:rsidRDefault="0054248C" w:rsidP="00C05DFD">
            <w:pPr>
              <w:rPr>
                <w:sz w:val="20"/>
                <w:szCs w:val="20"/>
              </w:rPr>
            </w:pPr>
            <w:r w:rsidRPr="0054248C">
              <w:rPr>
                <w:sz w:val="20"/>
                <w:szCs w:val="20"/>
              </w:rPr>
              <w:t>Present</w:t>
            </w:r>
          </w:p>
        </w:tc>
      </w:tr>
      <w:tr w:rsidR="0054248C" w14:paraId="78DD7A63" w14:textId="77777777" w:rsidTr="001C494C">
        <w:tc>
          <w:tcPr>
            <w:tcW w:w="2235" w:type="dxa"/>
            <w:vAlign w:val="bottom"/>
          </w:tcPr>
          <w:p w14:paraId="2E50FFA5" w14:textId="61814C39" w:rsidR="0054248C" w:rsidRPr="00702EF2" w:rsidRDefault="0054248C" w:rsidP="00C05DFD">
            <w:pPr>
              <w:rPr>
                <w:rFonts w:eastAsia="Times New Roman"/>
                <w:color w:val="000000"/>
                <w:sz w:val="20"/>
                <w:szCs w:val="20"/>
                <w:lang w:eastAsia="en-GB"/>
              </w:rPr>
            </w:pPr>
            <w:r w:rsidRPr="00702EF2">
              <w:rPr>
                <w:color w:val="000000"/>
                <w:sz w:val="20"/>
                <w:szCs w:val="20"/>
              </w:rPr>
              <w:t xml:space="preserve">Steve </w:t>
            </w:r>
            <w:proofErr w:type="spellStart"/>
            <w:r w:rsidRPr="00702EF2">
              <w:rPr>
                <w:color w:val="000000"/>
                <w:sz w:val="20"/>
                <w:szCs w:val="20"/>
              </w:rPr>
              <w:t>Mair</w:t>
            </w:r>
            <w:proofErr w:type="spellEnd"/>
          </w:p>
        </w:tc>
        <w:tc>
          <w:tcPr>
            <w:tcW w:w="5103" w:type="dxa"/>
            <w:vAlign w:val="bottom"/>
          </w:tcPr>
          <w:p w14:paraId="746C1DD4" w14:textId="34032BDF" w:rsidR="0054248C" w:rsidRPr="00CB472D" w:rsidRDefault="0054248C" w:rsidP="00C05DFD">
            <w:pPr>
              <w:rPr>
                <w:rFonts w:eastAsia="Times New Roman"/>
                <w:color w:val="000000"/>
                <w:sz w:val="20"/>
                <w:szCs w:val="20"/>
                <w:lang w:eastAsia="en-GB"/>
              </w:rPr>
            </w:pPr>
            <w:r w:rsidRPr="00CB472D">
              <w:rPr>
                <w:color w:val="000000"/>
                <w:sz w:val="20"/>
                <w:szCs w:val="20"/>
              </w:rPr>
              <w:t>Society of London Treasurers (SLT) - ALATS</w:t>
            </w:r>
          </w:p>
        </w:tc>
        <w:tc>
          <w:tcPr>
            <w:tcW w:w="1904" w:type="dxa"/>
          </w:tcPr>
          <w:p w14:paraId="72C13364" w14:textId="1D75FC6D" w:rsidR="0054248C" w:rsidRPr="0054248C" w:rsidRDefault="0054248C" w:rsidP="00C05DFD">
            <w:pPr>
              <w:rPr>
                <w:sz w:val="20"/>
                <w:szCs w:val="20"/>
              </w:rPr>
            </w:pPr>
            <w:r w:rsidRPr="0054248C">
              <w:rPr>
                <w:sz w:val="20"/>
                <w:szCs w:val="20"/>
              </w:rPr>
              <w:t>Present</w:t>
            </w:r>
          </w:p>
        </w:tc>
      </w:tr>
      <w:tr w:rsidR="0054248C" w14:paraId="68268670" w14:textId="77777777" w:rsidTr="001C494C">
        <w:tc>
          <w:tcPr>
            <w:tcW w:w="2235" w:type="dxa"/>
            <w:vAlign w:val="bottom"/>
          </w:tcPr>
          <w:p w14:paraId="2B047FCF" w14:textId="38560AF6" w:rsidR="0054248C" w:rsidRPr="00702EF2" w:rsidRDefault="0054248C" w:rsidP="00C05DFD">
            <w:pPr>
              <w:rPr>
                <w:rFonts w:eastAsia="Times New Roman"/>
                <w:color w:val="000000"/>
                <w:sz w:val="20"/>
                <w:szCs w:val="20"/>
                <w:lang w:eastAsia="en-GB"/>
              </w:rPr>
            </w:pPr>
            <w:r w:rsidRPr="00702EF2">
              <w:rPr>
                <w:color w:val="000000"/>
                <w:sz w:val="20"/>
                <w:szCs w:val="20"/>
              </w:rPr>
              <w:t>Matt Davis</w:t>
            </w:r>
          </w:p>
        </w:tc>
        <w:tc>
          <w:tcPr>
            <w:tcW w:w="5103" w:type="dxa"/>
            <w:vAlign w:val="bottom"/>
          </w:tcPr>
          <w:p w14:paraId="66A7F5E6" w14:textId="78B6D89C" w:rsidR="0054248C" w:rsidRPr="00CB472D" w:rsidRDefault="0054248C" w:rsidP="00C05DFD">
            <w:pPr>
              <w:rPr>
                <w:rFonts w:eastAsia="Times New Roman"/>
                <w:color w:val="000000"/>
                <w:sz w:val="20"/>
                <w:szCs w:val="20"/>
                <w:lang w:eastAsia="en-GB"/>
              </w:rPr>
            </w:pPr>
            <w:r w:rsidRPr="00CB472D">
              <w:rPr>
                <w:color w:val="000000"/>
                <w:sz w:val="20"/>
                <w:szCs w:val="20"/>
              </w:rPr>
              <w:t>Westminster City Council</w:t>
            </w:r>
          </w:p>
        </w:tc>
        <w:tc>
          <w:tcPr>
            <w:tcW w:w="1904" w:type="dxa"/>
          </w:tcPr>
          <w:p w14:paraId="54916041" w14:textId="526192AD" w:rsidR="0054248C" w:rsidRPr="0054248C" w:rsidRDefault="0054248C" w:rsidP="00C05DFD">
            <w:pPr>
              <w:rPr>
                <w:sz w:val="20"/>
                <w:szCs w:val="20"/>
              </w:rPr>
            </w:pPr>
            <w:r w:rsidRPr="0054248C">
              <w:rPr>
                <w:sz w:val="20"/>
                <w:szCs w:val="20"/>
              </w:rPr>
              <w:t>Present</w:t>
            </w:r>
          </w:p>
        </w:tc>
      </w:tr>
      <w:tr w:rsidR="0054248C" w14:paraId="70874765" w14:textId="77777777" w:rsidTr="001C494C">
        <w:tc>
          <w:tcPr>
            <w:tcW w:w="2235" w:type="dxa"/>
            <w:vAlign w:val="bottom"/>
          </w:tcPr>
          <w:p w14:paraId="401D1177" w14:textId="57EF5A8E" w:rsidR="0054248C" w:rsidRPr="00702EF2" w:rsidRDefault="0054248C" w:rsidP="00C05DFD">
            <w:pPr>
              <w:rPr>
                <w:rFonts w:eastAsia="Times New Roman"/>
                <w:color w:val="000000"/>
                <w:sz w:val="20"/>
                <w:szCs w:val="20"/>
                <w:lang w:eastAsia="en-GB"/>
              </w:rPr>
            </w:pPr>
            <w:r w:rsidRPr="00702EF2">
              <w:rPr>
                <w:color w:val="000000"/>
                <w:sz w:val="20"/>
                <w:szCs w:val="20"/>
              </w:rPr>
              <w:t>Stuart McKellar</w:t>
            </w:r>
          </w:p>
        </w:tc>
        <w:tc>
          <w:tcPr>
            <w:tcW w:w="5103" w:type="dxa"/>
            <w:vAlign w:val="bottom"/>
          </w:tcPr>
          <w:p w14:paraId="3633DE8B" w14:textId="19A0C745" w:rsidR="0054248C" w:rsidRPr="00CB472D" w:rsidRDefault="0054248C" w:rsidP="00C05DFD">
            <w:pPr>
              <w:rPr>
                <w:rFonts w:eastAsia="Times New Roman"/>
                <w:color w:val="000000"/>
                <w:sz w:val="20"/>
                <w:szCs w:val="20"/>
                <w:lang w:eastAsia="en-GB"/>
              </w:rPr>
            </w:pPr>
            <w:r w:rsidRPr="00CB472D">
              <w:rPr>
                <w:rFonts w:ascii="Calibri" w:hAnsi="Calibri"/>
                <w:color w:val="000000"/>
                <w:sz w:val="20"/>
                <w:szCs w:val="20"/>
              </w:rPr>
              <w:t>Society of Unitary Treasurers (SUT) - ALATS</w:t>
            </w:r>
          </w:p>
        </w:tc>
        <w:tc>
          <w:tcPr>
            <w:tcW w:w="1904" w:type="dxa"/>
          </w:tcPr>
          <w:p w14:paraId="7EED4BF1" w14:textId="0444CFB7" w:rsidR="0054248C" w:rsidRPr="0054248C" w:rsidRDefault="0054248C" w:rsidP="00C05DFD">
            <w:pPr>
              <w:rPr>
                <w:sz w:val="20"/>
                <w:szCs w:val="20"/>
              </w:rPr>
            </w:pPr>
            <w:r w:rsidRPr="0054248C">
              <w:rPr>
                <w:sz w:val="20"/>
                <w:szCs w:val="20"/>
              </w:rPr>
              <w:t>Present</w:t>
            </w:r>
          </w:p>
        </w:tc>
      </w:tr>
      <w:tr w:rsidR="0054248C" w14:paraId="5C1D180F" w14:textId="77777777" w:rsidTr="001C494C">
        <w:tc>
          <w:tcPr>
            <w:tcW w:w="2235" w:type="dxa"/>
            <w:vAlign w:val="bottom"/>
          </w:tcPr>
          <w:p w14:paraId="12FF54FF" w14:textId="1471D59A" w:rsidR="0054248C" w:rsidRPr="00702EF2" w:rsidRDefault="0054248C" w:rsidP="00C05DFD">
            <w:pPr>
              <w:rPr>
                <w:rFonts w:eastAsia="Times New Roman"/>
                <w:color w:val="000000"/>
                <w:sz w:val="20"/>
                <w:szCs w:val="20"/>
                <w:lang w:eastAsia="en-GB"/>
              </w:rPr>
            </w:pPr>
            <w:r w:rsidRPr="00702EF2">
              <w:rPr>
                <w:color w:val="000000"/>
                <w:sz w:val="20"/>
                <w:szCs w:val="20"/>
              </w:rPr>
              <w:t>Adrian Blaylock</w:t>
            </w:r>
          </w:p>
        </w:tc>
        <w:tc>
          <w:tcPr>
            <w:tcW w:w="5103" w:type="dxa"/>
            <w:vAlign w:val="bottom"/>
          </w:tcPr>
          <w:p w14:paraId="686C638C" w14:textId="48095970" w:rsidR="0054248C" w:rsidRPr="00CB472D" w:rsidRDefault="0054248C" w:rsidP="00C05DFD">
            <w:pPr>
              <w:rPr>
                <w:rFonts w:eastAsia="Times New Roman"/>
                <w:color w:val="000000"/>
                <w:sz w:val="20"/>
                <w:szCs w:val="20"/>
                <w:lang w:eastAsia="en-GB"/>
              </w:rPr>
            </w:pPr>
            <w:r w:rsidRPr="00CB472D">
              <w:rPr>
                <w:rFonts w:ascii="Calibri" w:hAnsi="Calibri"/>
                <w:color w:val="000000"/>
                <w:sz w:val="20"/>
                <w:szCs w:val="20"/>
              </w:rPr>
              <w:t>Chartered Institute of Public Finance and Accountancy (CIPFA)</w:t>
            </w:r>
          </w:p>
        </w:tc>
        <w:tc>
          <w:tcPr>
            <w:tcW w:w="1904" w:type="dxa"/>
          </w:tcPr>
          <w:p w14:paraId="2133D272" w14:textId="5EE1634A" w:rsidR="0054248C" w:rsidRPr="0054248C" w:rsidRDefault="0054248C" w:rsidP="00C05DFD">
            <w:pPr>
              <w:rPr>
                <w:sz w:val="20"/>
                <w:szCs w:val="20"/>
              </w:rPr>
            </w:pPr>
            <w:r w:rsidRPr="0054248C">
              <w:rPr>
                <w:sz w:val="20"/>
                <w:szCs w:val="20"/>
              </w:rPr>
              <w:t>Present</w:t>
            </w:r>
          </w:p>
        </w:tc>
      </w:tr>
      <w:tr w:rsidR="0054248C" w14:paraId="126391AD" w14:textId="77777777" w:rsidTr="001C494C">
        <w:tc>
          <w:tcPr>
            <w:tcW w:w="2235" w:type="dxa"/>
            <w:vAlign w:val="bottom"/>
          </w:tcPr>
          <w:p w14:paraId="7E84834C" w14:textId="3CC696D8" w:rsidR="0054248C" w:rsidRPr="00702EF2" w:rsidRDefault="0054248C" w:rsidP="00C05DFD">
            <w:pPr>
              <w:rPr>
                <w:rFonts w:eastAsia="Times New Roman"/>
                <w:color w:val="000000"/>
                <w:sz w:val="20"/>
                <w:szCs w:val="20"/>
                <w:lang w:eastAsia="en-GB"/>
              </w:rPr>
            </w:pPr>
            <w:r>
              <w:rPr>
                <w:color w:val="000000"/>
                <w:sz w:val="20"/>
                <w:szCs w:val="20"/>
              </w:rPr>
              <w:t>Dawn Banyan</w:t>
            </w:r>
          </w:p>
        </w:tc>
        <w:tc>
          <w:tcPr>
            <w:tcW w:w="5103" w:type="dxa"/>
            <w:vAlign w:val="bottom"/>
          </w:tcPr>
          <w:p w14:paraId="3CADEAA1" w14:textId="29B90072" w:rsidR="0054248C" w:rsidRPr="00CB472D" w:rsidRDefault="0054248C" w:rsidP="00C05DFD">
            <w:pPr>
              <w:rPr>
                <w:rFonts w:eastAsia="Times New Roman"/>
                <w:color w:val="000000"/>
                <w:sz w:val="20"/>
                <w:szCs w:val="20"/>
                <w:lang w:eastAsia="en-GB"/>
              </w:rPr>
            </w:pPr>
            <w:r w:rsidRPr="00CB472D">
              <w:rPr>
                <w:rFonts w:ascii="Calibri" w:hAnsi="Calibri"/>
                <w:color w:val="000000"/>
                <w:sz w:val="20"/>
                <w:szCs w:val="20"/>
              </w:rPr>
              <w:t>Valuation Office Agency (VOA)</w:t>
            </w:r>
          </w:p>
        </w:tc>
        <w:tc>
          <w:tcPr>
            <w:tcW w:w="1904" w:type="dxa"/>
          </w:tcPr>
          <w:p w14:paraId="770EEB3E" w14:textId="44BEBC67" w:rsidR="0054248C" w:rsidRPr="0054248C" w:rsidRDefault="0054248C" w:rsidP="00C05DFD">
            <w:pPr>
              <w:rPr>
                <w:sz w:val="20"/>
                <w:szCs w:val="20"/>
              </w:rPr>
            </w:pPr>
            <w:r w:rsidRPr="0054248C">
              <w:rPr>
                <w:sz w:val="20"/>
                <w:szCs w:val="20"/>
              </w:rPr>
              <w:t>Present</w:t>
            </w:r>
          </w:p>
        </w:tc>
      </w:tr>
      <w:tr w:rsidR="0054248C" w14:paraId="25D88B38" w14:textId="77777777" w:rsidTr="001C494C">
        <w:tc>
          <w:tcPr>
            <w:tcW w:w="2235" w:type="dxa"/>
            <w:vAlign w:val="bottom"/>
          </w:tcPr>
          <w:p w14:paraId="718DA819" w14:textId="49980549" w:rsidR="0054248C" w:rsidRPr="00702EF2" w:rsidRDefault="0054248C" w:rsidP="00C05DFD">
            <w:pPr>
              <w:rPr>
                <w:rFonts w:eastAsia="Times New Roman"/>
                <w:color w:val="000000"/>
                <w:sz w:val="20"/>
                <w:szCs w:val="20"/>
                <w:lang w:eastAsia="en-GB"/>
              </w:rPr>
            </w:pPr>
            <w:r w:rsidRPr="00702EF2">
              <w:rPr>
                <w:color w:val="000000"/>
                <w:sz w:val="20"/>
                <w:szCs w:val="20"/>
              </w:rPr>
              <w:t>Gordon Heath</w:t>
            </w:r>
          </w:p>
        </w:tc>
        <w:tc>
          <w:tcPr>
            <w:tcW w:w="5103" w:type="dxa"/>
            <w:vAlign w:val="bottom"/>
          </w:tcPr>
          <w:p w14:paraId="6276C93B" w14:textId="3952D853" w:rsidR="0054248C" w:rsidRPr="00CB472D" w:rsidRDefault="0054248C" w:rsidP="00C05DFD">
            <w:pPr>
              <w:rPr>
                <w:rFonts w:eastAsia="Times New Roman"/>
                <w:color w:val="000000"/>
                <w:sz w:val="20"/>
                <w:szCs w:val="20"/>
                <w:lang w:eastAsia="en-GB"/>
              </w:rPr>
            </w:pPr>
            <w:r w:rsidRPr="00CB472D">
              <w:rPr>
                <w:rFonts w:ascii="Calibri" w:hAnsi="Calibri"/>
                <w:color w:val="000000"/>
                <w:sz w:val="20"/>
                <w:szCs w:val="20"/>
              </w:rPr>
              <w:t>Institute of Revenues Rating and Valuation (IRRV)</w:t>
            </w:r>
          </w:p>
        </w:tc>
        <w:tc>
          <w:tcPr>
            <w:tcW w:w="1904" w:type="dxa"/>
          </w:tcPr>
          <w:p w14:paraId="0212C9E8" w14:textId="644E8E96" w:rsidR="0054248C" w:rsidRPr="0054248C" w:rsidRDefault="0054248C" w:rsidP="00C05DFD">
            <w:pPr>
              <w:rPr>
                <w:sz w:val="20"/>
                <w:szCs w:val="20"/>
              </w:rPr>
            </w:pPr>
            <w:r w:rsidRPr="0054248C">
              <w:rPr>
                <w:sz w:val="20"/>
                <w:szCs w:val="20"/>
              </w:rPr>
              <w:t>Present</w:t>
            </w:r>
          </w:p>
        </w:tc>
      </w:tr>
      <w:tr w:rsidR="0054248C" w14:paraId="2646B921" w14:textId="77777777" w:rsidTr="001C494C">
        <w:tc>
          <w:tcPr>
            <w:tcW w:w="2235" w:type="dxa"/>
            <w:vAlign w:val="bottom"/>
          </w:tcPr>
          <w:p w14:paraId="073A719B" w14:textId="680F9A9B" w:rsidR="0054248C" w:rsidRPr="00702EF2" w:rsidRDefault="0054248C" w:rsidP="00C05DFD">
            <w:pPr>
              <w:rPr>
                <w:rFonts w:eastAsia="Times New Roman"/>
                <w:color w:val="000000"/>
                <w:sz w:val="20"/>
                <w:szCs w:val="20"/>
                <w:lang w:eastAsia="en-GB"/>
              </w:rPr>
            </w:pPr>
            <w:r w:rsidRPr="00702EF2">
              <w:rPr>
                <w:color w:val="000000"/>
                <w:sz w:val="20"/>
                <w:szCs w:val="20"/>
              </w:rPr>
              <w:t>Carla-Maria Heath</w:t>
            </w:r>
          </w:p>
        </w:tc>
        <w:tc>
          <w:tcPr>
            <w:tcW w:w="5103" w:type="dxa"/>
            <w:vAlign w:val="bottom"/>
          </w:tcPr>
          <w:p w14:paraId="6824F5B0" w14:textId="3A41C9DC" w:rsidR="0054248C" w:rsidRPr="00CB472D" w:rsidRDefault="0054248C" w:rsidP="00C05DFD">
            <w:pPr>
              <w:rPr>
                <w:rFonts w:eastAsia="Times New Roman"/>
                <w:color w:val="000000"/>
                <w:sz w:val="20"/>
                <w:szCs w:val="20"/>
                <w:lang w:eastAsia="en-GB"/>
              </w:rPr>
            </w:pPr>
            <w:r w:rsidRPr="00CB472D">
              <w:rPr>
                <w:rFonts w:ascii="Calibri" w:hAnsi="Calibri"/>
                <w:color w:val="000000"/>
                <w:sz w:val="20"/>
                <w:szCs w:val="20"/>
              </w:rPr>
              <w:t>Institute of Revenues Rating and Valuation (IRRV)</w:t>
            </w:r>
          </w:p>
        </w:tc>
        <w:tc>
          <w:tcPr>
            <w:tcW w:w="1904" w:type="dxa"/>
          </w:tcPr>
          <w:p w14:paraId="6CF24B7C" w14:textId="34C10229" w:rsidR="0054248C" w:rsidRPr="0054248C" w:rsidRDefault="0054248C" w:rsidP="00C05DFD">
            <w:pPr>
              <w:rPr>
                <w:sz w:val="20"/>
                <w:szCs w:val="20"/>
              </w:rPr>
            </w:pPr>
            <w:r w:rsidRPr="0054248C">
              <w:rPr>
                <w:sz w:val="20"/>
                <w:szCs w:val="20"/>
              </w:rPr>
              <w:t>Present</w:t>
            </w:r>
          </w:p>
        </w:tc>
      </w:tr>
      <w:tr w:rsidR="0054248C" w14:paraId="04ADBEFA" w14:textId="77777777" w:rsidTr="001C494C">
        <w:tc>
          <w:tcPr>
            <w:tcW w:w="2235" w:type="dxa"/>
            <w:vAlign w:val="bottom"/>
          </w:tcPr>
          <w:p w14:paraId="2B693294" w14:textId="39AB2B63" w:rsidR="0054248C" w:rsidRPr="00702EF2" w:rsidRDefault="0054248C" w:rsidP="00C05DFD">
            <w:pPr>
              <w:rPr>
                <w:rFonts w:eastAsia="Times New Roman"/>
                <w:color w:val="000000"/>
                <w:sz w:val="20"/>
                <w:szCs w:val="20"/>
                <w:lang w:eastAsia="en-GB"/>
              </w:rPr>
            </w:pPr>
            <w:r w:rsidRPr="00702EF2">
              <w:rPr>
                <w:color w:val="000000"/>
                <w:sz w:val="20"/>
                <w:szCs w:val="20"/>
              </w:rPr>
              <w:t>Martin Mitchell</w:t>
            </w:r>
          </w:p>
        </w:tc>
        <w:tc>
          <w:tcPr>
            <w:tcW w:w="5103" w:type="dxa"/>
            <w:vAlign w:val="bottom"/>
          </w:tcPr>
          <w:p w14:paraId="7DC627C9" w14:textId="08E9D15F" w:rsidR="0054248C" w:rsidRPr="00CB472D" w:rsidRDefault="0054248C" w:rsidP="00C05DFD">
            <w:pPr>
              <w:rPr>
                <w:rFonts w:eastAsia="Times New Roman"/>
                <w:color w:val="000000"/>
                <w:sz w:val="20"/>
                <w:szCs w:val="20"/>
                <w:lang w:eastAsia="en-GB"/>
              </w:rPr>
            </w:pPr>
            <w:r w:rsidRPr="00CB472D">
              <w:rPr>
                <w:rFonts w:ascii="Calibri" w:hAnsi="Calibri"/>
                <w:color w:val="000000"/>
                <w:sz w:val="20"/>
                <w:szCs w:val="20"/>
              </w:rPr>
              <w:t xml:space="preserve">Greater London Authority </w:t>
            </w:r>
          </w:p>
        </w:tc>
        <w:tc>
          <w:tcPr>
            <w:tcW w:w="1904" w:type="dxa"/>
          </w:tcPr>
          <w:p w14:paraId="35F149EC" w14:textId="6B7CA76C" w:rsidR="0054248C" w:rsidRPr="0054248C" w:rsidRDefault="0054248C" w:rsidP="00C05DFD">
            <w:pPr>
              <w:rPr>
                <w:sz w:val="20"/>
                <w:szCs w:val="20"/>
              </w:rPr>
            </w:pPr>
            <w:r w:rsidRPr="0054248C">
              <w:rPr>
                <w:sz w:val="20"/>
                <w:szCs w:val="20"/>
              </w:rPr>
              <w:t>Present</w:t>
            </w:r>
          </w:p>
        </w:tc>
      </w:tr>
      <w:tr w:rsidR="0054248C" w14:paraId="0FD7A002" w14:textId="77777777" w:rsidTr="001C494C">
        <w:tc>
          <w:tcPr>
            <w:tcW w:w="2235" w:type="dxa"/>
            <w:vAlign w:val="bottom"/>
          </w:tcPr>
          <w:p w14:paraId="51055384" w14:textId="76AC5133" w:rsidR="0054248C" w:rsidRPr="00702EF2" w:rsidRDefault="0054248C" w:rsidP="00C05DFD">
            <w:pPr>
              <w:rPr>
                <w:rFonts w:eastAsia="Times New Roman"/>
                <w:color w:val="000000"/>
                <w:sz w:val="20"/>
                <w:szCs w:val="20"/>
                <w:lang w:eastAsia="en-GB"/>
              </w:rPr>
            </w:pPr>
            <w:proofErr w:type="spellStart"/>
            <w:r w:rsidRPr="00702EF2">
              <w:rPr>
                <w:color w:val="000000"/>
                <w:sz w:val="20"/>
                <w:szCs w:val="20"/>
              </w:rPr>
              <w:t>Cadgas</w:t>
            </w:r>
            <w:proofErr w:type="spellEnd"/>
            <w:r w:rsidRPr="00702EF2">
              <w:rPr>
                <w:color w:val="000000"/>
                <w:sz w:val="20"/>
                <w:szCs w:val="20"/>
              </w:rPr>
              <w:t xml:space="preserve"> </w:t>
            </w:r>
            <w:proofErr w:type="spellStart"/>
            <w:r w:rsidRPr="00702EF2">
              <w:rPr>
                <w:color w:val="000000"/>
                <w:sz w:val="20"/>
                <w:szCs w:val="20"/>
              </w:rPr>
              <w:t>Canbolat</w:t>
            </w:r>
            <w:proofErr w:type="spellEnd"/>
          </w:p>
        </w:tc>
        <w:tc>
          <w:tcPr>
            <w:tcW w:w="5103" w:type="dxa"/>
            <w:vAlign w:val="bottom"/>
          </w:tcPr>
          <w:p w14:paraId="5461DA1A" w14:textId="0D11D1D4" w:rsidR="0054248C" w:rsidRPr="00CB472D" w:rsidRDefault="0054248C" w:rsidP="00C05DFD">
            <w:pPr>
              <w:rPr>
                <w:rFonts w:eastAsia="Times New Roman"/>
                <w:color w:val="000000"/>
                <w:sz w:val="20"/>
                <w:szCs w:val="20"/>
                <w:lang w:eastAsia="en-GB"/>
              </w:rPr>
            </w:pPr>
            <w:r w:rsidRPr="00CB472D">
              <w:rPr>
                <w:rFonts w:ascii="Calibri" w:hAnsi="Calibri"/>
                <w:color w:val="000000"/>
                <w:sz w:val="20"/>
                <w:szCs w:val="20"/>
              </w:rPr>
              <w:t>Collection Fund Network</w:t>
            </w:r>
          </w:p>
        </w:tc>
        <w:tc>
          <w:tcPr>
            <w:tcW w:w="1904" w:type="dxa"/>
          </w:tcPr>
          <w:p w14:paraId="48F8E78B" w14:textId="282FD3D8" w:rsidR="0054248C" w:rsidRPr="0054248C" w:rsidRDefault="0054248C" w:rsidP="00C05DFD">
            <w:pPr>
              <w:rPr>
                <w:sz w:val="20"/>
                <w:szCs w:val="20"/>
              </w:rPr>
            </w:pPr>
            <w:r w:rsidRPr="0054248C">
              <w:rPr>
                <w:sz w:val="20"/>
                <w:szCs w:val="20"/>
              </w:rPr>
              <w:t>Present</w:t>
            </w:r>
          </w:p>
        </w:tc>
      </w:tr>
      <w:tr w:rsidR="00CB472D" w14:paraId="3864809F" w14:textId="77777777" w:rsidTr="001C494C">
        <w:tc>
          <w:tcPr>
            <w:tcW w:w="2235" w:type="dxa"/>
            <w:vAlign w:val="bottom"/>
          </w:tcPr>
          <w:p w14:paraId="01B4F7C1" w14:textId="4BB4025E" w:rsidR="00CB472D" w:rsidRPr="00702EF2" w:rsidRDefault="00CB472D" w:rsidP="00C05DFD">
            <w:pPr>
              <w:rPr>
                <w:rFonts w:eastAsia="Times New Roman"/>
                <w:color w:val="000000"/>
                <w:sz w:val="20"/>
                <w:szCs w:val="20"/>
                <w:lang w:eastAsia="en-GB"/>
              </w:rPr>
            </w:pPr>
            <w:r w:rsidRPr="00702EF2">
              <w:rPr>
                <w:color w:val="000000"/>
                <w:sz w:val="20"/>
                <w:szCs w:val="20"/>
              </w:rPr>
              <w:t>Andrew Moran</w:t>
            </w:r>
          </w:p>
        </w:tc>
        <w:tc>
          <w:tcPr>
            <w:tcW w:w="5103" w:type="dxa"/>
            <w:vAlign w:val="bottom"/>
          </w:tcPr>
          <w:p w14:paraId="1691544C" w14:textId="7FAB5AD9" w:rsidR="00CB472D" w:rsidRPr="00CB472D" w:rsidRDefault="00CB472D" w:rsidP="00C05DFD">
            <w:pPr>
              <w:rPr>
                <w:rFonts w:eastAsia="Times New Roman"/>
                <w:color w:val="000000"/>
                <w:sz w:val="20"/>
                <w:szCs w:val="20"/>
                <w:lang w:eastAsia="en-GB"/>
              </w:rPr>
            </w:pPr>
            <w:r w:rsidRPr="00CB472D">
              <w:rPr>
                <w:rFonts w:ascii="Calibri" w:hAnsi="Calibri"/>
                <w:color w:val="000000"/>
                <w:sz w:val="20"/>
                <w:szCs w:val="20"/>
              </w:rPr>
              <w:t>Greater Manchester Combined Authority</w:t>
            </w:r>
          </w:p>
        </w:tc>
        <w:tc>
          <w:tcPr>
            <w:tcW w:w="1904" w:type="dxa"/>
          </w:tcPr>
          <w:p w14:paraId="605BAF64" w14:textId="77777777" w:rsidR="00CB472D" w:rsidRPr="00AB116F" w:rsidRDefault="00CB472D" w:rsidP="00C05DFD">
            <w:pPr>
              <w:rPr>
                <w:sz w:val="20"/>
                <w:szCs w:val="20"/>
              </w:rPr>
            </w:pPr>
          </w:p>
        </w:tc>
      </w:tr>
      <w:tr w:rsidR="00C24645" w14:paraId="6DE3FDD8" w14:textId="77777777" w:rsidTr="001C494C">
        <w:tc>
          <w:tcPr>
            <w:tcW w:w="2235" w:type="dxa"/>
            <w:vAlign w:val="bottom"/>
          </w:tcPr>
          <w:p w14:paraId="38BD3941" w14:textId="39819D2A" w:rsidR="00C24645" w:rsidRPr="00702EF2" w:rsidRDefault="00C24645" w:rsidP="00C05DFD">
            <w:pPr>
              <w:rPr>
                <w:color w:val="000000"/>
                <w:sz w:val="20"/>
                <w:szCs w:val="20"/>
              </w:rPr>
            </w:pPr>
            <w:r w:rsidRPr="00C24645">
              <w:rPr>
                <w:color w:val="000000"/>
                <w:sz w:val="20"/>
                <w:szCs w:val="20"/>
              </w:rPr>
              <w:t xml:space="preserve">Geoffrey </w:t>
            </w:r>
            <w:proofErr w:type="spellStart"/>
            <w:r w:rsidRPr="00C24645">
              <w:rPr>
                <w:color w:val="000000"/>
                <w:sz w:val="20"/>
                <w:szCs w:val="20"/>
              </w:rPr>
              <w:t>Winterbottom</w:t>
            </w:r>
            <w:proofErr w:type="spellEnd"/>
          </w:p>
        </w:tc>
        <w:tc>
          <w:tcPr>
            <w:tcW w:w="5103" w:type="dxa"/>
            <w:vAlign w:val="bottom"/>
          </w:tcPr>
          <w:p w14:paraId="4E4A3539" w14:textId="0F5AE903" w:rsidR="00C24645" w:rsidRPr="00CB472D" w:rsidRDefault="00C24645" w:rsidP="00C05DFD">
            <w:pPr>
              <w:rPr>
                <w:rFonts w:ascii="Calibri" w:hAnsi="Calibri"/>
                <w:color w:val="000000"/>
                <w:sz w:val="20"/>
                <w:szCs w:val="20"/>
              </w:rPr>
            </w:pPr>
            <w:r w:rsidRPr="00C24645">
              <w:rPr>
                <w:rFonts w:ascii="Calibri" w:hAnsi="Calibri"/>
                <w:color w:val="000000"/>
                <w:sz w:val="20"/>
                <w:szCs w:val="20"/>
              </w:rPr>
              <w:t>Special Interest Group of Municipal Authorities (SIGOMA)</w:t>
            </w:r>
          </w:p>
        </w:tc>
        <w:tc>
          <w:tcPr>
            <w:tcW w:w="1904" w:type="dxa"/>
          </w:tcPr>
          <w:p w14:paraId="0FE8B7E8" w14:textId="346A2117" w:rsidR="00C24645" w:rsidRPr="00AB116F" w:rsidRDefault="00C24645" w:rsidP="00C05DFD">
            <w:pPr>
              <w:rPr>
                <w:sz w:val="20"/>
                <w:szCs w:val="20"/>
              </w:rPr>
            </w:pPr>
            <w:r w:rsidRPr="00702EF2">
              <w:rPr>
                <w:sz w:val="20"/>
                <w:szCs w:val="20"/>
              </w:rPr>
              <w:t>Present</w:t>
            </w:r>
            <w:r w:rsidR="00122BC9">
              <w:rPr>
                <w:sz w:val="20"/>
                <w:szCs w:val="20"/>
              </w:rPr>
              <w:t>/Dialled in</w:t>
            </w:r>
          </w:p>
        </w:tc>
      </w:tr>
      <w:tr w:rsidR="00702EF2" w14:paraId="4067A47A" w14:textId="77777777" w:rsidTr="001C494C">
        <w:tc>
          <w:tcPr>
            <w:tcW w:w="2235" w:type="dxa"/>
          </w:tcPr>
          <w:p w14:paraId="6155F5BE" w14:textId="7F23EF1F" w:rsidR="00702EF2" w:rsidRPr="00702EF2" w:rsidRDefault="00702EF2" w:rsidP="00C05DFD">
            <w:pPr>
              <w:rPr>
                <w:sz w:val="20"/>
                <w:szCs w:val="20"/>
              </w:rPr>
            </w:pPr>
            <w:r w:rsidRPr="00702EF2">
              <w:rPr>
                <w:sz w:val="20"/>
                <w:szCs w:val="20"/>
              </w:rPr>
              <w:t>Leon Clement</w:t>
            </w:r>
          </w:p>
        </w:tc>
        <w:tc>
          <w:tcPr>
            <w:tcW w:w="5103" w:type="dxa"/>
          </w:tcPr>
          <w:p w14:paraId="39C15C08" w14:textId="4A768C4A" w:rsidR="00702EF2" w:rsidRPr="00702EF2" w:rsidRDefault="001C494C" w:rsidP="00C05DFD">
            <w:pPr>
              <w:rPr>
                <w:sz w:val="20"/>
                <w:szCs w:val="20"/>
              </w:rPr>
            </w:pPr>
            <w:r>
              <w:rPr>
                <w:sz w:val="20"/>
                <w:szCs w:val="20"/>
              </w:rPr>
              <w:t>MHCLG</w:t>
            </w:r>
          </w:p>
        </w:tc>
        <w:tc>
          <w:tcPr>
            <w:tcW w:w="1904" w:type="dxa"/>
          </w:tcPr>
          <w:p w14:paraId="49F468DC" w14:textId="5FF486A5" w:rsidR="00702EF2" w:rsidRPr="00702EF2" w:rsidRDefault="00702EF2" w:rsidP="00C05DFD">
            <w:pPr>
              <w:rPr>
                <w:sz w:val="20"/>
                <w:szCs w:val="20"/>
              </w:rPr>
            </w:pPr>
            <w:r w:rsidRPr="00702EF2">
              <w:rPr>
                <w:sz w:val="20"/>
                <w:szCs w:val="20"/>
              </w:rPr>
              <w:t>Present</w:t>
            </w:r>
          </w:p>
        </w:tc>
      </w:tr>
      <w:tr w:rsidR="00702EF2" w14:paraId="797E99A9" w14:textId="77777777" w:rsidTr="001C494C">
        <w:tc>
          <w:tcPr>
            <w:tcW w:w="2235" w:type="dxa"/>
          </w:tcPr>
          <w:p w14:paraId="631DAD04" w14:textId="209961EA" w:rsidR="00702EF2" w:rsidRPr="00702EF2" w:rsidRDefault="00702EF2" w:rsidP="00C05DFD">
            <w:pPr>
              <w:rPr>
                <w:sz w:val="20"/>
                <w:szCs w:val="20"/>
              </w:rPr>
            </w:pPr>
            <w:r w:rsidRPr="00702EF2">
              <w:rPr>
                <w:sz w:val="20"/>
                <w:szCs w:val="20"/>
              </w:rPr>
              <w:t>Aimee Powell</w:t>
            </w:r>
          </w:p>
        </w:tc>
        <w:tc>
          <w:tcPr>
            <w:tcW w:w="5103" w:type="dxa"/>
          </w:tcPr>
          <w:p w14:paraId="04836459" w14:textId="40F0D005" w:rsidR="00702EF2" w:rsidRPr="00702EF2" w:rsidRDefault="001C494C" w:rsidP="00C05DFD">
            <w:pPr>
              <w:rPr>
                <w:sz w:val="20"/>
                <w:szCs w:val="20"/>
              </w:rPr>
            </w:pPr>
            <w:r>
              <w:rPr>
                <w:sz w:val="20"/>
                <w:szCs w:val="20"/>
              </w:rPr>
              <w:t>MHCLG</w:t>
            </w:r>
          </w:p>
        </w:tc>
        <w:tc>
          <w:tcPr>
            <w:tcW w:w="1904" w:type="dxa"/>
          </w:tcPr>
          <w:p w14:paraId="3FAD6168" w14:textId="42DE5C28" w:rsidR="00702EF2" w:rsidRPr="00702EF2" w:rsidRDefault="00702EF2" w:rsidP="00C05DFD">
            <w:pPr>
              <w:rPr>
                <w:sz w:val="20"/>
                <w:szCs w:val="20"/>
              </w:rPr>
            </w:pPr>
            <w:r w:rsidRPr="00702EF2">
              <w:rPr>
                <w:sz w:val="20"/>
                <w:szCs w:val="20"/>
              </w:rPr>
              <w:t>Present</w:t>
            </w:r>
          </w:p>
        </w:tc>
      </w:tr>
      <w:tr w:rsidR="00702EF2" w14:paraId="74E4C70A" w14:textId="77777777" w:rsidTr="001C494C">
        <w:tc>
          <w:tcPr>
            <w:tcW w:w="2235" w:type="dxa"/>
          </w:tcPr>
          <w:p w14:paraId="08D9E228" w14:textId="374E05D5" w:rsidR="00702EF2" w:rsidRPr="00702EF2" w:rsidRDefault="00702EF2" w:rsidP="00C05DFD">
            <w:pPr>
              <w:rPr>
                <w:sz w:val="20"/>
                <w:szCs w:val="20"/>
              </w:rPr>
            </w:pPr>
            <w:r w:rsidRPr="00702EF2">
              <w:rPr>
                <w:sz w:val="20"/>
                <w:szCs w:val="20"/>
              </w:rPr>
              <w:t>Sohul Ahmed</w:t>
            </w:r>
          </w:p>
        </w:tc>
        <w:tc>
          <w:tcPr>
            <w:tcW w:w="5103" w:type="dxa"/>
          </w:tcPr>
          <w:p w14:paraId="29C5D274" w14:textId="71692130" w:rsidR="00702EF2" w:rsidRPr="00702EF2" w:rsidRDefault="001C494C" w:rsidP="00C05DFD">
            <w:pPr>
              <w:rPr>
                <w:sz w:val="20"/>
                <w:szCs w:val="20"/>
              </w:rPr>
            </w:pPr>
            <w:r>
              <w:rPr>
                <w:sz w:val="20"/>
                <w:szCs w:val="20"/>
              </w:rPr>
              <w:t>MHCLG</w:t>
            </w:r>
          </w:p>
        </w:tc>
        <w:tc>
          <w:tcPr>
            <w:tcW w:w="1904" w:type="dxa"/>
          </w:tcPr>
          <w:p w14:paraId="25276F47" w14:textId="678239CE" w:rsidR="00702EF2" w:rsidRPr="00702EF2" w:rsidRDefault="00702EF2" w:rsidP="00C05DFD">
            <w:pPr>
              <w:rPr>
                <w:sz w:val="20"/>
                <w:szCs w:val="20"/>
              </w:rPr>
            </w:pPr>
            <w:r w:rsidRPr="00702EF2">
              <w:rPr>
                <w:sz w:val="20"/>
                <w:szCs w:val="20"/>
              </w:rPr>
              <w:t>Present</w:t>
            </w:r>
          </w:p>
        </w:tc>
      </w:tr>
      <w:tr w:rsidR="00702EF2" w14:paraId="63E821B9" w14:textId="77777777" w:rsidTr="001C494C">
        <w:tc>
          <w:tcPr>
            <w:tcW w:w="2235" w:type="dxa"/>
          </w:tcPr>
          <w:p w14:paraId="07B4B915" w14:textId="378D3456" w:rsidR="00702EF2" w:rsidRPr="00702EF2" w:rsidRDefault="00702EF2" w:rsidP="00C05DFD">
            <w:pPr>
              <w:rPr>
                <w:sz w:val="20"/>
                <w:szCs w:val="20"/>
              </w:rPr>
            </w:pPr>
            <w:r w:rsidRPr="00702EF2">
              <w:rPr>
                <w:sz w:val="20"/>
                <w:szCs w:val="20"/>
              </w:rPr>
              <w:t>Nick Dorgu</w:t>
            </w:r>
          </w:p>
        </w:tc>
        <w:tc>
          <w:tcPr>
            <w:tcW w:w="5103" w:type="dxa"/>
          </w:tcPr>
          <w:p w14:paraId="3B2D0411" w14:textId="692B1251" w:rsidR="00702EF2" w:rsidRPr="00702EF2" w:rsidRDefault="001C494C" w:rsidP="00C05DFD">
            <w:pPr>
              <w:rPr>
                <w:sz w:val="20"/>
                <w:szCs w:val="20"/>
              </w:rPr>
            </w:pPr>
            <w:r>
              <w:rPr>
                <w:sz w:val="20"/>
                <w:szCs w:val="20"/>
              </w:rPr>
              <w:t>MHCLG</w:t>
            </w:r>
          </w:p>
        </w:tc>
        <w:tc>
          <w:tcPr>
            <w:tcW w:w="1904" w:type="dxa"/>
          </w:tcPr>
          <w:p w14:paraId="4901C4CF" w14:textId="09F0746C" w:rsidR="00702EF2" w:rsidRPr="00702EF2" w:rsidRDefault="00702EF2" w:rsidP="00C05DFD">
            <w:pPr>
              <w:rPr>
                <w:sz w:val="20"/>
                <w:szCs w:val="20"/>
              </w:rPr>
            </w:pPr>
            <w:r w:rsidRPr="00702EF2">
              <w:rPr>
                <w:sz w:val="20"/>
                <w:szCs w:val="20"/>
              </w:rPr>
              <w:t>Present</w:t>
            </w:r>
          </w:p>
        </w:tc>
      </w:tr>
      <w:tr w:rsidR="0054248C" w14:paraId="335B1299" w14:textId="77777777" w:rsidTr="001C494C">
        <w:tc>
          <w:tcPr>
            <w:tcW w:w="2235" w:type="dxa"/>
          </w:tcPr>
          <w:p w14:paraId="11313C8C" w14:textId="4E493EE8" w:rsidR="0054248C" w:rsidRPr="00702EF2" w:rsidRDefault="0054248C" w:rsidP="00C05DFD">
            <w:pPr>
              <w:rPr>
                <w:sz w:val="20"/>
                <w:szCs w:val="20"/>
              </w:rPr>
            </w:pPr>
            <w:r w:rsidRPr="0054248C">
              <w:rPr>
                <w:sz w:val="20"/>
                <w:szCs w:val="20"/>
              </w:rPr>
              <w:t>Michael Furness</w:t>
            </w:r>
          </w:p>
        </w:tc>
        <w:tc>
          <w:tcPr>
            <w:tcW w:w="5103" w:type="dxa"/>
          </w:tcPr>
          <w:p w14:paraId="28EC74B8" w14:textId="1CDD97BC" w:rsidR="0054248C" w:rsidRPr="00702EF2" w:rsidRDefault="0054248C" w:rsidP="00C05DFD">
            <w:pPr>
              <w:rPr>
                <w:sz w:val="20"/>
                <w:szCs w:val="20"/>
              </w:rPr>
            </w:pPr>
            <w:r w:rsidRPr="0054248C">
              <w:rPr>
                <w:sz w:val="20"/>
                <w:szCs w:val="20"/>
              </w:rPr>
              <w:t>Birmingham City Council</w:t>
            </w:r>
          </w:p>
        </w:tc>
        <w:tc>
          <w:tcPr>
            <w:tcW w:w="1904" w:type="dxa"/>
          </w:tcPr>
          <w:p w14:paraId="1246709E" w14:textId="27E72933" w:rsidR="0054248C" w:rsidRPr="00702EF2" w:rsidRDefault="0054248C" w:rsidP="00C05DFD">
            <w:pPr>
              <w:rPr>
                <w:sz w:val="20"/>
                <w:szCs w:val="20"/>
              </w:rPr>
            </w:pPr>
            <w:r w:rsidRPr="0054248C">
              <w:rPr>
                <w:sz w:val="20"/>
                <w:szCs w:val="20"/>
              </w:rPr>
              <w:t>Apologies</w:t>
            </w:r>
          </w:p>
        </w:tc>
      </w:tr>
      <w:tr w:rsidR="0054248C" w14:paraId="2C6626DD" w14:textId="77777777" w:rsidTr="001C494C">
        <w:tc>
          <w:tcPr>
            <w:tcW w:w="2235" w:type="dxa"/>
          </w:tcPr>
          <w:p w14:paraId="434347B8" w14:textId="7AFB0FC7" w:rsidR="0054248C" w:rsidRPr="0054248C" w:rsidRDefault="0054248C" w:rsidP="00C05DFD">
            <w:pPr>
              <w:rPr>
                <w:sz w:val="20"/>
                <w:szCs w:val="20"/>
              </w:rPr>
            </w:pPr>
            <w:r w:rsidRPr="0054248C">
              <w:rPr>
                <w:sz w:val="20"/>
                <w:szCs w:val="20"/>
              </w:rPr>
              <w:t xml:space="preserve">Paul </w:t>
            </w:r>
            <w:proofErr w:type="spellStart"/>
            <w:r w:rsidRPr="0054248C">
              <w:rPr>
                <w:sz w:val="20"/>
                <w:szCs w:val="20"/>
              </w:rPr>
              <w:t>Wildsmith</w:t>
            </w:r>
            <w:proofErr w:type="spellEnd"/>
          </w:p>
        </w:tc>
        <w:tc>
          <w:tcPr>
            <w:tcW w:w="5103" w:type="dxa"/>
            <w:vAlign w:val="bottom"/>
          </w:tcPr>
          <w:p w14:paraId="07232AF3" w14:textId="6D995EAB" w:rsidR="0054248C" w:rsidRPr="0054248C" w:rsidRDefault="0054248C" w:rsidP="00C05DFD">
            <w:pPr>
              <w:rPr>
                <w:sz w:val="20"/>
                <w:szCs w:val="20"/>
              </w:rPr>
            </w:pPr>
            <w:r w:rsidRPr="0054248C">
              <w:rPr>
                <w:rFonts w:ascii="Calibri" w:hAnsi="Calibri"/>
                <w:color w:val="000000"/>
                <w:sz w:val="20"/>
                <w:szCs w:val="20"/>
              </w:rPr>
              <w:t>Society of Municipal Treasurers (SMT) - ALATS</w:t>
            </w:r>
          </w:p>
        </w:tc>
        <w:tc>
          <w:tcPr>
            <w:tcW w:w="1904" w:type="dxa"/>
          </w:tcPr>
          <w:p w14:paraId="6B335C3B" w14:textId="113D346F" w:rsidR="0054248C" w:rsidRPr="0054248C" w:rsidRDefault="0054248C" w:rsidP="00C05DFD">
            <w:pPr>
              <w:rPr>
                <w:sz w:val="20"/>
                <w:szCs w:val="20"/>
              </w:rPr>
            </w:pPr>
            <w:r w:rsidRPr="00A475E7">
              <w:rPr>
                <w:sz w:val="20"/>
                <w:szCs w:val="20"/>
              </w:rPr>
              <w:t>Apologies</w:t>
            </w:r>
          </w:p>
        </w:tc>
      </w:tr>
      <w:tr w:rsidR="0054248C" w14:paraId="2DBBF811" w14:textId="77777777" w:rsidTr="001C494C">
        <w:tc>
          <w:tcPr>
            <w:tcW w:w="2235" w:type="dxa"/>
          </w:tcPr>
          <w:p w14:paraId="5ABDA226" w14:textId="0C993098" w:rsidR="0054248C" w:rsidRPr="0054248C" w:rsidRDefault="0054248C" w:rsidP="00C05DFD">
            <w:pPr>
              <w:rPr>
                <w:sz w:val="20"/>
                <w:szCs w:val="20"/>
              </w:rPr>
            </w:pPr>
            <w:r w:rsidRPr="0054248C">
              <w:rPr>
                <w:sz w:val="20"/>
                <w:szCs w:val="20"/>
              </w:rPr>
              <w:t>Carolyn Williamson</w:t>
            </w:r>
          </w:p>
        </w:tc>
        <w:tc>
          <w:tcPr>
            <w:tcW w:w="5103" w:type="dxa"/>
            <w:vAlign w:val="bottom"/>
          </w:tcPr>
          <w:p w14:paraId="38026485" w14:textId="2FD1AA3A" w:rsidR="0054248C" w:rsidRPr="0054248C" w:rsidRDefault="0054248C" w:rsidP="00C05DFD">
            <w:pPr>
              <w:rPr>
                <w:sz w:val="20"/>
                <w:szCs w:val="20"/>
              </w:rPr>
            </w:pPr>
            <w:r w:rsidRPr="0054248C">
              <w:rPr>
                <w:rFonts w:ascii="Calibri" w:hAnsi="Calibri"/>
                <w:color w:val="000000"/>
                <w:sz w:val="20"/>
                <w:szCs w:val="20"/>
              </w:rPr>
              <w:t>Society of County Treasurers (SCT) - ALATS</w:t>
            </w:r>
          </w:p>
        </w:tc>
        <w:tc>
          <w:tcPr>
            <w:tcW w:w="1904" w:type="dxa"/>
          </w:tcPr>
          <w:p w14:paraId="4ED71E8D" w14:textId="74114A6E" w:rsidR="0054248C" w:rsidRPr="0054248C" w:rsidRDefault="0054248C" w:rsidP="00C05DFD">
            <w:pPr>
              <w:rPr>
                <w:sz w:val="20"/>
                <w:szCs w:val="20"/>
              </w:rPr>
            </w:pPr>
            <w:r w:rsidRPr="00A475E7">
              <w:rPr>
                <w:sz w:val="20"/>
                <w:szCs w:val="20"/>
              </w:rPr>
              <w:t>Apologies</w:t>
            </w:r>
          </w:p>
        </w:tc>
      </w:tr>
      <w:tr w:rsidR="0054248C" w14:paraId="33E64351" w14:textId="77777777" w:rsidTr="001C494C">
        <w:tc>
          <w:tcPr>
            <w:tcW w:w="2235" w:type="dxa"/>
          </w:tcPr>
          <w:p w14:paraId="2B26C31E" w14:textId="6BE9EEE3" w:rsidR="0054248C" w:rsidRPr="0054248C" w:rsidRDefault="0054248C" w:rsidP="00C05DFD">
            <w:pPr>
              <w:rPr>
                <w:sz w:val="20"/>
                <w:szCs w:val="20"/>
              </w:rPr>
            </w:pPr>
            <w:r w:rsidRPr="0054248C">
              <w:rPr>
                <w:sz w:val="20"/>
                <w:szCs w:val="20"/>
              </w:rPr>
              <w:t>Mike Thomas</w:t>
            </w:r>
          </w:p>
        </w:tc>
        <w:tc>
          <w:tcPr>
            <w:tcW w:w="5103" w:type="dxa"/>
            <w:vAlign w:val="bottom"/>
          </w:tcPr>
          <w:p w14:paraId="09182CF8" w14:textId="197C4053" w:rsidR="0054248C" w:rsidRPr="0054248C" w:rsidRDefault="0054248C" w:rsidP="00C05DFD">
            <w:pPr>
              <w:rPr>
                <w:sz w:val="20"/>
                <w:szCs w:val="20"/>
              </w:rPr>
            </w:pPr>
            <w:r w:rsidRPr="0054248C">
              <w:rPr>
                <w:rFonts w:ascii="Calibri" w:hAnsi="Calibri"/>
                <w:color w:val="000000"/>
                <w:sz w:val="20"/>
                <w:szCs w:val="20"/>
              </w:rPr>
              <w:t>Sheffield City Council</w:t>
            </w:r>
          </w:p>
        </w:tc>
        <w:tc>
          <w:tcPr>
            <w:tcW w:w="1904" w:type="dxa"/>
          </w:tcPr>
          <w:p w14:paraId="7F81DC1D" w14:textId="5661626F" w:rsidR="0054248C" w:rsidRPr="0054248C" w:rsidRDefault="0054248C" w:rsidP="00C05DFD">
            <w:pPr>
              <w:rPr>
                <w:sz w:val="20"/>
                <w:szCs w:val="20"/>
              </w:rPr>
            </w:pPr>
            <w:r w:rsidRPr="00A475E7">
              <w:rPr>
                <w:sz w:val="20"/>
                <w:szCs w:val="20"/>
              </w:rPr>
              <w:t>Apologies</w:t>
            </w:r>
          </w:p>
        </w:tc>
      </w:tr>
      <w:tr w:rsidR="0054248C" w14:paraId="3C604E5F" w14:textId="77777777" w:rsidTr="001C494C">
        <w:tc>
          <w:tcPr>
            <w:tcW w:w="2235" w:type="dxa"/>
          </w:tcPr>
          <w:p w14:paraId="552A7BFD" w14:textId="087E7919" w:rsidR="0054248C" w:rsidRPr="0054248C" w:rsidRDefault="0054248C" w:rsidP="00C05DFD">
            <w:pPr>
              <w:rPr>
                <w:sz w:val="20"/>
                <w:szCs w:val="20"/>
              </w:rPr>
            </w:pPr>
            <w:r w:rsidRPr="0054248C">
              <w:rPr>
                <w:sz w:val="20"/>
                <w:szCs w:val="20"/>
              </w:rPr>
              <w:t>Alan Peach</w:t>
            </w:r>
          </w:p>
        </w:tc>
        <w:tc>
          <w:tcPr>
            <w:tcW w:w="5103" w:type="dxa"/>
            <w:vAlign w:val="bottom"/>
          </w:tcPr>
          <w:p w14:paraId="59E36CC1" w14:textId="4EBC6E0B" w:rsidR="0054248C" w:rsidRPr="0054248C" w:rsidRDefault="0054248C" w:rsidP="00C05DFD">
            <w:pPr>
              <w:rPr>
                <w:sz w:val="20"/>
                <w:szCs w:val="20"/>
              </w:rPr>
            </w:pPr>
            <w:r w:rsidRPr="0054248C">
              <w:rPr>
                <w:rFonts w:ascii="Calibri" w:hAnsi="Calibri"/>
                <w:color w:val="000000"/>
                <w:sz w:val="20"/>
                <w:szCs w:val="20"/>
              </w:rPr>
              <w:t>Society of District Council Treasurers (SDCT) - ALATS</w:t>
            </w:r>
          </w:p>
        </w:tc>
        <w:tc>
          <w:tcPr>
            <w:tcW w:w="1904" w:type="dxa"/>
          </w:tcPr>
          <w:p w14:paraId="04D00BC6" w14:textId="710A1B8E" w:rsidR="0054248C" w:rsidRPr="0054248C" w:rsidRDefault="0054248C" w:rsidP="00C05DFD">
            <w:pPr>
              <w:rPr>
                <w:sz w:val="20"/>
                <w:szCs w:val="20"/>
              </w:rPr>
            </w:pPr>
            <w:r w:rsidRPr="00A475E7">
              <w:rPr>
                <w:sz w:val="20"/>
                <w:szCs w:val="20"/>
              </w:rPr>
              <w:t>Apologies</w:t>
            </w:r>
          </w:p>
        </w:tc>
      </w:tr>
    </w:tbl>
    <w:p w14:paraId="4522739F" w14:textId="77777777" w:rsidR="00C05DFD" w:rsidRDefault="00C05DFD" w:rsidP="00C05DFD">
      <w:pPr>
        <w:rPr>
          <w:b/>
          <w:color w:val="FF0000"/>
        </w:rPr>
      </w:pPr>
    </w:p>
    <w:p w14:paraId="3BEFCCA2" w14:textId="77777777" w:rsidR="00C05DFD" w:rsidRPr="00301054" w:rsidRDefault="00C05DFD" w:rsidP="00B95415">
      <w:pPr>
        <w:contextualSpacing/>
        <w:rPr>
          <w:b/>
          <w:color w:val="FF0000"/>
        </w:rPr>
      </w:pPr>
    </w:p>
    <w:sectPr w:rsidR="00C05DFD" w:rsidRPr="0030105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278FB" w14:textId="77777777" w:rsidR="00F36166" w:rsidRDefault="00F36166" w:rsidP="00056850">
      <w:pPr>
        <w:spacing w:after="0" w:line="240" w:lineRule="auto"/>
      </w:pPr>
      <w:r>
        <w:separator/>
      </w:r>
    </w:p>
  </w:endnote>
  <w:endnote w:type="continuationSeparator" w:id="0">
    <w:p w14:paraId="41AD2CFA" w14:textId="77777777" w:rsidR="00F36166" w:rsidRDefault="00F36166"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B733" w14:textId="77777777" w:rsidR="009615EE" w:rsidRDefault="00961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289083"/>
      <w:docPartObj>
        <w:docPartGallery w:val="Page Numbers (Bottom of Page)"/>
        <w:docPartUnique/>
      </w:docPartObj>
    </w:sdtPr>
    <w:sdtEndPr>
      <w:rPr>
        <w:noProof/>
      </w:rPr>
    </w:sdtEndPr>
    <w:sdtContent>
      <w:p w14:paraId="3B276E3B" w14:textId="4AC31618" w:rsidR="00DA302A" w:rsidRDefault="00DA302A">
        <w:pPr>
          <w:pStyle w:val="Footer"/>
          <w:jc w:val="center"/>
        </w:pPr>
        <w:r>
          <w:fldChar w:fldCharType="begin"/>
        </w:r>
        <w:r>
          <w:instrText xml:space="preserve"> PAGE   \* MERGEFORMAT </w:instrText>
        </w:r>
        <w:r>
          <w:fldChar w:fldCharType="separate"/>
        </w:r>
        <w:r w:rsidR="002F31E2">
          <w:rPr>
            <w:noProof/>
          </w:rPr>
          <w:t>2</w:t>
        </w:r>
        <w:r>
          <w:rPr>
            <w:noProof/>
          </w:rPr>
          <w:fldChar w:fldCharType="end"/>
        </w:r>
      </w:p>
    </w:sdtContent>
  </w:sdt>
  <w:p w14:paraId="16FF2ABE" w14:textId="77777777" w:rsidR="00704637" w:rsidRDefault="00704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E3259" w14:textId="77777777" w:rsidR="009615EE" w:rsidRDefault="00961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191C0" w14:textId="77777777" w:rsidR="00F36166" w:rsidRDefault="00F36166" w:rsidP="00056850">
      <w:pPr>
        <w:spacing w:after="0" w:line="240" w:lineRule="auto"/>
      </w:pPr>
      <w:r>
        <w:separator/>
      </w:r>
    </w:p>
  </w:footnote>
  <w:footnote w:type="continuationSeparator" w:id="0">
    <w:p w14:paraId="03B6C90B" w14:textId="77777777" w:rsidR="00F36166" w:rsidRDefault="00F36166"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8359C" w14:textId="52062838" w:rsidR="00977B3F" w:rsidRDefault="002D3266">
    <w:pPr>
      <w:pStyle w:val="Header"/>
    </w:pPr>
    <w:r>
      <w:rPr>
        <w:noProof/>
      </w:rPr>
      <w:pict w14:anchorId="2190F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49525" o:spid="_x0000_s2053" type="#_x0000_t136" style="position:absolute;margin-left:0;margin-top:0;width:603.55pt;height:32.6pt;rotation:315;z-index:-251655168;mso-position-horizontal:center;mso-position-horizontal-relative:margin;mso-position-vertical:center;mso-position-vertical-relative:margin" o:allowincell="f" fillcolor="silver" stroked="f">
          <v:fill opacity=".5"/>
          <v:textpath style="font-family:&quot;Arial&quot;;font-size:1pt" string="Not a statement of Government polic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60A3" w14:textId="35518242" w:rsidR="00977B3F" w:rsidRDefault="002D3266">
    <w:pPr>
      <w:pStyle w:val="Header"/>
    </w:pPr>
    <w:r>
      <w:rPr>
        <w:noProof/>
      </w:rPr>
      <w:pict w14:anchorId="2CCC5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49526" o:spid="_x0000_s2054" type="#_x0000_t136" style="position:absolute;margin-left:0;margin-top:0;width:603.55pt;height:32.6pt;rotation:315;z-index:-251653120;mso-position-horizontal:center;mso-position-horizontal-relative:margin;mso-position-vertical:center;mso-position-vertical-relative:margin" o:allowincell="f" fillcolor="silver" stroked="f">
          <v:fill opacity=".5"/>
          <v:textpath style="font-family:&quot;Arial&quot;;font-size:1pt" string="Not a statement of Government polic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1D21" w14:textId="71B02A1D" w:rsidR="00977B3F" w:rsidRDefault="002D3266">
    <w:pPr>
      <w:pStyle w:val="Header"/>
    </w:pPr>
    <w:r>
      <w:rPr>
        <w:noProof/>
      </w:rPr>
      <w:pict w14:anchorId="3ECA4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49524" o:spid="_x0000_s2052" type="#_x0000_t136" style="position:absolute;margin-left:0;margin-top:0;width:603.55pt;height:32.6pt;rotation:315;z-index:-251657216;mso-position-horizontal:center;mso-position-horizontal-relative:margin;mso-position-vertical:center;mso-position-vertical-relative:margin" o:allowincell="f" fillcolor="silver" stroked="f">
          <v:fill opacity=".5"/>
          <v:textpath style="font-family:&quot;Arial&quot;;font-size:1pt" string="Not a statement of Government polic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F0D"/>
    <w:multiLevelType w:val="multilevel"/>
    <w:tmpl w:val="572CC4D0"/>
    <w:lvl w:ilvl="0">
      <w:start w:val="2"/>
      <w:numFmt w:val="decimal"/>
      <w:lvlText w:val="%1"/>
      <w:lvlJc w:val="left"/>
      <w:pPr>
        <w:ind w:left="360" w:hanging="360"/>
      </w:pPr>
      <w:rPr>
        <w:rFonts w:eastAsia="Times New Roman" w:hint="default"/>
        <w:color w:val="1F497D"/>
      </w:rPr>
    </w:lvl>
    <w:lvl w:ilvl="1">
      <w:start w:val="1"/>
      <w:numFmt w:val="decimal"/>
      <w:lvlText w:val="%1.%2"/>
      <w:lvlJc w:val="left"/>
      <w:pPr>
        <w:ind w:left="786" w:hanging="360"/>
      </w:pPr>
      <w:rPr>
        <w:rFonts w:eastAsia="Times New Roman" w:hint="default"/>
        <w:color w:val="auto"/>
      </w:rPr>
    </w:lvl>
    <w:lvl w:ilvl="2">
      <w:start w:val="1"/>
      <w:numFmt w:val="decimal"/>
      <w:lvlText w:val="%1.%2.%3"/>
      <w:lvlJc w:val="left"/>
      <w:pPr>
        <w:ind w:left="1572" w:hanging="720"/>
      </w:pPr>
      <w:rPr>
        <w:rFonts w:eastAsia="Times New Roman" w:hint="default"/>
        <w:color w:val="1F497D"/>
      </w:rPr>
    </w:lvl>
    <w:lvl w:ilvl="3">
      <w:start w:val="1"/>
      <w:numFmt w:val="decimal"/>
      <w:lvlText w:val="%1.%2.%3.%4"/>
      <w:lvlJc w:val="left"/>
      <w:pPr>
        <w:ind w:left="1998" w:hanging="720"/>
      </w:pPr>
      <w:rPr>
        <w:rFonts w:eastAsia="Times New Roman" w:hint="default"/>
        <w:color w:val="1F497D"/>
      </w:rPr>
    </w:lvl>
    <w:lvl w:ilvl="4">
      <w:start w:val="1"/>
      <w:numFmt w:val="decimal"/>
      <w:lvlText w:val="%1.%2.%3.%4.%5"/>
      <w:lvlJc w:val="left"/>
      <w:pPr>
        <w:ind w:left="2784" w:hanging="1080"/>
      </w:pPr>
      <w:rPr>
        <w:rFonts w:eastAsia="Times New Roman" w:hint="default"/>
        <w:color w:val="1F497D"/>
      </w:rPr>
    </w:lvl>
    <w:lvl w:ilvl="5">
      <w:start w:val="1"/>
      <w:numFmt w:val="decimal"/>
      <w:lvlText w:val="%1.%2.%3.%4.%5.%6"/>
      <w:lvlJc w:val="left"/>
      <w:pPr>
        <w:ind w:left="3210" w:hanging="1080"/>
      </w:pPr>
      <w:rPr>
        <w:rFonts w:eastAsia="Times New Roman" w:hint="default"/>
        <w:color w:val="1F497D"/>
      </w:rPr>
    </w:lvl>
    <w:lvl w:ilvl="6">
      <w:start w:val="1"/>
      <w:numFmt w:val="decimal"/>
      <w:lvlText w:val="%1.%2.%3.%4.%5.%6.%7"/>
      <w:lvlJc w:val="left"/>
      <w:pPr>
        <w:ind w:left="3996" w:hanging="1440"/>
      </w:pPr>
      <w:rPr>
        <w:rFonts w:eastAsia="Times New Roman" w:hint="default"/>
        <w:color w:val="1F497D"/>
      </w:rPr>
    </w:lvl>
    <w:lvl w:ilvl="7">
      <w:start w:val="1"/>
      <w:numFmt w:val="decimal"/>
      <w:lvlText w:val="%1.%2.%3.%4.%5.%6.%7.%8"/>
      <w:lvlJc w:val="left"/>
      <w:pPr>
        <w:ind w:left="4422" w:hanging="1440"/>
      </w:pPr>
      <w:rPr>
        <w:rFonts w:eastAsia="Times New Roman" w:hint="default"/>
        <w:color w:val="1F497D"/>
      </w:rPr>
    </w:lvl>
    <w:lvl w:ilvl="8">
      <w:start w:val="1"/>
      <w:numFmt w:val="decimal"/>
      <w:lvlText w:val="%1.%2.%3.%4.%5.%6.%7.%8.%9"/>
      <w:lvlJc w:val="left"/>
      <w:pPr>
        <w:ind w:left="5208" w:hanging="1800"/>
      </w:pPr>
      <w:rPr>
        <w:rFonts w:eastAsia="Times New Roman" w:hint="default"/>
        <w:color w:val="1F497D"/>
      </w:rPr>
    </w:lvl>
  </w:abstractNum>
  <w:abstractNum w:abstractNumId="1">
    <w:nsid w:val="0A9110B2"/>
    <w:multiLevelType w:val="multilevel"/>
    <w:tmpl w:val="A5983828"/>
    <w:lvl w:ilvl="0">
      <w:start w:val="5"/>
      <w:numFmt w:val="decimal"/>
      <w:lvlText w:val="%1"/>
      <w:lvlJc w:val="left"/>
      <w:pPr>
        <w:ind w:left="360" w:hanging="360"/>
      </w:pPr>
      <w:rPr>
        <w:rFonts w:eastAsia="Times New Roman" w:hint="default"/>
        <w:color w:val="1F497D"/>
      </w:rPr>
    </w:lvl>
    <w:lvl w:ilvl="1">
      <w:start w:val="1"/>
      <w:numFmt w:val="decimal"/>
      <w:lvlText w:val="%1.%2"/>
      <w:lvlJc w:val="left"/>
      <w:pPr>
        <w:ind w:left="786" w:hanging="360"/>
      </w:pPr>
      <w:rPr>
        <w:rFonts w:eastAsia="Times New Roman" w:hint="default"/>
        <w:color w:val="auto"/>
      </w:rPr>
    </w:lvl>
    <w:lvl w:ilvl="2">
      <w:start w:val="1"/>
      <w:numFmt w:val="decimal"/>
      <w:lvlText w:val="%1.%2.%3"/>
      <w:lvlJc w:val="left"/>
      <w:pPr>
        <w:ind w:left="1572" w:hanging="720"/>
      </w:pPr>
      <w:rPr>
        <w:rFonts w:eastAsia="Times New Roman" w:hint="default"/>
        <w:color w:val="1F497D"/>
      </w:rPr>
    </w:lvl>
    <w:lvl w:ilvl="3">
      <w:start w:val="1"/>
      <w:numFmt w:val="decimal"/>
      <w:lvlText w:val="%1.%2.%3.%4"/>
      <w:lvlJc w:val="left"/>
      <w:pPr>
        <w:ind w:left="1998" w:hanging="720"/>
      </w:pPr>
      <w:rPr>
        <w:rFonts w:eastAsia="Times New Roman" w:hint="default"/>
        <w:color w:val="1F497D"/>
      </w:rPr>
    </w:lvl>
    <w:lvl w:ilvl="4">
      <w:start w:val="1"/>
      <w:numFmt w:val="decimal"/>
      <w:lvlText w:val="%1.%2.%3.%4.%5"/>
      <w:lvlJc w:val="left"/>
      <w:pPr>
        <w:ind w:left="2784" w:hanging="1080"/>
      </w:pPr>
      <w:rPr>
        <w:rFonts w:eastAsia="Times New Roman" w:hint="default"/>
        <w:color w:val="1F497D"/>
      </w:rPr>
    </w:lvl>
    <w:lvl w:ilvl="5">
      <w:start w:val="1"/>
      <w:numFmt w:val="decimal"/>
      <w:lvlText w:val="%1.%2.%3.%4.%5.%6"/>
      <w:lvlJc w:val="left"/>
      <w:pPr>
        <w:ind w:left="3210" w:hanging="1080"/>
      </w:pPr>
      <w:rPr>
        <w:rFonts w:eastAsia="Times New Roman" w:hint="default"/>
        <w:color w:val="1F497D"/>
      </w:rPr>
    </w:lvl>
    <w:lvl w:ilvl="6">
      <w:start w:val="1"/>
      <w:numFmt w:val="decimal"/>
      <w:lvlText w:val="%1.%2.%3.%4.%5.%6.%7"/>
      <w:lvlJc w:val="left"/>
      <w:pPr>
        <w:ind w:left="3996" w:hanging="1440"/>
      </w:pPr>
      <w:rPr>
        <w:rFonts w:eastAsia="Times New Roman" w:hint="default"/>
        <w:color w:val="1F497D"/>
      </w:rPr>
    </w:lvl>
    <w:lvl w:ilvl="7">
      <w:start w:val="1"/>
      <w:numFmt w:val="decimal"/>
      <w:lvlText w:val="%1.%2.%3.%4.%5.%6.%7.%8"/>
      <w:lvlJc w:val="left"/>
      <w:pPr>
        <w:ind w:left="4422" w:hanging="1440"/>
      </w:pPr>
      <w:rPr>
        <w:rFonts w:eastAsia="Times New Roman" w:hint="default"/>
        <w:color w:val="1F497D"/>
      </w:rPr>
    </w:lvl>
    <w:lvl w:ilvl="8">
      <w:start w:val="1"/>
      <w:numFmt w:val="decimal"/>
      <w:lvlText w:val="%1.%2.%3.%4.%5.%6.%7.%8.%9"/>
      <w:lvlJc w:val="left"/>
      <w:pPr>
        <w:ind w:left="5208" w:hanging="1800"/>
      </w:pPr>
      <w:rPr>
        <w:rFonts w:eastAsia="Times New Roman" w:hint="default"/>
        <w:color w:val="1F497D"/>
      </w:rPr>
    </w:lvl>
  </w:abstractNum>
  <w:abstractNum w:abstractNumId="2">
    <w:nsid w:val="1C2C0A10"/>
    <w:multiLevelType w:val="multilevel"/>
    <w:tmpl w:val="2D883FEE"/>
    <w:lvl w:ilvl="0">
      <w:start w:val="6"/>
      <w:numFmt w:val="decimal"/>
      <w:lvlText w:val="%1"/>
      <w:lvlJc w:val="left"/>
      <w:pPr>
        <w:ind w:left="360" w:hanging="360"/>
      </w:pPr>
      <w:rPr>
        <w:rFonts w:eastAsia="Times New Roman" w:hint="default"/>
        <w:color w:val="auto"/>
      </w:rPr>
    </w:lvl>
    <w:lvl w:ilvl="1">
      <w:start w:val="1"/>
      <w:numFmt w:val="decimal"/>
      <w:lvlText w:val="%1.%2"/>
      <w:lvlJc w:val="left"/>
      <w:pPr>
        <w:ind w:left="786" w:hanging="360"/>
      </w:pPr>
      <w:rPr>
        <w:rFonts w:eastAsia="Times New Roman" w:hint="default"/>
        <w:color w:val="auto"/>
      </w:rPr>
    </w:lvl>
    <w:lvl w:ilvl="2">
      <w:start w:val="1"/>
      <w:numFmt w:val="decimal"/>
      <w:lvlText w:val="%1.%2.%3"/>
      <w:lvlJc w:val="left"/>
      <w:pPr>
        <w:ind w:left="1572" w:hanging="720"/>
      </w:pPr>
      <w:rPr>
        <w:rFonts w:eastAsia="Times New Roman" w:hint="default"/>
        <w:color w:val="1F497D"/>
      </w:rPr>
    </w:lvl>
    <w:lvl w:ilvl="3">
      <w:start w:val="1"/>
      <w:numFmt w:val="decimal"/>
      <w:lvlText w:val="%1.%2.%3.%4"/>
      <w:lvlJc w:val="left"/>
      <w:pPr>
        <w:ind w:left="1998" w:hanging="720"/>
      </w:pPr>
      <w:rPr>
        <w:rFonts w:eastAsia="Times New Roman" w:hint="default"/>
        <w:color w:val="1F497D"/>
      </w:rPr>
    </w:lvl>
    <w:lvl w:ilvl="4">
      <w:start w:val="1"/>
      <w:numFmt w:val="decimal"/>
      <w:lvlText w:val="%1.%2.%3.%4.%5"/>
      <w:lvlJc w:val="left"/>
      <w:pPr>
        <w:ind w:left="2784" w:hanging="1080"/>
      </w:pPr>
      <w:rPr>
        <w:rFonts w:eastAsia="Times New Roman" w:hint="default"/>
        <w:color w:val="1F497D"/>
      </w:rPr>
    </w:lvl>
    <w:lvl w:ilvl="5">
      <w:start w:val="1"/>
      <w:numFmt w:val="decimal"/>
      <w:lvlText w:val="%1.%2.%3.%4.%5.%6"/>
      <w:lvlJc w:val="left"/>
      <w:pPr>
        <w:ind w:left="3210" w:hanging="1080"/>
      </w:pPr>
      <w:rPr>
        <w:rFonts w:eastAsia="Times New Roman" w:hint="default"/>
        <w:color w:val="1F497D"/>
      </w:rPr>
    </w:lvl>
    <w:lvl w:ilvl="6">
      <w:start w:val="1"/>
      <w:numFmt w:val="decimal"/>
      <w:lvlText w:val="%1.%2.%3.%4.%5.%6.%7"/>
      <w:lvlJc w:val="left"/>
      <w:pPr>
        <w:ind w:left="3996" w:hanging="1440"/>
      </w:pPr>
      <w:rPr>
        <w:rFonts w:eastAsia="Times New Roman" w:hint="default"/>
        <w:color w:val="1F497D"/>
      </w:rPr>
    </w:lvl>
    <w:lvl w:ilvl="7">
      <w:start w:val="1"/>
      <w:numFmt w:val="decimal"/>
      <w:lvlText w:val="%1.%2.%3.%4.%5.%6.%7.%8"/>
      <w:lvlJc w:val="left"/>
      <w:pPr>
        <w:ind w:left="4422" w:hanging="1440"/>
      </w:pPr>
      <w:rPr>
        <w:rFonts w:eastAsia="Times New Roman" w:hint="default"/>
        <w:color w:val="1F497D"/>
      </w:rPr>
    </w:lvl>
    <w:lvl w:ilvl="8">
      <w:start w:val="1"/>
      <w:numFmt w:val="decimal"/>
      <w:lvlText w:val="%1.%2.%3.%4.%5.%6.%7.%8.%9"/>
      <w:lvlJc w:val="left"/>
      <w:pPr>
        <w:ind w:left="5208" w:hanging="1800"/>
      </w:pPr>
      <w:rPr>
        <w:rFonts w:eastAsia="Times New Roman" w:hint="default"/>
        <w:color w:val="1F497D"/>
      </w:rPr>
    </w:lvl>
  </w:abstractNum>
  <w:abstractNum w:abstractNumId="3">
    <w:nsid w:val="1EA31A05"/>
    <w:multiLevelType w:val="hybridMultilevel"/>
    <w:tmpl w:val="66A66462"/>
    <w:lvl w:ilvl="0" w:tplc="FF644C8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65429A"/>
    <w:multiLevelType w:val="hybridMultilevel"/>
    <w:tmpl w:val="91841774"/>
    <w:lvl w:ilvl="0" w:tplc="33686454">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282491"/>
    <w:multiLevelType w:val="hybridMultilevel"/>
    <w:tmpl w:val="F7925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9F3E49"/>
    <w:multiLevelType w:val="hybridMultilevel"/>
    <w:tmpl w:val="80AA6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6A72CBA"/>
    <w:multiLevelType w:val="hybridMultilevel"/>
    <w:tmpl w:val="25BE35DA"/>
    <w:lvl w:ilvl="0" w:tplc="1EE4600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F725DA"/>
    <w:multiLevelType w:val="hybridMultilevel"/>
    <w:tmpl w:val="CF9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56D48"/>
    <w:multiLevelType w:val="hybridMultilevel"/>
    <w:tmpl w:val="70B677F0"/>
    <w:lvl w:ilvl="0" w:tplc="64C8C636">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E25FE5"/>
    <w:multiLevelType w:val="hybridMultilevel"/>
    <w:tmpl w:val="BCC6948C"/>
    <w:lvl w:ilvl="0" w:tplc="64C8C636">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9644B8"/>
    <w:multiLevelType w:val="hybridMultilevel"/>
    <w:tmpl w:val="1272081E"/>
    <w:lvl w:ilvl="0" w:tplc="64C8C636">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7C4225"/>
    <w:multiLevelType w:val="hybridMultilevel"/>
    <w:tmpl w:val="97807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AD39B5"/>
    <w:multiLevelType w:val="hybridMultilevel"/>
    <w:tmpl w:val="0F322DD6"/>
    <w:lvl w:ilvl="0" w:tplc="33686454">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E32466"/>
    <w:multiLevelType w:val="multilevel"/>
    <w:tmpl w:val="5490AA8C"/>
    <w:lvl w:ilvl="0">
      <w:start w:val="4"/>
      <w:numFmt w:val="decimal"/>
      <w:lvlText w:val="%1"/>
      <w:lvlJc w:val="left"/>
      <w:pPr>
        <w:ind w:left="360" w:hanging="360"/>
      </w:pPr>
      <w:rPr>
        <w:rFonts w:eastAsia="Times New Roman" w:hint="default"/>
        <w:color w:val="1F497D"/>
      </w:rPr>
    </w:lvl>
    <w:lvl w:ilvl="1">
      <w:start w:val="1"/>
      <w:numFmt w:val="decimal"/>
      <w:lvlText w:val="%1.%2"/>
      <w:lvlJc w:val="left"/>
      <w:pPr>
        <w:ind w:left="786" w:hanging="360"/>
      </w:pPr>
      <w:rPr>
        <w:rFonts w:eastAsia="Times New Roman" w:hint="default"/>
        <w:color w:val="auto"/>
      </w:rPr>
    </w:lvl>
    <w:lvl w:ilvl="2">
      <w:start w:val="1"/>
      <w:numFmt w:val="decimal"/>
      <w:lvlText w:val="%1.%2.%3"/>
      <w:lvlJc w:val="left"/>
      <w:pPr>
        <w:ind w:left="1572" w:hanging="720"/>
      </w:pPr>
      <w:rPr>
        <w:rFonts w:eastAsia="Times New Roman" w:hint="default"/>
        <w:color w:val="1F497D"/>
      </w:rPr>
    </w:lvl>
    <w:lvl w:ilvl="3">
      <w:start w:val="1"/>
      <w:numFmt w:val="decimal"/>
      <w:lvlText w:val="%1.%2.%3.%4"/>
      <w:lvlJc w:val="left"/>
      <w:pPr>
        <w:ind w:left="1998" w:hanging="720"/>
      </w:pPr>
      <w:rPr>
        <w:rFonts w:eastAsia="Times New Roman" w:hint="default"/>
        <w:color w:val="1F497D"/>
      </w:rPr>
    </w:lvl>
    <w:lvl w:ilvl="4">
      <w:start w:val="1"/>
      <w:numFmt w:val="decimal"/>
      <w:lvlText w:val="%1.%2.%3.%4.%5"/>
      <w:lvlJc w:val="left"/>
      <w:pPr>
        <w:ind w:left="2784" w:hanging="1080"/>
      </w:pPr>
      <w:rPr>
        <w:rFonts w:eastAsia="Times New Roman" w:hint="default"/>
        <w:color w:val="1F497D"/>
      </w:rPr>
    </w:lvl>
    <w:lvl w:ilvl="5">
      <w:start w:val="1"/>
      <w:numFmt w:val="decimal"/>
      <w:lvlText w:val="%1.%2.%3.%4.%5.%6"/>
      <w:lvlJc w:val="left"/>
      <w:pPr>
        <w:ind w:left="3210" w:hanging="1080"/>
      </w:pPr>
      <w:rPr>
        <w:rFonts w:eastAsia="Times New Roman" w:hint="default"/>
        <w:color w:val="1F497D"/>
      </w:rPr>
    </w:lvl>
    <w:lvl w:ilvl="6">
      <w:start w:val="1"/>
      <w:numFmt w:val="decimal"/>
      <w:lvlText w:val="%1.%2.%3.%4.%5.%6.%7"/>
      <w:lvlJc w:val="left"/>
      <w:pPr>
        <w:ind w:left="3996" w:hanging="1440"/>
      </w:pPr>
      <w:rPr>
        <w:rFonts w:eastAsia="Times New Roman" w:hint="default"/>
        <w:color w:val="1F497D"/>
      </w:rPr>
    </w:lvl>
    <w:lvl w:ilvl="7">
      <w:start w:val="1"/>
      <w:numFmt w:val="decimal"/>
      <w:lvlText w:val="%1.%2.%3.%4.%5.%6.%7.%8"/>
      <w:lvlJc w:val="left"/>
      <w:pPr>
        <w:ind w:left="4422" w:hanging="1440"/>
      </w:pPr>
      <w:rPr>
        <w:rFonts w:eastAsia="Times New Roman" w:hint="default"/>
        <w:color w:val="1F497D"/>
      </w:rPr>
    </w:lvl>
    <w:lvl w:ilvl="8">
      <w:start w:val="1"/>
      <w:numFmt w:val="decimal"/>
      <w:lvlText w:val="%1.%2.%3.%4.%5.%6.%7.%8.%9"/>
      <w:lvlJc w:val="left"/>
      <w:pPr>
        <w:ind w:left="5208" w:hanging="1800"/>
      </w:pPr>
      <w:rPr>
        <w:rFonts w:eastAsia="Times New Roman" w:hint="default"/>
        <w:color w:val="1F497D"/>
      </w:rPr>
    </w:lvl>
  </w:abstractNum>
  <w:abstractNum w:abstractNumId="15">
    <w:nsid w:val="7590739B"/>
    <w:multiLevelType w:val="hybridMultilevel"/>
    <w:tmpl w:val="B83A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1D46F6"/>
    <w:multiLevelType w:val="hybridMultilevel"/>
    <w:tmpl w:val="D800005A"/>
    <w:lvl w:ilvl="0" w:tplc="8C32006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1"/>
  </w:num>
  <w:num w:numId="5">
    <w:abstractNumId w:val="2"/>
  </w:num>
  <w:num w:numId="6">
    <w:abstractNumId w:val="8"/>
  </w:num>
  <w:num w:numId="7">
    <w:abstractNumId w:val="6"/>
  </w:num>
  <w:num w:numId="8">
    <w:abstractNumId w:val="3"/>
  </w:num>
  <w:num w:numId="9">
    <w:abstractNumId w:val="16"/>
  </w:num>
  <w:num w:numId="10">
    <w:abstractNumId w:val="7"/>
  </w:num>
  <w:num w:numId="11">
    <w:abstractNumId w:val="4"/>
  </w:num>
  <w:num w:numId="12">
    <w:abstractNumId w:val="13"/>
  </w:num>
  <w:num w:numId="13">
    <w:abstractNumId w:val="5"/>
  </w:num>
  <w:num w:numId="14">
    <w:abstractNumId w:val="12"/>
  </w:num>
  <w:num w:numId="15">
    <w:abstractNumId w:val="10"/>
  </w:num>
  <w:num w:numId="16">
    <w:abstractNumId w:val="11"/>
  </w:num>
  <w:num w:numId="17">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vis Ingram">
    <w15:presenceInfo w15:providerId="AD" w15:userId="S-1-5-21-62873138-147417396-2091147243-29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D1"/>
    <w:rsid w:val="00000FA7"/>
    <w:rsid w:val="00003EAA"/>
    <w:rsid w:val="000047D2"/>
    <w:rsid w:val="00010B33"/>
    <w:rsid w:val="00021A6E"/>
    <w:rsid w:val="00027B56"/>
    <w:rsid w:val="0003298F"/>
    <w:rsid w:val="00032B1A"/>
    <w:rsid w:val="000344FF"/>
    <w:rsid w:val="00034B42"/>
    <w:rsid w:val="00036C83"/>
    <w:rsid w:val="0004086F"/>
    <w:rsid w:val="000424A8"/>
    <w:rsid w:val="00043339"/>
    <w:rsid w:val="00047924"/>
    <w:rsid w:val="0005045A"/>
    <w:rsid w:val="00053302"/>
    <w:rsid w:val="00056850"/>
    <w:rsid w:val="00065B2C"/>
    <w:rsid w:val="00072E1F"/>
    <w:rsid w:val="00083D24"/>
    <w:rsid w:val="00087250"/>
    <w:rsid w:val="00091FCD"/>
    <w:rsid w:val="00093DED"/>
    <w:rsid w:val="000A48F1"/>
    <w:rsid w:val="000C5833"/>
    <w:rsid w:val="000C58AB"/>
    <w:rsid w:val="000C7EC3"/>
    <w:rsid w:val="000D2136"/>
    <w:rsid w:val="000D645D"/>
    <w:rsid w:val="000E0FF6"/>
    <w:rsid w:val="000E1323"/>
    <w:rsid w:val="000E4A4B"/>
    <w:rsid w:val="000E7646"/>
    <w:rsid w:val="000E7E3E"/>
    <w:rsid w:val="001011D0"/>
    <w:rsid w:val="00105E1F"/>
    <w:rsid w:val="0011035D"/>
    <w:rsid w:val="0011314C"/>
    <w:rsid w:val="00122BC9"/>
    <w:rsid w:val="00124C0F"/>
    <w:rsid w:val="00126957"/>
    <w:rsid w:val="0013391B"/>
    <w:rsid w:val="001401F0"/>
    <w:rsid w:val="001406B7"/>
    <w:rsid w:val="0014754C"/>
    <w:rsid w:val="00147B52"/>
    <w:rsid w:val="00157579"/>
    <w:rsid w:val="001616BB"/>
    <w:rsid w:val="00163B0F"/>
    <w:rsid w:val="00164246"/>
    <w:rsid w:val="001642F7"/>
    <w:rsid w:val="00174AB0"/>
    <w:rsid w:val="00176F35"/>
    <w:rsid w:val="00181936"/>
    <w:rsid w:val="00185FA0"/>
    <w:rsid w:val="00192CED"/>
    <w:rsid w:val="001A7778"/>
    <w:rsid w:val="001B0768"/>
    <w:rsid w:val="001B11CA"/>
    <w:rsid w:val="001B3A09"/>
    <w:rsid w:val="001B4858"/>
    <w:rsid w:val="001C494C"/>
    <w:rsid w:val="001D2BD6"/>
    <w:rsid w:val="001D795D"/>
    <w:rsid w:val="001E01BF"/>
    <w:rsid w:val="002124FC"/>
    <w:rsid w:val="00217AD2"/>
    <w:rsid w:val="0022201C"/>
    <w:rsid w:val="002228D9"/>
    <w:rsid w:val="0023298C"/>
    <w:rsid w:val="00233046"/>
    <w:rsid w:val="0024069F"/>
    <w:rsid w:val="00264B9F"/>
    <w:rsid w:val="00265D22"/>
    <w:rsid w:val="00270AA4"/>
    <w:rsid w:val="00281835"/>
    <w:rsid w:val="002835E8"/>
    <w:rsid w:val="002A6EAF"/>
    <w:rsid w:val="002B08DD"/>
    <w:rsid w:val="002B095E"/>
    <w:rsid w:val="002B46E8"/>
    <w:rsid w:val="002B73D4"/>
    <w:rsid w:val="002C0713"/>
    <w:rsid w:val="002C6A91"/>
    <w:rsid w:val="002C7956"/>
    <w:rsid w:val="002D06B2"/>
    <w:rsid w:val="002D7CB2"/>
    <w:rsid w:val="002E48CD"/>
    <w:rsid w:val="002F03CF"/>
    <w:rsid w:val="002F08CE"/>
    <w:rsid w:val="002F0D6B"/>
    <w:rsid w:val="002F14A7"/>
    <w:rsid w:val="002F3120"/>
    <w:rsid w:val="002F31E2"/>
    <w:rsid w:val="002F4715"/>
    <w:rsid w:val="00301054"/>
    <w:rsid w:val="00302A5C"/>
    <w:rsid w:val="0030383B"/>
    <w:rsid w:val="0031616B"/>
    <w:rsid w:val="003230B2"/>
    <w:rsid w:val="00326271"/>
    <w:rsid w:val="003278EC"/>
    <w:rsid w:val="00330954"/>
    <w:rsid w:val="00330BE6"/>
    <w:rsid w:val="00333929"/>
    <w:rsid w:val="00336B8C"/>
    <w:rsid w:val="003378C9"/>
    <w:rsid w:val="00345F5F"/>
    <w:rsid w:val="00350B2D"/>
    <w:rsid w:val="00353536"/>
    <w:rsid w:val="003556F7"/>
    <w:rsid w:val="003601D0"/>
    <w:rsid w:val="003648C0"/>
    <w:rsid w:val="00367E46"/>
    <w:rsid w:val="00371027"/>
    <w:rsid w:val="0037557C"/>
    <w:rsid w:val="0038056D"/>
    <w:rsid w:val="00382990"/>
    <w:rsid w:val="00382C00"/>
    <w:rsid w:val="00384380"/>
    <w:rsid w:val="0038482D"/>
    <w:rsid w:val="003948E7"/>
    <w:rsid w:val="003A3CBE"/>
    <w:rsid w:val="003A4023"/>
    <w:rsid w:val="003B3D87"/>
    <w:rsid w:val="003B5192"/>
    <w:rsid w:val="003B6105"/>
    <w:rsid w:val="003B6692"/>
    <w:rsid w:val="003B75A9"/>
    <w:rsid w:val="003C27AA"/>
    <w:rsid w:val="003C5FEE"/>
    <w:rsid w:val="003C6AE3"/>
    <w:rsid w:val="003D169A"/>
    <w:rsid w:val="003D3348"/>
    <w:rsid w:val="003D3F18"/>
    <w:rsid w:val="003D6FDA"/>
    <w:rsid w:val="003E2DA1"/>
    <w:rsid w:val="003E5555"/>
    <w:rsid w:val="003E70C8"/>
    <w:rsid w:val="003E7763"/>
    <w:rsid w:val="003F28C4"/>
    <w:rsid w:val="004030D7"/>
    <w:rsid w:val="0041592B"/>
    <w:rsid w:val="0042160B"/>
    <w:rsid w:val="004309B5"/>
    <w:rsid w:val="004357E8"/>
    <w:rsid w:val="0043719D"/>
    <w:rsid w:val="00450ECA"/>
    <w:rsid w:val="004525B2"/>
    <w:rsid w:val="004577B1"/>
    <w:rsid w:val="004627C4"/>
    <w:rsid w:val="00464C83"/>
    <w:rsid w:val="004700E1"/>
    <w:rsid w:val="00473F76"/>
    <w:rsid w:val="00475793"/>
    <w:rsid w:val="00476F66"/>
    <w:rsid w:val="00480CED"/>
    <w:rsid w:val="004818A8"/>
    <w:rsid w:val="00483367"/>
    <w:rsid w:val="00487DDA"/>
    <w:rsid w:val="004A0635"/>
    <w:rsid w:val="004A5643"/>
    <w:rsid w:val="004B56A6"/>
    <w:rsid w:val="004B59B9"/>
    <w:rsid w:val="004C1F6B"/>
    <w:rsid w:val="004D0039"/>
    <w:rsid w:val="004D018B"/>
    <w:rsid w:val="004D3332"/>
    <w:rsid w:val="004E4448"/>
    <w:rsid w:val="004E4A0D"/>
    <w:rsid w:val="004E5187"/>
    <w:rsid w:val="004E782C"/>
    <w:rsid w:val="004F06DB"/>
    <w:rsid w:val="004F6A30"/>
    <w:rsid w:val="00501C04"/>
    <w:rsid w:val="00507F53"/>
    <w:rsid w:val="00513FFA"/>
    <w:rsid w:val="00514C87"/>
    <w:rsid w:val="00520A41"/>
    <w:rsid w:val="005230E8"/>
    <w:rsid w:val="005366D9"/>
    <w:rsid w:val="00536B64"/>
    <w:rsid w:val="0054248C"/>
    <w:rsid w:val="00546A6F"/>
    <w:rsid w:val="0055328B"/>
    <w:rsid w:val="0056570B"/>
    <w:rsid w:val="005675EC"/>
    <w:rsid w:val="00577A02"/>
    <w:rsid w:val="00582A07"/>
    <w:rsid w:val="00582C70"/>
    <w:rsid w:val="00585DD0"/>
    <w:rsid w:val="00586292"/>
    <w:rsid w:val="00596298"/>
    <w:rsid w:val="00597377"/>
    <w:rsid w:val="005A749C"/>
    <w:rsid w:val="005C4CE6"/>
    <w:rsid w:val="005C7F95"/>
    <w:rsid w:val="005D52E2"/>
    <w:rsid w:val="005E37AD"/>
    <w:rsid w:val="005E4CB9"/>
    <w:rsid w:val="005E728F"/>
    <w:rsid w:val="005E74A7"/>
    <w:rsid w:val="00600070"/>
    <w:rsid w:val="00605E63"/>
    <w:rsid w:val="00607762"/>
    <w:rsid w:val="00617913"/>
    <w:rsid w:val="00625024"/>
    <w:rsid w:val="006255B7"/>
    <w:rsid w:val="006271FD"/>
    <w:rsid w:val="00634744"/>
    <w:rsid w:val="0063494D"/>
    <w:rsid w:val="00656163"/>
    <w:rsid w:val="00656CA9"/>
    <w:rsid w:val="00664E35"/>
    <w:rsid w:val="00674A18"/>
    <w:rsid w:val="00675492"/>
    <w:rsid w:val="00676716"/>
    <w:rsid w:val="006A0401"/>
    <w:rsid w:val="006A58B8"/>
    <w:rsid w:val="006A5C38"/>
    <w:rsid w:val="006A7AF0"/>
    <w:rsid w:val="006B4B20"/>
    <w:rsid w:val="006D0D13"/>
    <w:rsid w:val="006D7B51"/>
    <w:rsid w:val="006E6180"/>
    <w:rsid w:val="00702EF2"/>
    <w:rsid w:val="00704637"/>
    <w:rsid w:val="00704804"/>
    <w:rsid w:val="00731236"/>
    <w:rsid w:val="00731DD1"/>
    <w:rsid w:val="00734400"/>
    <w:rsid w:val="00736F33"/>
    <w:rsid w:val="007370F3"/>
    <w:rsid w:val="007457A1"/>
    <w:rsid w:val="00747C9D"/>
    <w:rsid w:val="007554D4"/>
    <w:rsid w:val="0075691E"/>
    <w:rsid w:val="0076176E"/>
    <w:rsid w:val="007619F4"/>
    <w:rsid w:val="007638ED"/>
    <w:rsid w:val="00764CD1"/>
    <w:rsid w:val="00766499"/>
    <w:rsid w:val="007922F4"/>
    <w:rsid w:val="00793657"/>
    <w:rsid w:val="007A3C49"/>
    <w:rsid w:val="007A7617"/>
    <w:rsid w:val="007B096B"/>
    <w:rsid w:val="007B1BD5"/>
    <w:rsid w:val="007C310A"/>
    <w:rsid w:val="007E736E"/>
    <w:rsid w:val="007F0B16"/>
    <w:rsid w:val="007F1222"/>
    <w:rsid w:val="00800B55"/>
    <w:rsid w:val="0081446B"/>
    <w:rsid w:val="00822C2C"/>
    <w:rsid w:val="00826547"/>
    <w:rsid w:val="008409F3"/>
    <w:rsid w:val="00841621"/>
    <w:rsid w:val="00842016"/>
    <w:rsid w:val="00850E02"/>
    <w:rsid w:val="00861D52"/>
    <w:rsid w:val="00881275"/>
    <w:rsid w:val="00881B53"/>
    <w:rsid w:val="008828D1"/>
    <w:rsid w:val="00883B31"/>
    <w:rsid w:val="00884ED5"/>
    <w:rsid w:val="00891358"/>
    <w:rsid w:val="008948CC"/>
    <w:rsid w:val="00894EB9"/>
    <w:rsid w:val="008979EA"/>
    <w:rsid w:val="008A1B54"/>
    <w:rsid w:val="008A4614"/>
    <w:rsid w:val="008B237C"/>
    <w:rsid w:val="008B58CC"/>
    <w:rsid w:val="008B5EDF"/>
    <w:rsid w:val="008C1B8E"/>
    <w:rsid w:val="008C37F1"/>
    <w:rsid w:val="008D1FF4"/>
    <w:rsid w:val="008D4F41"/>
    <w:rsid w:val="008D7DAC"/>
    <w:rsid w:val="008E1D7C"/>
    <w:rsid w:val="008E20E2"/>
    <w:rsid w:val="008F2950"/>
    <w:rsid w:val="008F32E2"/>
    <w:rsid w:val="008F378C"/>
    <w:rsid w:val="008F60E2"/>
    <w:rsid w:val="00914946"/>
    <w:rsid w:val="00915435"/>
    <w:rsid w:val="009238C8"/>
    <w:rsid w:val="00930800"/>
    <w:rsid w:val="009348E2"/>
    <w:rsid w:val="009425E7"/>
    <w:rsid w:val="00942E08"/>
    <w:rsid w:val="009457F7"/>
    <w:rsid w:val="0095324D"/>
    <w:rsid w:val="009615EE"/>
    <w:rsid w:val="00962798"/>
    <w:rsid w:val="00962A46"/>
    <w:rsid w:val="00964809"/>
    <w:rsid w:val="009723A8"/>
    <w:rsid w:val="00977B3F"/>
    <w:rsid w:val="00983573"/>
    <w:rsid w:val="009922BF"/>
    <w:rsid w:val="00993C17"/>
    <w:rsid w:val="00996BA6"/>
    <w:rsid w:val="00996E09"/>
    <w:rsid w:val="009A3335"/>
    <w:rsid w:val="009A4870"/>
    <w:rsid w:val="009C2E28"/>
    <w:rsid w:val="009C3B9F"/>
    <w:rsid w:val="009D1666"/>
    <w:rsid w:val="009D2907"/>
    <w:rsid w:val="009D74E6"/>
    <w:rsid w:val="009E4FC0"/>
    <w:rsid w:val="009E69E4"/>
    <w:rsid w:val="00A01837"/>
    <w:rsid w:val="00A06109"/>
    <w:rsid w:val="00A06822"/>
    <w:rsid w:val="00A074A2"/>
    <w:rsid w:val="00A11F9A"/>
    <w:rsid w:val="00A14875"/>
    <w:rsid w:val="00A2686E"/>
    <w:rsid w:val="00A27A1A"/>
    <w:rsid w:val="00A27FDE"/>
    <w:rsid w:val="00A33233"/>
    <w:rsid w:val="00A34E24"/>
    <w:rsid w:val="00A42162"/>
    <w:rsid w:val="00A4252B"/>
    <w:rsid w:val="00A46FEE"/>
    <w:rsid w:val="00A50F7A"/>
    <w:rsid w:val="00A56728"/>
    <w:rsid w:val="00A61792"/>
    <w:rsid w:val="00A63D85"/>
    <w:rsid w:val="00A64E69"/>
    <w:rsid w:val="00A673EB"/>
    <w:rsid w:val="00A71A13"/>
    <w:rsid w:val="00A72283"/>
    <w:rsid w:val="00A7228D"/>
    <w:rsid w:val="00A74933"/>
    <w:rsid w:val="00AA16AF"/>
    <w:rsid w:val="00AA1E93"/>
    <w:rsid w:val="00AA32CA"/>
    <w:rsid w:val="00AA3B61"/>
    <w:rsid w:val="00AA5D93"/>
    <w:rsid w:val="00AB0AF8"/>
    <w:rsid w:val="00AB35A6"/>
    <w:rsid w:val="00AB3BF5"/>
    <w:rsid w:val="00AB43A8"/>
    <w:rsid w:val="00AD67ED"/>
    <w:rsid w:val="00AE0FCF"/>
    <w:rsid w:val="00AE22C0"/>
    <w:rsid w:val="00AE45C2"/>
    <w:rsid w:val="00AF10B2"/>
    <w:rsid w:val="00AF27D5"/>
    <w:rsid w:val="00B03F85"/>
    <w:rsid w:val="00B05E19"/>
    <w:rsid w:val="00B10AD8"/>
    <w:rsid w:val="00B229C4"/>
    <w:rsid w:val="00B233D7"/>
    <w:rsid w:val="00B23DB8"/>
    <w:rsid w:val="00B24E16"/>
    <w:rsid w:val="00B2564C"/>
    <w:rsid w:val="00B25AE7"/>
    <w:rsid w:val="00B31B05"/>
    <w:rsid w:val="00B40E40"/>
    <w:rsid w:val="00B446EA"/>
    <w:rsid w:val="00B50863"/>
    <w:rsid w:val="00B57A52"/>
    <w:rsid w:val="00B65B52"/>
    <w:rsid w:val="00B661E4"/>
    <w:rsid w:val="00B670E8"/>
    <w:rsid w:val="00B748F1"/>
    <w:rsid w:val="00B762F4"/>
    <w:rsid w:val="00B76E93"/>
    <w:rsid w:val="00B77CB9"/>
    <w:rsid w:val="00B818B8"/>
    <w:rsid w:val="00B95415"/>
    <w:rsid w:val="00BA0114"/>
    <w:rsid w:val="00BA1366"/>
    <w:rsid w:val="00BA743F"/>
    <w:rsid w:val="00BB564E"/>
    <w:rsid w:val="00BB6433"/>
    <w:rsid w:val="00BC208D"/>
    <w:rsid w:val="00BC661F"/>
    <w:rsid w:val="00BD008E"/>
    <w:rsid w:val="00BD343B"/>
    <w:rsid w:val="00BD4F23"/>
    <w:rsid w:val="00BD7249"/>
    <w:rsid w:val="00BE1997"/>
    <w:rsid w:val="00BE2C4D"/>
    <w:rsid w:val="00BE6A73"/>
    <w:rsid w:val="00BE7B78"/>
    <w:rsid w:val="00BF34BB"/>
    <w:rsid w:val="00BF5D38"/>
    <w:rsid w:val="00C05DFD"/>
    <w:rsid w:val="00C061DB"/>
    <w:rsid w:val="00C06948"/>
    <w:rsid w:val="00C0757D"/>
    <w:rsid w:val="00C118CA"/>
    <w:rsid w:val="00C120FA"/>
    <w:rsid w:val="00C1222A"/>
    <w:rsid w:val="00C134D0"/>
    <w:rsid w:val="00C13CC0"/>
    <w:rsid w:val="00C14B18"/>
    <w:rsid w:val="00C230F7"/>
    <w:rsid w:val="00C245BD"/>
    <w:rsid w:val="00C24645"/>
    <w:rsid w:val="00C25DA0"/>
    <w:rsid w:val="00C61763"/>
    <w:rsid w:val="00C67745"/>
    <w:rsid w:val="00C70D22"/>
    <w:rsid w:val="00C75817"/>
    <w:rsid w:val="00C801F2"/>
    <w:rsid w:val="00C86CA1"/>
    <w:rsid w:val="00C87314"/>
    <w:rsid w:val="00C94AD5"/>
    <w:rsid w:val="00C94AE8"/>
    <w:rsid w:val="00C94D42"/>
    <w:rsid w:val="00C9593A"/>
    <w:rsid w:val="00C97C66"/>
    <w:rsid w:val="00CA075C"/>
    <w:rsid w:val="00CA5B78"/>
    <w:rsid w:val="00CB472D"/>
    <w:rsid w:val="00CB59B0"/>
    <w:rsid w:val="00CB6D0F"/>
    <w:rsid w:val="00CD7ED9"/>
    <w:rsid w:val="00CE6E36"/>
    <w:rsid w:val="00CF2C46"/>
    <w:rsid w:val="00CF4B7C"/>
    <w:rsid w:val="00CF5BA9"/>
    <w:rsid w:val="00CF751C"/>
    <w:rsid w:val="00D04891"/>
    <w:rsid w:val="00D04C13"/>
    <w:rsid w:val="00D16D39"/>
    <w:rsid w:val="00D17296"/>
    <w:rsid w:val="00D22C75"/>
    <w:rsid w:val="00D22FBD"/>
    <w:rsid w:val="00D25EE0"/>
    <w:rsid w:val="00D3119A"/>
    <w:rsid w:val="00D32054"/>
    <w:rsid w:val="00D32E45"/>
    <w:rsid w:val="00D413D5"/>
    <w:rsid w:val="00D44897"/>
    <w:rsid w:val="00D44ADB"/>
    <w:rsid w:val="00D509E4"/>
    <w:rsid w:val="00D533DF"/>
    <w:rsid w:val="00D67C0E"/>
    <w:rsid w:val="00D803B9"/>
    <w:rsid w:val="00D871CF"/>
    <w:rsid w:val="00D87213"/>
    <w:rsid w:val="00D87E21"/>
    <w:rsid w:val="00D87E39"/>
    <w:rsid w:val="00D90233"/>
    <w:rsid w:val="00DA2B1A"/>
    <w:rsid w:val="00DA302A"/>
    <w:rsid w:val="00DB3026"/>
    <w:rsid w:val="00DB6882"/>
    <w:rsid w:val="00DC5A70"/>
    <w:rsid w:val="00DC6F33"/>
    <w:rsid w:val="00DC7926"/>
    <w:rsid w:val="00DD1C12"/>
    <w:rsid w:val="00DD3813"/>
    <w:rsid w:val="00DD4A76"/>
    <w:rsid w:val="00DE677D"/>
    <w:rsid w:val="00DF3ED8"/>
    <w:rsid w:val="00DF626C"/>
    <w:rsid w:val="00E03ECB"/>
    <w:rsid w:val="00E03F6C"/>
    <w:rsid w:val="00E04CF8"/>
    <w:rsid w:val="00E16B38"/>
    <w:rsid w:val="00E42A0B"/>
    <w:rsid w:val="00E50395"/>
    <w:rsid w:val="00E54A4A"/>
    <w:rsid w:val="00E705D8"/>
    <w:rsid w:val="00E75E48"/>
    <w:rsid w:val="00E810B5"/>
    <w:rsid w:val="00E82D59"/>
    <w:rsid w:val="00E95091"/>
    <w:rsid w:val="00EA4B0A"/>
    <w:rsid w:val="00EC6EB2"/>
    <w:rsid w:val="00EE75C2"/>
    <w:rsid w:val="00EE7C3D"/>
    <w:rsid w:val="00EF1B67"/>
    <w:rsid w:val="00EF7197"/>
    <w:rsid w:val="00F025C0"/>
    <w:rsid w:val="00F049EE"/>
    <w:rsid w:val="00F146F0"/>
    <w:rsid w:val="00F14D0D"/>
    <w:rsid w:val="00F266C8"/>
    <w:rsid w:val="00F36166"/>
    <w:rsid w:val="00F408B5"/>
    <w:rsid w:val="00F50469"/>
    <w:rsid w:val="00F539AE"/>
    <w:rsid w:val="00F7068E"/>
    <w:rsid w:val="00F709AD"/>
    <w:rsid w:val="00F714B6"/>
    <w:rsid w:val="00F72721"/>
    <w:rsid w:val="00F74C82"/>
    <w:rsid w:val="00F76F36"/>
    <w:rsid w:val="00F80E6B"/>
    <w:rsid w:val="00F86348"/>
    <w:rsid w:val="00F87B25"/>
    <w:rsid w:val="00F969BF"/>
    <w:rsid w:val="00FA2C63"/>
    <w:rsid w:val="00FA4A1E"/>
    <w:rsid w:val="00FB316D"/>
    <w:rsid w:val="00FB37A9"/>
    <w:rsid w:val="00FB4900"/>
    <w:rsid w:val="00FC0847"/>
    <w:rsid w:val="00FC418A"/>
    <w:rsid w:val="00FE23DE"/>
    <w:rsid w:val="00FE3346"/>
    <w:rsid w:val="00FE4923"/>
    <w:rsid w:val="00FE5894"/>
    <w:rsid w:val="00FE6E7C"/>
    <w:rsid w:val="00FF3D39"/>
    <w:rsid w:val="00FF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DC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Dot pt,No Spacing1,List Paragraph Char Char Char,Indicator Text,Numbered Para 1,Bullet 1,List Paragraph1,F5 List Paragraph,Bullet Points,MAIN CONTENT,OBC Bullet,List Paragraph11,List Paragrap,Colorful List - Accent 12,Bullet Styl,Bullet,L"/>
    <w:basedOn w:val="Normal"/>
    <w:uiPriority w:val="34"/>
    <w:qFormat/>
    <w:rsid w:val="0014754C"/>
    <w:pPr>
      <w:ind w:left="720"/>
      <w:contextualSpacing/>
    </w:pPr>
  </w:style>
  <w:style w:type="paragraph" w:styleId="BalloonText">
    <w:name w:val="Balloon Text"/>
    <w:basedOn w:val="Normal"/>
    <w:link w:val="BalloonTextChar"/>
    <w:uiPriority w:val="99"/>
    <w:semiHidden/>
    <w:unhideWhenUsed/>
    <w:rsid w:val="00B1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D8"/>
    <w:rPr>
      <w:rFonts w:ascii="Segoe UI" w:hAnsi="Segoe UI" w:cs="Segoe UI"/>
      <w:sz w:val="18"/>
      <w:szCs w:val="18"/>
    </w:rPr>
  </w:style>
  <w:style w:type="table" w:styleId="TableGrid">
    <w:name w:val="Table Grid"/>
    <w:basedOn w:val="TableNormal"/>
    <w:uiPriority w:val="59"/>
    <w:rsid w:val="00336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6B8C"/>
    <w:rPr>
      <w:sz w:val="16"/>
      <w:szCs w:val="16"/>
    </w:rPr>
  </w:style>
  <w:style w:type="paragraph" w:styleId="CommentText">
    <w:name w:val="annotation text"/>
    <w:basedOn w:val="Normal"/>
    <w:link w:val="CommentTextChar"/>
    <w:uiPriority w:val="99"/>
    <w:semiHidden/>
    <w:unhideWhenUsed/>
    <w:rsid w:val="00336B8C"/>
    <w:pPr>
      <w:spacing w:line="240" w:lineRule="auto"/>
    </w:pPr>
    <w:rPr>
      <w:sz w:val="20"/>
      <w:szCs w:val="20"/>
    </w:rPr>
  </w:style>
  <w:style w:type="character" w:customStyle="1" w:styleId="CommentTextChar">
    <w:name w:val="Comment Text Char"/>
    <w:basedOn w:val="DefaultParagraphFont"/>
    <w:link w:val="CommentText"/>
    <w:uiPriority w:val="99"/>
    <w:semiHidden/>
    <w:rsid w:val="00336B8C"/>
    <w:rPr>
      <w:sz w:val="20"/>
      <w:szCs w:val="20"/>
    </w:rPr>
  </w:style>
  <w:style w:type="paragraph" w:styleId="CommentSubject">
    <w:name w:val="annotation subject"/>
    <w:basedOn w:val="CommentText"/>
    <w:next w:val="CommentText"/>
    <w:link w:val="CommentSubjectChar"/>
    <w:uiPriority w:val="99"/>
    <w:semiHidden/>
    <w:unhideWhenUsed/>
    <w:rsid w:val="00336B8C"/>
    <w:rPr>
      <w:b/>
      <w:bCs/>
    </w:rPr>
  </w:style>
  <w:style w:type="character" w:customStyle="1" w:styleId="CommentSubjectChar">
    <w:name w:val="Comment Subject Char"/>
    <w:basedOn w:val="CommentTextChar"/>
    <w:link w:val="CommentSubject"/>
    <w:uiPriority w:val="99"/>
    <w:semiHidden/>
    <w:rsid w:val="00336B8C"/>
    <w:rPr>
      <w:b/>
      <w:bCs/>
      <w:sz w:val="20"/>
      <w:szCs w:val="20"/>
    </w:rPr>
  </w:style>
  <w:style w:type="paragraph" w:styleId="Revision">
    <w:name w:val="Revision"/>
    <w:hidden/>
    <w:uiPriority w:val="99"/>
    <w:semiHidden/>
    <w:rsid w:val="00336B8C"/>
    <w:pPr>
      <w:spacing w:after="0" w:line="240" w:lineRule="auto"/>
    </w:pPr>
  </w:style>
  <w:style w:type="paragraph" w:styleId="NoSpacing">
    <w:name w:val="No Spacing"/>
    <w:uiPriority w:val="1"/>
    <w:qFormat/>
    <w:rsid w:val="00A50F7A"/>
    <w:pPr>
      <w:spacing w:after="0" w:line="240" w:lineRule="auto"/>
    </w:pPr>
  </w:style>
  <w:style w:type="character" w:customStyle="1" w:styleId="xbe">
    <w:name w:val="_xbe"/>
    <w:basedOn w:val="DefaultParagraphFont"/>
    <w:rsid w:val="00C70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Dot pt,No Spacing1,List Paragraph Char Char Char,Indicator Text,Numbered Para 1,Bullet 1,List Paragraph1,F5 List Paragraph,Bullet Points,MAIN CONTENT,OBC Bullet,List Paragraph11,List Paragrap,Colorful List - Accent 12,Bullet Styl,Bullet,L"/>
    <w:basedOn w:val="Normal"/>
    <w:uiPriority w:val="34"/>
    <w:qFormat/>
    <w:rsid w:val="0014754C"/>
    <w:pPr>
      <w:ind w:left="720"/>
      <w:contextualSpacing/>
    </w:pPr>
  </w:style>
  <w:style w:type="paragraph" w:styleId="BalloonText">
    <w:name w:val="Balloon Text"/>
    <w:basedOn w:val="Normal"/>
    <w:link w:val="BalloonTextChar"/>
    <w:uiPriority w:val="99"/>
    <w:semiHidden/>
    <w:unhideWhenUsed/>
    <w:rsid w:val="00B1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D8"/>
    <w:rPr>
      <w:rFonts w:ascii="Segoe UI" w:hAnsi="Segoe UI" w:cs="Segoe UI"/>
      <w:sz w:val="18"/>
      <w:szCs w:val="18"/>
    </w:rPr>
  </w:style>
  <w:style w:type="table" w:styleId="TableGrid">
    <w:name w:val="Table Grid"/>
    <w:basedOn w:val="TableNormal"/>
    <w:uiPriority w:val="59"/>
    <w:rsid w:val="00336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6B8C"/>
    <w:rPr>
      <w:sz w:val="16"/>
      <w:szCs w:val="16"/>
    </w:rPr>
  </w:style>
  <w:style w:type="paragraph" w:styleId="CommentText">
    <w:name w:val="annotation text"/>
    <w:basedOn w:val="Normal"/>
    <w:link w:val="CommentTextChar"/>
    <w:uiPriority w:val="99"/>
    <w:semiHidden/>
    <w:unhideWhenUsed/>
    <w:rsid w:val="00336B8C"/>
    <w:pPr>
      <w:spacing w:line="240" w:lineRule="auto"/>
    </w:pPr>
    <w:rPr>
      <w:sz w:val="20"/>
      <w:szCs w:val="20"/>
    </w:rPr>
  </w:style>
  <w:style w:type="character" w:customStyle="1" w:styleId="CommentTextChar">
    <w:name w:val="Comment Text Char"/>
    <w:basedOn w:val="DefaultParagraphFont"/>
    <w:link w:val="CommentText"/>
    <w:uiPriority w:val="99"/>
    <w:semiHidden/>
    <w:rsid w:val="00336B8C"/>
    <w:rPr>
      <w:sz w:val="20"/>
      <w:szCs w:val="20"/>
    </w:rPr>
  </w:style>
  <w:style w:type="paragraph" w:styleId="CommentSubject">
    <w:name w:val="annotation subject"/>
    <w:basedOn w:val="CommentText"/>
    <w:next w:val="CommentText"/>
    <w:link w:val="CommentSubjectChar"/>
    <w:uiPriority w:val="99"/>
    <w:semiHidden/>
    <w:unhideWhenUsed/>
    <w:rsid w:val="00336B8C"/>
    <w:rPr>
      <w:b/>
      <w:bCs/>
    </w:rPr>
  </w:style>
  <w:style w:type="character" w:customStyle="1" w:styleId="CommentSubjectChar">
    <w:name w:val="Comment Subject Char"/>
    <w:basedOn w:val="CommentTextChar"/>
    <w:link w:val="CommentSubject"/>
    <w:uiPriority w:val="99"/>
    <w:semiHidden/>
    <w:rsid w:val="00336B8C"/>
    <w:rPr>
      <w:b/>
      <w:bCs/>
      <w:sz w:val="20"/>
      <w:szCs w:val="20"/>
    </w:rPr>
  </w:style>
  <w:style w:type="paragraph" w:styleId="Revision">
    <w:name w:val="Revision"/>
    <w:hidden/>
    <w:uiPriority w:val="99"/>
    <w:semiHidden/>
    <w:rsid w:val="00336B8C"/>
    <w:pPr>
      <w:spacing w:after="0" w:line="240" w:lineRule="auto"/>
    </w:pPr>
  </w:style>
  <w:style w:type="paragraph" w:styleId="NoSpacing">
    <w:name w:val="No Spacing"/>
    <w:uiPriority w:val="1"/>
    <w:qFormat/>
    <w:rsid w:val="00A50F7A"/>
    <w:pPr>
      <w:spacing w:after="0" w:line="240" w:lineRule="auto"/>
    </w:pPr>
  </w:style>
  <w:style w:type="character" w:customStyle="1" w:styleId="xbe">
    <w:name w:val="_xbe"/>
    <w:basedOn w:val="DefaultParagraphFont"/>
    <w:rsid w:val="00C70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1424">
      <w:bodyDiv w:val="1"/>
      <w:marLeft w:val="0"/>
      <w:marRight w:val="0"/>
      <w:marTop w:val="0"/>
      <w:marBottom w:val="0"/>
      <w:divBdr>
        <w:top w:val="none" w:sz="0" w:space="0" w:color="auto"/>
        <w:left w:val="none" w:sz="0" w:space="0" w:color="auto"/>
        <w:bottom w:val="none" w:sz="0" w:space="0" w:color="auto"/>
        <w:right w:val="none" w:sz="0" w:space="0" w:color="auto"/>
      </w:divBdr>
    </w:div>
    <w:div w:id="991371834">
      <w:bodyDiv w:val="1"/>
      <w:marLeft w:val="0"/>
      <w:marRight w:val="0"/>
      <w:marTop w:val="0"/>
      <w:marBottom w:val="0"/>
      <w:divBdr>
        <w:top w:val="none" w:sz="0" w:space="0" w:color="auto"/>
        <w:left w:val="none" w:sz="0" w:space="0" w:color="auto"/>
        <w:bottom w:val="none" w:sz="0" w:space="0" w:color="auto"/>
        <w:right w:val="none" w:sz="0" w:space="0" w:color="auto"/>
      </w:divBdr>
    </w:div>
    <w:div w:id="1000044221">
      <w:bodyDiv w:val="1"/>
      <w:marLeft w:val="0"/>
      <w:marRight w:val="0"/>
      <w:marTop w:val="0"/>
      <w:marBottom w:val="0"/>
      <w:divBdr>
        <w:top w:val="none" w:sz="0" w:space="0" w:color="auto"/>
        <w:left w:val="none" w:sz="0" w:space="0" w:color="auto"/>
        <w:bottom w:val="none" w:sz="0" w:space="0" w:color="auto"/>
        <w:right w:val="none" w:sz="0" w:space="0" w:color="auto"/>
      </w:divBdr>
    </w:div>
    <w:div w:id="1043409984">
      <w:bodyDiv w:val="1"/>
      <w:marLeft w:val="0"/>
      <w:marRight w:val="0"/>
      <w:marTop w:val="0"/>
      <w:marBottom w:val="0"/>
      <w:divBdr>
        <w:top w:val="none" w:sz="0" w:space="0" w:color="auto"/>
        <w:left w:val="none" w:sz="0" w:space="0" w:color="auto"/>
        <w:bottom w:val="none" w:sz="0" w:space="0" w:color="auto"/>
        <w:right w:val="none" w:sz="0" w:space="0" w:color="auto"/>
      </w:divBdr>
    </w:div>
    <w:div w:id="1060247303">
      <w:bodyDiv w:val="1"/>
      <w:marLeft w:val="0"/>
      <w:marRight w:val="0"/>
      <w:marTop w:val="0"/>
      <w:marBottom w:val="0"/>
      <w:divBdr>
        <w:top w:val="none" w:sz="0" w:space="0" w:color="auto"/>
        <w:left w:val="none" w:sz="0" w:space="0" w:color="auto"/>
        <w:bottom w:val="none" w:sz="0" w:space="0" w:color="auto"/>
        <w:right w:val="none" w:sz="0" w:space="0" w:color="auto"/>
      </w:divBdr>
    </w:div>
    <w:div w:id="12398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CBC4-03D5-4195-82CD-5174C22A8C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E6A8621-69AA-4E0C-888E-0D91E2FC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6</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Farhad Chikhalia</dc:creator>
  <cp:lastModifiedBy>APOWELL3</cp:lastModifiedBy>
  <cp:revision>25</cp:revision>
  <cp:lastPrinted>2018-02-13T14:11:00Z</cp:lastPrinted>
  <dcterms:created xsi:type="dcterms:W3CDTF">2018-03-13T11:24:00Z</dcterms:created>
  <dcterms:modified xsi:type="dcterms:W3CDTF">2018-03-16T15:01:00Z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769b0311-867c-4675-a956-3ea714bbd983</vt:lpwstr>
  </property>
  <property fmtid="{D5CDD505-2E9C-101B-9397-08002B2CF9AE}" pid="3" name="bjSaver">
    <vt:lpwstr>SiSPU+S7Jo7NUD0plix+rPf2Iul3hnlB</vt:lpwstr>
  </property>
  <property fmtid="{D5CDD505-2E9C-101B-9397-08002B2CF9AE}" pid="4" name="bjDocumentSecurityLabel">
    <vt:lpwstr>No Marking</vt:lpwstr>
  </property>
</Properties>
</file>