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38B6" w14:textId="3DA5EDF7" w:rsidR="00AC692F" w:rsidRPr="0053426D" w:rsidRDefault="0053426D">
      <w:pPr>
        <w:rPr>
          <w:b/>
        </w:rPr>
      </w:pPr>
      <w:r w:rsidRPr="0053426D">
        <w:rPr>
          <w:b/>
        </w:rPr>
        <w:t>OPERATIONALISING THE ALTERNATIVE ARRANGEMENTS</w:t>
      </w:r>
    </w:p>
    <w:p w14:paraId="1DB86BEE" w14:textId="77777777" w:rsidR="0053426D" w:rsidRDefault="0053426D">
      <w:pPr>
        <w:rPr>
          <w:b/>
          <w:u w:val="single"/>
        </w:rPr>
      </w:pPr>
    </w:p>
    <w:p w14:paraId="22D577CF" w14:textId="21A6F958" w:rsidR="005E6F1E" w:rsidRPr="00997AC3" w:rsidRDefault="005E6F1E">
      <w:pPr>
        <w:rPr>
          <w:b/>
          <w:u w:val="single"/>
        </w:rPr>
      </w:pPr>
      <w:r w:rsidRPr="00997AC3">
        <w:rPr>
          <w:b/>
          <w:u w:val="single"/>
        </w:rPr>
        <w:t>Intro</w:t>
      </w:r>
      <w:r w:rsidR="00315564" w:rsidRPr="00997AC3">
        <w:rPr>
          <w:b/>
          <w:u w:val="single"/>
        </w:rPr>
        <w:t>duction</w:t>
      </w:r>
    </w:p>
    <w:p w14:paraId="726203EF" w14:textId="78F8793A" w:rsidR="000B5F5F" w:rsidRDefault="00315564" w:rsidP="00315564">
      <w:pPr>
        <w:pStyle w:val="ListParagraph"/>
        <w:numPr>
          <w:ilvl w:val="0"/>
          <w:numId w:val="2"/>
        </w:numPr>
      </w:pPr>
      <w:r>
        <w:t xml:space="preserve">Previous working group </w:t>
      </w:r>
      <w:r w:rsidR="000B5F5F">
        <w:t xml:space="preserve">papers have looked at </w:t>
      </w:r>
      <w:r>
        <w:t>what an “alternative model” of business rates retention might look like</w:t>
      </w:r>
      <w:r w:rsidR="00B2134E">
        <w:t xml:space="preserve"> </w:t>
      </w:r>
      <w:r>
        <w:t xml:space="preserve">and considered the ways in which the different elements could be </w:t>
      </w:r>
      <w:r w:rsidR="00935351">
        <w:t xml:space="preserve">configured and </w:t>
      </w:r>
      <w:r>
        <w:t>calculated</w:t>
      </w:r>
      <w:r w:rsidR="00935351">
        <w:t>.</w:t>
      </w:r>
      <w:r>
        <w:t xml:space="preserve"> </w:t>
      </w:r>
    </w:p>
    <w:p w14:paraId="353DC975" w14:textId="77777777" w:rsidR="00315564" w:rsidRDefault="00315564" w:rsidP="00315564">
      <w:pPr>
        <w:pStyle w:val="ListParagraph"/>
        <w:ind w:left="360"/>
      </w:pPr>
    </w:p>
    <w:p w14:paraId="1E665B0F" w14:textId="77777777" w:rsidR="000B5F5F" w:rsidRDefault="000B5F5F" w:rsidP="00315564">
      <w:pPr>
        <w:pStyle w:val="ListParagraph"/>
        <w:numPr>
          <w:ilvl w:val="0"/>
          <w:numId w:val="2"/>
        </w:numPr>
      </w:pPr>
      <w:r>
        <w:t xml:space="preserve">This paper looks at how the </w:t>
      </w:r>
      <w:r w:rsidR="00935351">
        <w:t xml:space="preserve">alternative model </w:t>
      </w:r>
      <w:r w:rsidR="005E6F1E">
        <w:t xml:space="preserve">could be operationalised and </w:t>
      </w:r>
      <w:r w:rsidR="00935351">
        <w:t xml:space="preserve">administered </w:t>
      </w:r>
      <w:r w:rsidR="005E6F1E">
        <w:t>day-to</w:t>
      </w:r>
      <w:r w:rsidR="00935351">
        <w:t>-</w:t>
      </w:r>
      <w:r w:rsidR="005E6F1E">
        <w:t>day</w:t>
      </w:r>
      <w:r w:rsidR="00935351">
        <w:t>.</w:t>
      </w:r>
    </w:p>
    <w:p w14:paraId="57C001D9" w14:textId="77777777" w:rsidR="00935351" w:rsidRDefault="00935351" w:rsidP="00935351">
      <w:pPr>
        <w:pStyle w:val="ListParagraph"/>
      </w:pPr>
    </w:p>
    <w:p w14:paraId="7C13D2E5" w14:textId="00C14C0F" w:rsidR="005E6F1E" w:rsidRDefault="00935351" w:rsidP="00935351">
      <w:pPr>
        <w:pStyle w:val="ListParagraph"/>
        <w:numPr>
          <w:ilvl w:val="0"/>
          <w:numId w:val="2"/>
        </w:numPr>
      </w:pPr>
      <w:r>
        <w:t>The working group is invited to consider the options outlined in this paper</w:t>
      </w:r>
      <w:r w:rsidR="008B25C4">
        <w:t>;</w:t>
      </w:r>
      <w:r>
        <w:t xml:space="preserve"> their implications for budgeting, operating systems and resourcing in local authorities</w:t>
      </w:r>
      <w:r w:rsidR="008B25C4">
        <w:t xml:space="preserve">; and identify any </w:t>
      </w:r>
      <w:r w:rsidR="00CF45BF">
        <w:t>omissions</w:t>
      </w:r>
      <w:r>
        <w:t>.</w:t>
      </w:r>
    </w:p>
    <w:p w14:paraId="1F8E9F11" w14:textId="77777777" w:rsidR="005E6F1E" w:rsidRPr="0053426D" w:rsidRDefault="005E6F1E" w:rsidP="005E6F1E">
      <w:pPr>
        <w:rPr>
          <w:b/>
          <w:u w:val="single"/>
        </w:rPr>
      </w:pPr>
      <w:r w:rsidRPr="0053426D">
        <w:rPr>
          <w:b/>
          <w:u w:val="single"/>
        </w:rPr>
        <w:t>Background</w:t>
      </w:r>
    </w:p>
    <w:p w14:paraId="3D791D07" w14:textId="77777777" w:rsidR="007D0E6E" w:rsidRDefault="005E6F1E" w:rsidP="00935351">
      <w:pPr>
        <w:pStyle w:val="ListParagraph"/>
        <w:numPr>
          <w:ilvl w:val="0"/>
          <w:numId w:val="2"/>
        </w:numPr>
      </w:pPr>
      <w:r>
        <w:t xml:space="preserve">Currently, </w:t>
      </w:r>
      <w:r w:rsidR="00935351">
        <w:t xml:space="preserve">the </w:t>
      </w:r>
      <w:r>
        <w:t xml:space="preserve">day-to-day administration of </w:t>
      </w:r>
      <w:r w:rsidR="00935351">
        <w:t xml:space="preserve">the business rates retention scheme </w:t>
      </w:r>
      <w:r>
        <w:t xml:space="preserve">relies </w:t>
      </w:r>
      <w:r w:rsidR="007D0E6E">
        <w:t xml:space="preserve">on </w:t>
      </w:r>
      <w:r>
        <w:t xml:space="preserve">figures </w:t>
      </w:r>
      <w:r w:rsidR="007D0E6E">
        <w:t xml:space="preserve">set out </w:t>
      </w:r>
      <w:r w:rsidR="00935351">
        <w:t xml:space="preserve">in </w:t>
      </w:r>
      <w:r w:rsidR="007D0E6E">
        <w:t xml:space="preserve">the </w:t>
      </w:r>
      <w:r w:rsidR="00935351">
        <w:t xml:space="preserve">Local Government Finance </w:t>
      </w:r>
      <w:r w:rsidR="007D0E6E">
        <w:t xml:space="preserve">Settlement and </w:t>
      </w:r>
      <w:r>
        <w:t>on data collected in NNNDR1s and NNDR3s</w:t>
      </w:r>
      <w:r w:rsidR="007D0E6E">
        <w:t>.</w:t>
      </w:r>
    </w:p>
    <w:p w14:paraId="6A5B64D1" w14:textId="77777777" w:rsidR="00935351" w:rsidRDefault="00935351" w:rsidP="00935351">
      <w:pPr>
        <w:pStyle w:val="ListParagraph"/>
        <w:ind w:left="360"/>
      </w:pPr>
    </w:p>
    <w:p w14:paraId="4F378682" w14:textId="77777777" w:rsidR="007D0E6E" w:rsidRDefault="00935351" w:rsidP="00935351">
      <w:pPr>
        <w:pStyle w:val="ListParagraph"/>
        <w:numPr>
          <w:ilvl w:val="0"/>
          <w:numId w:val="2"/>
        </w:numPr>
      </w:pPr>
      <w:r>
        <w:t>The p</w:t>
      </w:r>
      <w:r w:rsidR="007D0E6E">
        <w:t>rocess and timetable are broadly as follows:</w:t>
      </w:r>
    </w:p>
    <w:p w14:paraId="2030083D" w14:textId="77777777" w:rsidR="00935351" w:rsidRDefault="00935351" w:rsidP="00935351">
      <w:pPr>
        <w:pStyle w:val="ListParagraph"/>
      </w:pPr>
    </w:p>
    <w:p w14:paraId="6DB8CBEC" w14:textId="77777777" w:rsidR="00935351" w:rsidRDefault="00935351" w:rsidP="00DA653A">
      <w:pPr>
        <w:pStyle w:val="ListParagraph"/>
        <w:ind w:left="360"/>
      </w:pPr>
      <w:r w:rsidRPr="00935351">
        <w:drawing>
          <wp:inline distT="0" distB="0" distL="0" distR="0" wp14:anchorId="0503F746" wp14:editId="0431E4DE">
            <wp:extent cx="5731510" cy="320324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40CAD" w14:textId="77777777" w:rsidR="00D448B3" w:rsidRDefault="00D448B3" w:rsidP="00935351">
      <w:pPr>
        <w:pStyle w:val="ListParagraph"/>
        <w:numPr>
          <w:ilvl w:val="0"/>
          <w:numId w:val="2"/>
        </w:numPr>
      </w:pPr>
      <w:r>
        <w:t>Under the alternative model, each auth</w:t>
      </w:r>
      <w:r w:rsidR="001B3A8F">
        <w:t>o</w:t>
      </w:r>
      <w:r>
        <w:t>r</w:t>
      </w:r>
      <w:r w:rsidR="001B3A8F">
        <w:t>i</w:t>
      </w:r>
      <w:r>
        <w:t>ty’s tariff or top-up for a year would be calculated as the sum of two elements</w:t>
      </w:r>
      <w:r w:rsidR="007371A1">
        <w:t>:</w:t>
      </w:r>
    </w:p>
    <w:p w14:paraId="30173113" w14:textId="77777777" w:rsidR="007371A1" w:rsidRDefault="007371A1" w:rsidP="007371A1">
      <w:pPr>
        <w:pStyle w:val="ListParagraph"/>
        <w:ind w:left="360"/>
      </w:pPr>
    </w:p>
    <w:p w14:paraId="04C272C8" w14:textId="79985B52" w:rsidR="00935351" w:rsidRDefault="006B4CD3" w:rsidP="00D448B3">
      <w:pPr>
        <w:pStyle w:val="ListParagraph"/>
        <w:numPr>
          <w:ilvl w:val="1"/>
          <w:numId w:val="2"/>
        </w:numPr>
      </w:pPr>
      <w:r>
        <w:t xml:space="preserve">Stage 1:- </w:t>
      </w:r>
      <w:r w:rsidR="004C7F31">
        <w:t>The difference between its baseline funding level (BFL) and its share of non-domestic rating income (as per NNDR1); and</w:t>
      </w:r>
      <w:r w:rsidR="00D448B3">
        <w:t xml:space="preserve"> </w:t>
      </w:r>
    </w:p>
    <w:p w14:paraId="32BA2412" w14:textId="77777777" w:rsidR="007371A1" w:rsidRDefault="007371A1" w:rsidP="007371A1">
      <w:pPr>
        <w:pStyle w:val="ListParagraph"/>
        <w:ind w:left="1080"/>
      </w:pPr>
    </w:p>
    <w:p w14:paraId="2A068FF8" w14:textId="53C976C6" w:rsidR="007D0E6E" w:rsidRDefault="0081621D" w:rsidP="00935351">
      <w:pPr>
        <w:pStyle w:val="ListParagraph"/>
        <w:numPr>
          <w:ilvl w:val="1"/>
          <w:numId w:val="2"/>
        </w:numPr>
      </w:pPr>
      <w:r>
        <w:t xml:space="preserve">Stage 2:- </w:t>
      </w:r>
      <w:r w:rsidR="004C7F31">
        <w:t>“growth”, calculated in such a way as to strip out the impact of appeals and provisions</w:t>
      </w:r>
    </w:p>
    <w:p w14:paraId="58CDF73B" w14:textId="77777777" w:rsidR="007371A1" w:rsidRDefault="007371A1" w:rsidP="007371A1"/>
    <w:p w14:paraId="70927FFA" w14:textId="77777777" w:rsidR="00D448B3" w:rsidRDefault="004C7F31" w:rsidP="00D448B3">
      <w:pPr>
        <w:pStyle w:val="ListParagraph"/>
        <w:numPr>
          <w:ilvl w:val="0"/>
          <w:numId w:val="2"/>
        </w:numPr>
      </w:pPr>
      <w:r>
        <w:t xml:space="preserve">As such, </w:t>
      </w:r>
      <w:r w:rsidR="005D6D09">
        <w:t xml:space="preserve">authorities would be guaranteed funding in any year </w:t>
      </w:r>
      <w:r w:rsidR="007371A1">
        <w:t xml:space="preserve">that was </w:t>
      </w:r>
      <w:r w:rsidR="005D6D09">
        <w:t>equivalent to their BFL, plus growth – see below.</w:t>
      </w:r>
    </w:p>
    <w:p w14:paraId="3F448917" w14:textId="77777777" w:rsidR="005D6D09" w:rsidRDefault="007371A1" w:rsidP="005D6D09">
      <w:pPr>
        <w:pStyle w:val="ListParagraph"/>
        <w:ind w:left="360"/>
      </w:pPr>
      <w:r w:rsidRPr="007371A1">
        <w:drawing>
          <wp:inline distT="0" distB="0" distL="0" distR="0" wp14:anchorId="67FC9D62" wp14:editId="612EA88B">
            <wp:extent cx="5341620" cy="2439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C0727" w14:textId="77777777" w:rsidR="007D0E6E" w:rsidRDefault="007371A1" w:rsidP="007371A1">
      <w:pPr>
        <w:pStyle w:val="ListParagraph"/>
        <w:numPr>
          <w:ilvl w:val="0"/>
          <w:numId w:val="2"/>
        </w:numPr>
        <w:ind w:left="357" w:hanging="357"/>
      </w:pPr>
      <w:r>
        <w:t xml:space="preserve">The administration of the system would, as now, </w:t>
      </w:r>
      <w:r w:rsidR="007D0E6E">
        <w:t>rely on data collected in NNDR1s and NNDR3s.  But there would be differences in what data was collected and in what information would be provided to authorities at Settlement.</w:t>
      </w:r>
    </w:p>
    <w:p w14:paraId="56BB4E2A" w14:textId="77777777" w:rsidR="007371A1" w:rsidRDefault="007371A1" w:rsidP="007371A1">
      <w:pPr>
        <w:pStyle w:val="ListParagraph"/>
        <w:ind w:left="360"/>
      </w:pPr>
    </w:p>
    <w:p w14:paraId="6AB289C8" w14:textId="77777777" w:rsidR="007371A1" w:rsidRDefault="007D0E6E" w:rsidP="007371A1">
      <w:pPr>
        <w:pStyle w:val="ListParagraph"/>
        <w:numPr>
          <w:ilvl w:val="0"/>
          <w:numId w:val="2"/>
        </w:numPr>
      </w:pPr>
      <w:r>
        <w:t>Process and timetable might look broadly as follows:</w:t>
      </w:r>
    </w:p>
    <w:p w14:paraId="5E5CA668" w14:textId="77777777" w:rsidR="007D0E6E" w:rsidRDefault="007371A1" w:rsidP="007371A1">
      <w:pPr>
        <w:pStyle w:val="ListParagraph"/>
        <w:ind w:left="360"/>
      </w:pPr>
      <w:r w:rsidRPr="007371A1">
        <w:drawing>
          <wp:inline distT="0" distB="0" distL="0" distR="0" wp14:anchorId="0925C11D" wp14:editId="086E2C50">
            <wp:extent cx="5731510" cy="3203247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8BB13" w14:textId="7D856647" w:rsidR="00A2397A" w:rsidRPr="00A2397A" w:rsidRDefault="007D0E6E" w:rsidP="00A2397A">
      <w:pPr>
        <w:pStyle w:val="ListParagraph"/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t xml:space="preserve">The rest of this paper looks in greater detail at each of these </w:t>
      </w:r>
      <w:r w:rsidR="00432F4F">
        <w:t xml:space="preserve"> and other </w:t>
      </w:r>
      <w:r>
        <w:t>elements</w:t>
      </w:r>
      <w:r w:rsidR="00432F4F">
        <w:t xml:space="preserve"> </w:t>
      </w:r>
      <w:r w:rsidR="00687020">
        <w:t>connected with the administration of the rates retention system</w:t>
      </w:r>
      <w:r>
        <w:t>.</w:t>
      </w:r>
      <w:r w:rsidR="007371A1" w:rsidRPr="00A2397A">
        <w:rPr>
          <w:rFonts w:asciiTheme="majorBidi" w:eastAsiaTheme="minorEastAsia" w:hAnsiTheme="majorBidi" w:cstheme="majorBidi"/>
          <w:b/>
          <w:sz w:val="24"/>
          <w:szCs w:val="24"/>
          <w:lang w:eastAsia="zh-CN"/>
        </w:rPr>
        <w:t xml:space="preserve"> </w:t>
      </w:r>
    </w:p>
    <w:p w14:paraId="03DD92D6" w14:textId="77777777" w:rsidR="00DA653A" w:rsidRDefault="00DA653A" w:rsidP="00A2397A">
      <w:pPr>
        <w:spacing w:line="240" w:lineRule="auto"/>
        <w:rPr>
          <w:rFonts w:eastAsiaTheme="minorEastAsia" w:cstheme="minorHAnsi"/>
          <w:u w:val="single"/>
          <w:lang w:eastAsia="zh-CN"/>
        </w:rPr>
      </w:pPr>
    </w:p>
    <w:p w14:paraId="6656C16E" w14:textId="77777777" w:rsidR="00DA653A" w:rsidRDefault="00DA653A" w:rsidP="00A2397A">
      <w:pPr>
        <w:spacing w:line="240" w:lineRule="auto"/>
        <w:rPr>
          <w:rFonts w:eastAsiaTheme="minorEastAsia" w:cstheme="minorHAnsi"/>
          <w:u w:val="single"/>
          <w:lang w:eastAsia="zh-CN"/>
        </w:rPr>
      </w:pPr>
    </w:p>
    <w:p w14:paraId="294780D0" w14:textId="77777777" w:rsidR="00DA653A" w:rsidRDefault="00DA653A" w:rsidP="00A2397A">
      <w:pPr>
        <w:spacing w:line="240" w:lineRule="auto"/>
        <w:rPr>
          <w:rFonts w:eastAsiaTheme="minorEastAsia" w:cstheme="minorHAnsi"/>
          <w:u w:val="single"/>
          <w:lang w:eastAsia="zh-CN"/>
        </w:rPr>
      </w:pPr>
    </w:p>
    <w:p w14:paraId="19F83786" w14:textId="77777777" w:rsidR="00DA653A" w:rsidRDefault="00DA653A" w:rsidP="00A2397A">
      <w:pPr>
        <w:spacing w:line="240" w:lineRule="auto"/>
        <w:rPr>
          <w:rFonts w:eastAsiaTheme="minorEastAsia" w:cstheme="minorHAnsi"/>
          <w:u w:val="single"/>
          <w:lang w:eastAsia="zh-CN"/>
        </w:rPr>
      </w:pPr>
    </w:p>
    <w:p w14:paraId="6276D510" w14:textId="77777777" w:rsidR="00A2397A" w:rsidRPr="0053426D" w:rsidRDefault="00A2397A" w:rsidP="00A2397A">
      <w:pPr>
        <w:spacing w:line="240" w:lineRule="auto"/>
        <w:rPr>
          <w:rFonts w:eastAsiaTheme="minorEastAsia" w:cstheme="minorHAnsi"/>
          <w:b/>
          <w:u w:val="single"/>
          <w:lang w:eastAsia="zh-CN"/>
        </w:rPr>
      </w:pPr>
      <w:r w:rsidRPr="0053426D">
        <w:rPr>
          <w:rFonts w:eastAsiaTheme="minorEastAsia" w:cstheme="minorHAnsi"/>
          <w:b/>
          <w:u w:val="single"/>
          <w:lang w:eastAsia="zh-CN"/>
        </w:rPr>
        <w:lastRenderedPageBreak/>
        <w:t>Provisional and Final Settlement</w:t>
      </w:r>
    </w:p>
    <w:p w14:paraId="209ACAF3" w14:textId="77777777" w:rsidR="00CD4FDA" w:rsidRDefault="00A2397A" w:rsidP="00A2397A">
      <w:pPr>
        <w:pStyle w:val="ListParagraph"/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>Currently, the p</w:t>
      </w:r>
      <w:r w:rsidR="007371A1" w:rsidRPr="00A2397A">
        <w:rPr>
          <w:rFonts w:eastAsiaTheme="minorEastAsia" w:cstheme="minorHAnsi"/>
          <w:lang w:eastAsia="zh-CN"/>
        </w:rPr>
        <w:t>rovisional Local Government Finance Report (LGFR)</w:t>
      </w:r>
      <w:r>
        <w:rPr>
          <w:rFonts w:eastAsiaTheme="minorEastAsia" w:cstheme="minorHAnsi"/>
          <w:lang w:eastAsia="zh-CN"/>
        </w:rPr>
        <w:t>,</w:t>
      </w:r>
      <w:r w:rsidR="007371A1" w:rsidRPr="00A2397A">
        <w:rPr>
          <w:rFonts w:eastAsiaTheme="minorEastAsia" w:cstheme="minorHAnsi"/>
          <w:lang w:eastAsia="zh-CN"/>
        </w:rPr>
        <w:t xml:space="preserve"> </w:t>
      </w:r>
      <w:r>
        <w:rPr>
          <w:rFonts w:eastAsiaTheme="minorEastAsia" w:cstheme="minorHAnsi"/>
          <w:lang w:eastAsia="zh-CN"/>
        </w:rPr>
        <w:t xml:space="preserve">published in late November/early December, and the </w:t>
      </w:r>
      <w:r w:rsidR="007371A1" w:rsidRPr="00A2397A">
        <w:rPr>
          <w:rFonts w:eastAsiaTheme="minorEastAsia" w:cstheme="minorHAnsi"/>
          <w:lang w:eastAsia="zh-CN"/>
        </w:rPr>
        <w:t>final LGFR</w:t>
      </w:r>
      <w:r>
        <w:rPr>
          <w:rFonts w:eastAsiaTheme="minorEastAsia" w:cstheme="minorHAnsi"/>
          <w:lang w:eastAsia="zh-CN"/>
        </w:rPr>
        <w:t>, published in late January/early</w:t>
      </w:r>
      <w:r w:rsidR="00AA4011">
        <w:rPr>
          <w:rFonts w:eastAsiaTheme="minorEastAsia" w:cstheme="minorHAnsi"/>
          <w:lang w:eastAsia="zh-CN"/>
        </w:rPr>
        <w:t xml:space="preserve"> </w:t>
      </w:r>
      <w:r>
        <w:rPr>
          <w:rFonts w:eastAsiaTheme="minorEastAsia" w:cstheme="minorHAnsi"/>
          <w:lang w:eastAsia="zh-CN"/>
        </w:rPr>
        <w:t xml:space="preserve">February, set out the amounts of RSG that authorities will receive and </w:t>
      </w:r>
      <w:r w:rsidR="00E63E3D">
        <w:rPr>
          <w:rFonts w:eastAsiaTheme="minorEastAsia" w:cstheme="minorHAnsi"/>
          <w:lang w:eastAsia="zh-CN"/>
        </w:rPr>
        <w:t xml:space="preserve">the </w:t>
      </w:r>
      <w:r>
        <w:rPr>
          <w:rFonts w:eastAsiaTheme="minorEastAsia" w:cstheme="minorHAnsi"/>
          <w:lang w:eastAsia="zh-CN"/>
        </w:rPr>
        <w:t>tariffs/top-up</w:t>
      </w:r>
      <w:r w:rsidR="00E63E3D">
        <w:rPr>
          <w:rFonts w:eastAsiaTheme="minorEastAsia" w:cstheme="minorHAnsi"/>
          <w:lang w:eastAsia="zh-CN"/>
        </w:rPr>
        <w:t xml:space="preserve"> amounts</w:t>
      </w:r>
      <w:r>
        <w:rPr>
          <w:rFonts w:eastAsiaTheme="minorEastAsia" w:cstheme="minorHAnsi"/>
          <w:lang w:eastAsia="zh-CN"/>
        </w:rPr>
        <w:t xml:space="preserve"> that will be paid by, or to </w:t>
      </w:r>
      <w:r w:rsidR="00DA653A">
        <w:rPr>
          <w:rFonts w:eastAsiaTheme="minorEastAsia" w:cstheme="minorHAnsi"/>
          <w:lang w:eastAsia="zh-CN"/>
        </w:rPr>
        <w:t>them.</w:t>
      </w:r>
      <w:r>
        <w:rPr>
          <w:rFonts w:eastAsiaTheme="minorEastAsia" w:cstheme="minorHAnsi"/>
          <w:lang w:eastAsia="zh-CN"/>
        </w:rPr>
        <w:t xml:space="preserve"> </w:t>
      </w:r>
    </w:p>
    <w:p w14:paraId="3D953B53" w14:textId="583EC338" w:rsidR="00CD4FDA" w:rsidRDefault="00CD4FDA" w:rsidP="00CD4FDA">
      <w:pPr>
        <w:pStyle w:val="ListParagraph"/>
        <w:spacing w:line="240" w:lineRule="auto"/>
        <w:ind w:left="360"/>
        <w:rPr>
          <w:rFonts w:eastAsiaTheme="minorEastAsia" w:cstheme="minorHAnsi"/>
          <w:lang w:eastAsia="zh-CN"/>
        </w:rPr>
      </w:pPr>
    </w:p>
    <w:p w14:paraId="03D8A84C" w14:textId="67A812C0" w:rsidR="00DA653A" w:rsidRDefault="00A2397A" w:rsidP="00A2397A">
      <w:pPr>
        <w:pStyle w:val="ListParagraph"/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>Once RSG is rolled-in to the business rates retention system</w:t>
      </w:r>
      <w:r w:rsidR="00F933BF">
        <w:rPr>
          <w:rFonts w:eastAsiaTheme="minorEastAsia" w:cstheme="minorHAnsi"/>
          <w:lang w:eastAsia="zh-CN"/>
        </w:rPr>
        <w:t>,</w:t>
      </w:r>
      <w:r w:rsidR="00B01CE8">
        <w:rPr>
          <w:rFonts w:eastAsiaTheme="minorEastAsia" w:cstheme="minorHAnsi"/>
          <w:lang w:eastAsia="zh-CN"/>
        </w:rPr>
        <w:t xml:space="preserve"> </w:t>
      </w:r>
      <w:r w:rsidR="00DA653A">
        <w:rPr>
          <w:rFonts w:eastAsiaTheme="minorEastAsia" w:cstheme="minorHAnsi"/>
          <w:lang w:eastAsia="zh-CN"/>
        </w:rPr>
        <w:t xml:space="preserve">one might expect that the LGFR would </w:t>
      </w:r>
      <w:r w:rsidR="008B2FFE">
        <w:rPr>
          <w:rFonts w:eastAsiaTheme="minorEastAsia" w:cstheme="minorHAnsi"/>
          <w:lang w:eastAsia="zh-CN"/>
        </w:rPr>
        <w:t xml:space="preserve">continue to </w:t>
      </w:r>
      <w:r w:rsidR="00984F58">
        <w:rPr>
          <w:rFonts w:eastAsiaTheme="minorEastAsia" w:cstheme="minorHAnsi"/>
          <w:lang w:eastAsia="zh-CN"/>
        </w:rPr>
        <w:t xml:space="preserve">provide </w:t>
      </w:r>
      <w:r w:rsidR="00DA653A">
        <w:rPr>
          <w:rFonts w:eastAsiaTheme="minorEastAsia" w:cstheme="minorHAnsi"/>
          <w:lang w:eastAsia="zh-CN"/>
        </w:rPr>
        <w:t>authorities with their tariff and top-up figures.  Under the alternative model, however, the NNDR1 data that will be needed to calculate tariffs/top-ups will be provided too late to inform the provisional and final LGFRs</w:t>
      </w:r>
      <w:r w:rsidR="001D5B1D">
        <w:rPr>
          <w:rFonts w:eastAsiaTheme="minorEastAsia" w:cstheme="minorHAnsi"/>
          <w:lang w:eastAsia="zh-CN"/>
        </w:rPr>
        <w:t>.</w:t>
      </w:r>
      <w:r w:rsidR="00DA653A">
        <w:rPr>
          <w:rFonts w:eastAsiaTheme="minorEastAsia" w:cstheme="minorHAnsi"/>
          <w:lang w:eastAsia="zh-CN"/>
        </w:rPr>
        <w:t xml:space="preserve">  But does this matter?</w:t>
      </w:r>
    </w:p>
    <w:p w14:paraId="29BD2B26" w14:textId="77777777" w:rsidR="00DA653A" w:rsidRDefault="00DA653A" w:rsidP="00DA653A">
      <w:pPr>
        <w:pStyle w:val="ListParagraph"/>
        <w:spacing w:line="240" w:lineRule="auto"/>
        <w:ind w:left="360"/>
        <w:rPr>
          <w:rFonts w:eastAsiaTheme="minorEastAsia" w:cstheme="minorHAnsi"/>
          <w:lang w:eastAsia="zh-CN"/>
        </w:rPr>
      </w:pPr>
    </w:p>
    <w:p w14:paraId="592D2BD7" w14:textId="77777777" w:rsidR="00397205" w:rsidRDefault="00DA653A" w:rsidP="00A2397A">
      <w:pPr>
        <w:pStyle w:val="ListParagraph"/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 xml:space="preserve">The answer to that question </w:t>
      </w:r>
      <w:r w:rsidR="00397205">
        <w:rPr>
          <w:rFonts w:eastAsiaTheme="minorEastAsia" w:cstheme="minorHAnsi"/>
          <w:lang w:eastAsia="zh-CN"/>
        </w:rPr>
        <w:t>might d</w:t>
      </w:r>
      <w:r>
        <w:rPr>
          <w:rFonts w:eastAsiaTheme="minorEastAsia" w:cstheme="minorHAnsi"/>
          <w:lang w:eastAsia="zh-CN"/>
        </w:rPr>
        <w:t>epend on t</w:t>
      </w:r>
      <w:r w:rsidR="00397205">
        <w:rPr>
          <w:rFonts w:eastAsiaTheme="minorEastAsia" w:cstheme="minorHAnsi"/>
          <w:lang w:eastAsia="zh-CN"/>
        </w:rPr>
        <w:t>he answer to two subsidiary questions:</w:t>
      </w:r>
    </w:p>
    <w:p w14:paraId="34F7CB8C" w14:textId="77777777" w:rsidR="00397205" w:rsidRPr="00397205" w:rsidRDefault="00397205" w:rsidP="00397205">
      <w:pPr>
        <w:pStyle w:val="ListParagraph"/>
        <w:rPr>
          <w:rFonts w:eastAsiaTheme="minorEastAsia" w:cstheme="minorHAnsi"/>
          <w:lang w:eastAsia="zh-CN"/>
        </w:rPr>
      </w:pPr>
    </w:p>
    <w:p w14:paraId="214877AD" w14:textId="69BB3509" w:rsidR="00397205" w:rsidRDefault="00397205" w:rsidP="00397205">
      <w:pPr>
        <w:pStyle w:val="ListParagraph"/>
        <w:numPr>
          <w:ilvl w:val="1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 xml:space="preserve">What is the Government legally required to produce as part of </w:t>
      </w:r>
      <w:r w:rsidR="00910544">
        <w:rPr>
          <w:rFonts w:eastAsiaTheme="minorEastAsia" w:cstheme="minorHAnsi"/>
          <w:lang w:eastAsia="zh-CN"/>
        </w:rPr>
        <w:t>the</w:t>
      </w:r>
      <w:r>
        <w:rPr>
          <w:rFonts w:eastAsiaTheme="minorEastAsia" w:cstheme="minorHAnsi"/>
          <w:lang w:eastAsia="zh-CN"/>
        </w:rPr>
        <w:t xml:space="preserve"> LGFR?</w:t>
      </w:r>
    </w:p>
    <w:p w14:paraId="7423FC10" w14:textId="77777777" w:rsidR="00397205" w:rsidRDefault="00397205" w:rsidP="00397205">
      <w:pPr>
        <w:pStyle w:val="ListParagraph"/>
        <w:spacing w:line="240" w:lineRule="auto"/>
        <w:ind w:left="1080"/>
        <w:rPr>
          <w:rFonts w:eastAsiaTheme="minorEastAsia" w:cstheme="minorHAnsi"/>
          <w:lang w:eastAsia="zh-CN"/>
        </w:rPr>
      </w:pPr>
    </w:p>
    <w:p w14:paraId="2389F850" w14:textId="77777777" w:rsidR="00397205" w:rsidRPr="00397205" w:rsidRDefault="00397205" w:rsidP="00397205">
      <w:pPr>
        <w:pStyle w:val="ListParagraph"/>
        <w:numPr>
          <w:ilvl w:val="1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>How would the absence of tariff/top-up numbers at a Settlement affect local authorities’ budget process?</w:t>
      </w:r>
    </w:p>
    <w:p w14:paraId="7F07CA55" w14:textId="77777777" w:rsidR="00D95A53" w:rsidRPr="00D95A53" w:rsidRDefault="00397205" w:rsidP="00397205">
      <w:pPr>
        <w:numPr>
          <w:ilvl w:val="0"/>
          <w:numId w:val="2"/>
        </w:numPr>
        <w:spacing w:line="240" w:lineRule="auto"/>
        <w:ind w:left="720" w:hanging="720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>In relation to tariffs and top-ups, legislation</w:t>
      </w:r>
      <w:r>
        <w:rPr>
          <w:rStyle w:val="FootnoteReference"/>
          <w:rFonts w:eastAsiaTheme="minorEastAsia" w:cstheme="minorHAnsi"/>
          <w:lang w:eastAsia="zh-CN"/>
        </w:rPr>
        <w:footnoteReference w:id="1"/>
      </w:r>
      <w:r>
        <w:rPr>
          <w:rFonts w:eastAsiaTheme="minorEastAsia" w:cstheme="minorHAnsi"/>
          <w:lang w:eastAsia="zh-CN"/>
        </w:rPr>
        <w:t xml:space="preserve"> requires that </w:t>
      </w:r>
      <w:r w:rsidR="007371A1" w:rsidRPr="00397205">
        <w:rPr>
          <w:rFonts w:eastAsiaTheme="minorEastAsia" w:cstheme="minorHAnsi"/>
          <w:lang w:eastAsia="zh-CN"/>
        </w:rPr>
        <w:t xml:space="preserve">the LGFR must specify </w:t>
      </w:r>
      <w:r w:rsidR="007371A1" w:rsidRPr="00D95A53">
        <w:rPr>
          <w:rFonts w:eastAsiaTheme="minorEastAsia" w:cstheme="minorHAnsi"/>
          <w:i/>
          <w:lang w:eastAsia="zh-CN"/>
        </w:rPr>
        <w:t xml:space="preserve">the </w:t>
      </w:r>
      <w:r w:rsidR="007371A1" w:rsidRPr="00D95A53">
        <w:rPr>
          <w:rFonts w:eastAsiaTheme="minorEastAsia" w:cstheme="minorHAnsi"/>
          <w:i/>
          <w:u w:val="single"/>
          <w:lang w:eastAsia="zh-CN"/>
        </w:rPr>
        <w:t>basis</w:t>
      </w:r>
      <w:r w:rsidR="007371A1" w:rsidRPr="00D95A53">
        <w:rPr>
          <w:rFonts w:eastAsiaTheme="minorEastAsia" w:cstheme="minorHAnsi"/>
          <w:i/>
          <w:lang w:eastAsia="zh-CN"/>
        </w:rPr>
        <w:t xml:space="preserve"> on which the Secretary of State </w:t>
      </w:r>
      <w:r w:rsidR="007371A1" w:rsidRPr="00D95A53">
        <w:rPr>
          <w:rFonts w:eastAsiaTheme="minorEastAsia" w:cstheme="minorHAnsi"/>
          <w:i/>
          <w:u w:val="single"/>
          <w:lang w:eastAsia="zh-CN"/>
        </w:rPr>
        <w:t>intends</w:t>
      </w:r>
      <w:r w:rsidR="007371A1" w:rsidRPr="00D95A53">
        <w:rPr>
          <w:rFonts w:eastAsiaTheme="minorEastAsia" w:cstheme="minorHAnsi"/>
          <w:i/>
          <w:lang w:eastAsia="zh-CN"/>
        </w:rPr>
        <w:t xml:space="preserve"> to calculate</w:t>
      </w:r>
      <w:r w:rsidR="00D95A53">
        <w:rPr>
          <w:rFonts w:eastAsiaTheme="minorEastAsia" w:cstheme="minorHAnsi"/>
          <w:i/>
          <w:lang w:eastAsia="zh-CN"/>
        </w:rPr>
        <w:t>:</w:t>
      </w:r>
    </w:p>
    <w:p w14:paraId="68EA24B3" w14:textId="77777777" w:rsidR="00D95A53" w:rsidRDefault="007371A1" w:rsidP="00D95A53">
      <w:pPr>
        <w:numPr>
          <w:ilvl w:val="1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 w:rsidRPr="00397205">
        <w:rPr>
          <w:rFonts w:eastAsiaTheme="minorEastAsia" w:cstheme="minorHAnsi"/>
          <w:lang w:eastAsia="zh-CN"/>
        </w:rPr>
        <w:t xml:space="preserve">which authorities are to make payments; </w:t>
      </w:r>
    </w:p>
    <w:p w14:paraId="798ED0BF" w14:textId="77777777" w:rsidR="00D95A53" w:rsidRDefault="007371A1" w:rsidP="00D95A53">
      <w:pPr>
        <w:numPr>
          <w:ilvl w:val="1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 w:rsidRPr="00397205">
        <w:rPr>
          <w:rFonts w:eastAsiaTheme="minorEastAsia" w:cstheme="minorHAnsi"/>
          <w:lang w:eastAsia="zh-CN"/>
        </w:rPr>
        <w:t xml:space="preserve">which authorities are to receive payments; and </w:t>
      </w:r>
    </w:p>
    <w:p w14:paraId="76EB3AE6" w14:textId="77777777" w:rsidR="00D95A53" w:rsidRDefault="007371A1" w:rsidP="00D95A53">
      <w:pPr>
        <w:numPr>
          <w:ilvl w:val="1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 w:rsidRPr="00397205">
        <w:rPr>
          <w:rFonts w:eastAsiaTheme="minorEastAsia" w:cstheme="minorHAnsi"/>
          <w:lang w:eastAsia="zh-CN"/>
        </w:rPr>
        <w:t xml:space="preserve">the amount of each payment. </w:t>
      </w:r>
    </w:p>
    <w:p w14:paraId="393F9226" w14:textId="77777777" w:rsidR="007371A1" w:rsidRDefault="007371A1" w:rsidP="00D95A53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 w:rsidRPr="00397205">
        <w:rPr>
          <w:rFonts w:eastAsiaTheme="minorEastAsia" w:cstheme="minorHAnsi"/>
          <w:lang w:eastAsia="zh-CN"/>
        </w:rPr>
        <w:t xml:space="preserve">The </w:t>
      </w:r>
      <w:r w:rsidR="00D95A53">
        <w:rPr>
          <w:rFonts w:eastAsiaTheme="minorEastAsia" w:cstheme="minorHAnsi"/>
          <w:lang w:eastAsia="zh-CN"/>
        </w:rPr>
        <w:t xml:space="preserve">legislation requires the Secretary of State to make those calculations only </w:t>
      </w:r>
      <w:r w:rsidR="00D95A53" w:rsidRPr="0053700E">
        <w:rPr>
          <w:rFonts w:eastAsiaTheme="minorEastAsia" w:cstheme="minorHAnsi"/>
          <w:u w:val="single"/>
          <w:lang w:eastAsia="zh-CN"/>
        </w:rPr>
        <w:t>after</w:t>
      </w:r>
      <w:r w:rsidR="00D95A53">
        <w:rPr>
          <w:rFonts w:eastAsiaTheme="minorEastAsia" w:cstheme="minorHAnsi"/>
          <w:lang w:eastAsia="zh-CN"/>
        </w:rPr>
        <w:t xml:space="preserve"> </w:t>
      </w:r>
      <w:r w:rsidRPr="00397205">
        <w:rPr>
          <w:rFonts w:eastAsiaTheme="minorEastAsia" w:cstheme="minorHAnsi"/>
          <w:lang w:eastAsia="zh-CN"/>
        </w:rPr>
        <w:t>the LGFR is approved by the House of Commons</w:t>
      </w:r>
      <w:r w:rsidR="00D95A53">
        <w:rPr>
          <w:rStyle w:val="FootnoteReference"/>
          <w:rFonts w:eastAsiaTheme="minorEastAsia" w:cstheme="minorHAnsi"/>
          <w:lang w:eastAsia="zh-CN"/>
        </w:rPr>
        <w:footnoteReference w:id="2"/>
      </w:r>
      <w:r w:rsidR="00D95A53">
        <w:rPr>
          <w:rFonts w:eastAsiaTheme="minorEastAsia" w:cstheme="minorHAnsi"/>
          <w:lang w:eastAsia="zh-CN"/>
        </w:rPr>
        <w:t xml:space="preserve">. </w:t>
      </w:r>
    </w:p>
    <w:p w14:paraId="56D69ABD" w14:textId="3F33D570" w:rsidR="00BD0CD7" w:rsidRDefault="00BD0CD7" w:rsidP="00D95A53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>So, legally, there appears to be no reason why the Government needs to provide authorities with the amount of their tariff</w:t>
      </w:r>
      <w:r w:rsidR="00A339E0">
        <w:rPr>
          <w:rFonts w:eastAsiaTheme="minorEastAsia" w:cstheme="minorHAnsi"/>
          <w:lang w:eastAsia="zh-CN"/>
        </w:rPr>
        <w:t>/</w:t>
      </w:r>
      <w:r>
        <w:rPr>
          <w:rFonts w:eastAsiaTheme="minorEastAsia" w:cstheme="minorHAnsi"/>
          <w:lang w:eastAsia="zh-CN"/>
        </w:rPr>
        <w:t>top-up until after NNDR1s are returned at the end of January</w:t>
      </w:r>
      <w:r w:rsidR="001B4E54">
        <w:rPr>
          <w:rFonts w:eastAsiaTheme="minorEastAsia" w:cstheme="minorHAnsi"/>
          <w:lang w:eastAsia="zh-CN"/>
        </w:rPr>
        <w:t>.</w:t>
      </w:r>
    </w:p>
    <w:p w14:paraId="7A5708E7" w14:textId="6A7D0D5D" w:rsidR="00C84B7D" w:rsidRDefault="001B4E54" w:rsidP="00D95A53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 xml:space="preserve">As </w:t>
      </w:r>
      <w:r w:rsidR="00BD0CD7">
        <w:rPr>
          <w:rFonts w:eastAsiaTheme="minorEastAsia" w:cstheme="minorHAnsi"/>
          <w:lang w:eastAsia="zh-CN"/>
        </w:rPr>
        <w:t xml:space="preserve">far as budget-setting is concerned, </w:t>
      </w:r>
      <w:r w:rsidR="00D93E8C">
        <w:rPr>
          <w:rFonts w:eastAsiaTheme="minorEastAsia" w:cstheme="minorHAnsi"/>
          <w:lang w:eastAsia="zh-CN"/>
        </w:rPr>
        <w:t xml:space="preserve">whilst currently, authorities </w:t>
      </w:r>
      <w:r w:rsidR="00396E9E">
        <w:rPr>
          <w:rFonts w:eastAsiaTheme="minorEastAsia" w:cstheme="minorHAnsi"/>
          <w:lang w:eastAsia="zh-CN"/>
        </w:rPr>
        <w:t>will not know what the</w:t>
      </w:r>
      <w:r w:rsidR="00FE2DD9">
        <w:rPr>
          <w:rFonts w:eastAsiaTheme="minorEastAsia" w:cstheme="minorHAnsi"/>
          <w:lang w:eastAsia="zh-CN"/>
        </w:rPr>
        <w:t>i</w:t>
      </w:r>
      <w:r w:rsidR="00396E9E">
        <w:rPr>
          <w:rFonts w:eastAsiaTheme="minorEastAsia" w:cstheme="minorHAnsi"/>
          <w:lang w:eastAsia="zh-CN"/>
        </w:rPr>
        <w:t xml:space="preserve">r share of non-domestic rating income will be until after </w:t>
      </w:r>
      <w:r w:rsidR="00FE2DD9">
        <w:rPr>
          <w:rFonts w:eastAsiaTheme="minorEastAsia" w:cstheme="minorHAnsi"/>
          <w:lang w:eastAsia="zh-CN"/>
        </w:rPr>
        <w:t>they have completed NNDR1s</w:t>
      </w:r>
      <w:r w:rsidR="005A1F1C">
        <w:rPr>
          <w:rFonts w:eastAsiaTheme="minorEastAsia" w:cstheme="minorHAnsi"/>
          <w:lang w:eastAsia="zh-CN"/>
        </w:rPr>
        <w:t xml:space="preserve"> at the end of January</w:t>
      </w:r>
      <w:r w:rsidR="00227EDA">
        <w:rPr>
          <w:rFonts w:eastAsiaTheme="minorEastAsia" w:cstheme="minorHAnsi"/>
          <w:lang w:eastAsia="zh-CN"/>
        </w:rPr>
        <w:t xml:space="preserve">, they do </w:t>
      </w:r>
      <w:r w:rsidR="006F42B0">
        <w:rPr>
          <w:rFonts w:eastAsiaTheme="minorEastAsia" w:cstheme="minorHAnsi"/>
          <w:lang w:eastAsia="zh-CN"/>
        </w:rPr>
        <w:t xml:space="preserve">at least </w:t>
      </w:r>
      <w:r w:rsidR="00227EDA">
        <w:rPr>
          <w:rFonts w:eastAsiaTheme="minorEastAsia" w:cstheme="minorHAnsi"/>
          <w:lang w:eastAsia="zh-CN"/>
        </w:rPr>
        <w:t xml:space="preserve">know their RSG and </w:t>
      </w:r>
      <w:r w:rsidR="00227EDA">
        <w:rPr>
          <w:rFonts w:eastAsiaTheme="minorEastAsia" w:cstheme="minorHAnsi"/>
          <w:lang w:eastAsia="zh-CN"/>
        </w:rPr>
        <w:t xml:space="preserve">their </w:t>
      </w:r>
      <w:r w:rsidR="00227EDA">
        <w:rPr>
          <w:rFonts w:eastAsiaTheme="minorEastAsia" w:cstheme="minorHAnsi"/>
          <w:lang w:eastAsia="zh-CN"/>
        </w:rPr>
        <w:t>tariffs/top-ups provisionally in December</w:t>
      </w:r>
      <w:r w:rsidR="005A1F1C">
        <w:rPr>
          <w:rFonts w:eastAsiaTheme="minorEastAsia" w:cstheme="minorHAnsi"/>
          <w:lang w:eastAsia="zh-CN"/>
        </w:rPr>
        <w:t xml:space="preserve">.  </w:t>
      </w:r>
    </w:p>
    <w:p w14:paraId="5B488769" w14:textId="0ECD8A99" w:rsidR="00966DA2" w:rsidRDefault="0036097E" w:rsidP="00D95A53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>O</w:t>
      </w:r>
      <w:r w:rsidR="00C84B7D">
        <w:rPr>
          <w:rFonts w:eastAsiaTheme="minorEastAsia" w:cstheme="minorHAnsi"/>
          <w:lang w:eastAsia="zh-CN"/>
        </w:rPr>
        <w:t xml:space="preserve">n the face of it, </w:t>
      </w:r>
      <w:r>
        <w:rPr>
          <w:rFonts w:eastAsiaTheme="minorEastAsia" w:cstheme="minorHAnsi"/>
          <w:lang w:eastAsia="zh-CN"/>
        </w:rPr>
        <w:t xml:space="preserve">therefore, </w:t>
      </w:r>
      <w:r w:rsidR="00C84B7D">
        <w:rPr>
          <w:rFonts w:eastAsiaTheme="minorEastAsia" w:cstheme="minorHAnsi"/>
          <w:lang w:eastAsia="zh-CN"/>
        </w:rPr>
        <w:t xml:space="preserve">the </w:t>
      </w:r>
      <w:r w:rsidR="00880290">
        <w:rPr>
          <w:rFonts w:eastAsiaTheme="minorEastAsia" w:cstheme="minorHAnsi"/>
          <w:lang w:eastAsia="zh-CN"/>
        </w:rPr>
        <w:t>alternative arrang</w:t>
      </w:r>
      <w:r w:rsidR="005C0FB1">
        <w:rPr>
          <w:rFonts w:eastAsiaTheme="minorEastAsia" w:cstheme="minorHAnsi"/>
          <w:lang w:eastAsia="zh-CN"/>
        </w:rPr>
        <w:t>e</w:t>
      </w:r>
      <w:r w:rsidR="00880290">
        <w:rPr>
          <w:rFonts w:eastAsiaTheme="minorEastAsia" w:cstheme="minorHAnsi"/>
          <w:lang w:eastAsia="zh-CN"/>
        </w:rPr>
        <w:t xml:space="preserve">ments would appear to leave authorities with </w:t>
      </w:r>
      <w:r w:rsidR="001B597B">
        <w:rPr>
          <w:rFonts w:eastAsiaTheme="minorEastAsia" w:cstheme="minorHAnsi"/>
          <w:lang w:eastAsia="zh-CN"/>
        </w:rPr>
        <w:t xml:space="preserve">less </w:t>
      </w:r>
      <w:r w:rsidR="00880290">
        <w:rPr>
          <w:rFonts w:eastAsiaTheme="minorEastAsia" w:cstheme="minorHAnsi"/>
          <w:lang w:eastAsia="zh-CN"/>
        </w:rPr>
        <w:t>information in December tha</w:t>
      </w:r>
      <w:r w:rsidR="005C0FB1">
        <w:rPr>
          <w:rFonts w:eastAsiaTheme="minorEastAsia" w:cstheme="minorHAnsi"/>
          <w:lang w:eastAsia="zh-CN"/>
        </w:rPr>
        <w:t>n</w:t>
      </w:r>
      <w:r w:rsidR="00880290">
        <w:rPr>
          <w:rFonts w:eastAsiaTheme="minorEastAsia" w:cstheme="minorHAnsi"/>
          <w:lang w:eastAsia="zh-CN"/>
        </w:rPr>
        <w:t xml:space="preserve"> at present</w:t>
      </w:r>
      <w:r w:rsidR="001B597B">
        <w:rPr>
          <w:rFonts w:eastAsiaTheme="minorEastAsia" w:cstheme="minorHAnsi"/>
          <w:lang w:eastAsia="zh-CN"/>
        </w:rPr>
        <w:t>.  But</w:t>
      </w:r>
      <w:r w:rsidR="005C0FB1">
        <w:rPr>
          <w:rFonts w:eastAsiaTheme="minorEastAsia" w:cstheme="minorHAnsi"/>
          <w:lang w:eastAsia="zh-CN"/>
        </w:rPr>
        <w:t xml:space="preserve">, in reality, </w:t>
      </w:r>
      <w:r w:rsidR="009352E6">
        <w:rPr>
          <w:rFonts w:eastAsiaTheme="minorEastAsia" w:cstheme="minorHAnsi"/>
          <w:lang w:eastAsia="zh-CN"/>
        </w:rPr>
        <w:t xml:space="preserve">authorities </w:t>
      </w:r>
      <w:r w:rsidR="00123B94">
        <w:rPr>
          <w:rFonts w:eastAsiaTheme="minorEastAsia" w:cstheme="minorHAnsi"/>
          <w:lang w:eastAsia="zh-CN"/>
        </w:rPr>
        <w:t>c</w:t>
      </w:r>
      <w:r w:rsidR="00347926">
        <w:rPr>
          <w:rFonts w:eastAsiaTheme="minorEastAsia" w:cstheme="minorHAnsi"/>
          <w:lang w:eastAsia="zh-CN"/>
        </w:rPr>
        <w:t xml:space="preserve">ould be </w:t>
      </w:r>
      <w:r w:rsidR="00123B94">
        <w:rPr>
          <w:rFonts w:eastAsiaTheme="minorEastAsia" w:cstheme="minorHAnsi"/>
          <w:lang w:eastAsia="zh-CN"/>
        </w:rPr>
        <w:t xml:space="preserve">given </w:t>
      </w:r>
      <w:r w:rsidR="00347926">
        <w:rPr>
          <w:rFonts w:eastAsiaTheme="minorEastAsia" w:cstheme="minorHAnsi"/>
          <w:lang w:eastAsia="zh-CN"/>
        </w:rPr>
        <w:t>as  much, if not more</w:t>
      </w:r>
      <w:r w:rsidR="00123B94">
        <w:rPr>
          <w:rFonts w:eastAsiaTheme="minorEastAsia" w:cstheme="minorHAnsi"/>
          <w:lang w:eastAsia="zh-CN"/>
        </w:rPr>
        <w:t>,</w:t>
      </w:r>
      <w:r w:rsidR="00347926">
        <w:rPr>
          <w:rFonts w:eastAsiaTheme="minorEastAsia" w:cstheme="minorHAnsi"/>
          <w:lang w:eastAsia="zh-CN"/>
        </w:rPr>
        <w:t xml:space="preserve"> </w:t>
      </w:r>
      <w:r w:rsidR="008A4369">
        <w:rPr>
          <w:rFonts w:eastAsiaTheme="minorEastAsia" w:cstheme="minorHAnsi"/>
          <w:lang w:eastAsia="zh-CN"/>
        </w:rPr>
        <w:t xml:space="preserve">budget </w:t>
      </w:r>
      <w:r w:rsidR="00347926">
        <w:rPr>
          <w:rFonts w:eastAsiaTheme="minorEastAsia" w:cstheme="minorHAnsi"/>
          <w:lang w:eastAsia="zh-CN"/>
        </w:rPr>
        <w:t xml:space="preserve">certainty than </w:t>
      </w:r>
      <w:r w:rsidR="00E90697">
        <w:rPr>
          <w:rFonts w:eastAsiaTheme="minorEastAsia" w:cstheme="minorHAnsi"/>
          <w:lang w:eastAsia="zh-CN"/>
        </w:rPr>
        <w:t>now</w:t>
      </w:r>
      <w:r w:rsidR="001B597B">
        <w:rPr>
          <w:rFonts w:eastAsiaTheme="minorEastAsia" w:cstheme="minorHAnsi"/>
          <w:lang w:eastAsia="zh-CN"/>
        </w:rPr>
        <w:t xml:space="preserve"> </w:t>
      </w:r>
      <w:r w:rsidR="00023A23">
        <w:rPr>
          <w:rFonts w:eastAsiaTheme="minorEastAsia" w:cstheme="minorHAnsi"/>
          <w:lang w:eastAsia="zh-CN"/>
        </w:rPr>
        <w:t xml:space="preserve">at the </w:t>
      </w:r>
      <w:r w:rsidR="001B597B">
        <w:rPr>
          <w:rFonts w:eastAsiaTheme="minorEastAsia" w:cstheme="minorHAnsi"/>
          <w:lang w:eastAsia="zh-CN"/>
        </w:rPr>
        <w:t xml:space="preserve">provisional </w:t>
      </w:r>
      <w:r w:rsidR="00023A23">
        <w:rPr>
          <w:rFonts w:eastAsiaTheme="minorEastAsia" w:cstheme="minorHAnsi"/>
          <w:lang w:eastAsia="zh-CN"/>
        </w:rPr>
        <w:t>LGF</w:t>
      </w:r>
      <w:r w:rsidR="00D54E2B">
        <w:rPr>
          <w:rFonts w:eastAsiaTheme="minorEastAsia" w:cstheme="minorHAnsi"/>
          <w:lang w:eastAsia="zh-CN"/>
        </w:rPr>
        <w:t>R</w:t>
      </w:r>
      <w:r w:rsidR="00E90697">
        <w:rPr>
          <w:rFonts w:eastAsiaTheme="minorEastAsia" w:cstheme="minorHAnsi"/>
          <w:lang w:eastAsia="zh-CN"/>
        </w:rPr>
        <w:t xml:space="preserve">.  This is because, </w:t>
      </w:r>
      <w:r w:rsidR="00BA3F60">
        <w:rPr>
          <w:rFonts w:eastAsiaTheme="minorEastAsia" w:cstheme="minorHAnsi"/>
          <w:lang w:eastAsia="zh-CN"/>
        </w:rPr>
        <w:t xml:space="preserve">in a </w:t>
      </w:r>
      <w:r w:rsidR="00E90697">
        <w:rPr>
          <w:rFonts w:eastAsiaTheme="minorEastAsia" w:cstheme="minorHAnsi"/>
          <w:lang w:eastAsia="zh-CN"/>
        </w:rPr>
        <w:t>provisiona</w:t>
      </w:r>
      <w:r w:rsidR="00BA3F60">
        <w:rPr>
          <w:rFonts w:eastAsiaTheme="minorEastAsia" w:cstheme="minorHAnsi"/>
          <w:lang w:eastAsia="zh-CN"/>
        </w:rPr>
        <w:t>l</w:t>
      </w:r>
      <w:r w:rsidR="00E90697">
        <w:rPr>
          <w:rFonts w:eastAsiaTheme="minorEastAsia" w:cstheme="minorHAnsi"/>
          <w:lang w:eastAsia="zh-CN"/>
        </w:rPr>
        <w:t xml:space="preserve"> </w:t>
      </w:r>
      <w:r w:rsidR="00BA3F60">
        <w:rPr>
          <w:rFonts w:eastAsiaTheme="minorEastAsia" w:cstheme="minorHAnsi"/>
          <w:lang w:eastAsia="zh-CN"/>
        </w:rPr>
        <w:t>LGFR</w:t>
      </w:r>
      <w:r w:rsidR="00E90697">
        <w:rPr>
          <w:rFonts w:eastAsiaTheme="minorEastAsia" w:cstheme="minorHAnsi"/>
          <w:lang w:eastAsia="zh-CN"/>
        </w:rPr>
        <w:t xml:space="preserve">, we </w:t>
      </w:r>
      <w:r w:rsidR="00BA3F60">
        <w:rPr>
          <w:rFonts w:eastAsiaTheme="minorEastAsia" w:cstheme="minorHAnsi"/>
          <w:lang w:eastAsia="zh-CN"/>
        </w:rPr>
        <w:t>c</w:t>
      </w:r>
      <w:r w:rsidR="00E90697">
        <w:rPr>
          <w:rFonts w:eastAsiaTheme="minorEastAsia" w:cstheme="minorHAnsi"/>
          <w:lang w:eastAsia="zh-CN"/>
        </w:rPr>
        <w:t xml:space="preserve">ould set out each authority’s </w:t>
      </w:r>
      <w:r w:rsidR="00E90697" w:rsidRPr="00BA3F60">
        <w:rPr>
          <w:rFonts w:eastAsiaTheme="minorEastAsia" w:cstheme="minorHAnsi"/>
          <w:i/>
          <w:lang w:eastAsia="zh-CN"/>
        </w:rPr>
        <w:t>baseline funding level</w:t>
      </w:r>
      <w:r w:rsidR="00DC3123">
        <w:rPr>
          <w:rFonts w:eastAsiaTheme="minorEastAsia" w:cstheme="minorHAnsi"/>
          <w:lang w:eastAsia="zh-CN"/>
        </w:rPr>
        <w:t xml:space="preserve"> and the methodology by which we would calculate tariffs</w:t>
      </w:r>
      <w:r w:rsidR="00BA3F60">
        <w:rPr>
          <w:rFonts w:eastAsiaTheme="minorEastAsia" w:cstheme="minorHAnsi"/>
          <w:lang w:eastAsia="zh-CN"/>
        </w:rPr>
        <w:t xml:space="preserve"> </w:t>
      </w:r>
      <w:r w:rsidR="00DC3123">
        <w:rPr>
          <w:rFonts w:eastAsiaTheme="minorEastAsia" w:cstheme="minorHAnsi"/>
          <w:lang w:eastAsia="zh-CN"/>
        </w:rPr>
        <w:t>an</w:t>
      </w:r>
      <w:r w:rsidR="00BA3F60">
        <w:rPr>
          <w:rFonts w:eastAsiaTheme="minorEastAsia" w:cstheme="minorHAnsi"/>
          <w:lang w:eastAsia="zh-CN"/>
        </w:rPr>
        <w:t>d</w:t>
      </w:r>
      <w:r w:rsidR="00DC3123">
        <w:rPr>
          <w:rFonts w:eastAsiaTheme="minorEastAsia" w:cstheme="minorHAnsi"/>
          <w:lang w:eastAsia="zh-CN"/>
        </w:rPr>
        <w:t xml:space="preserve"> top-ups</w:t>
      </w:r>
      <w:r w:rsidR="00D54E2B">
        <w:rPr>
          <w:rFonts w:eastAsiaTheme="minorEastAsia" w:cstheme="minorHAnsi"/>
          <w:lang w:eastAsia="zh-CN"/>
        </w:rPr>
        <w:t>.</w:t>
      </w:r>
      <w:r w:rsidR="00DC3123">
        <w:rPr>
          <w:rFonts w:eastAsiaTheme="minorEastAsia" w:cstheme="minorHAnsi"/>
          <w:lang w:eastAsia="zh-CN"/>
        </w:rPr>
        <w:t xml:space="preserve">  As set out </w:t>
      </w:r>
      <w:r w:rsidR="00C80695">
        <w:rPr>
          <w:rFonts w:eastAsiaTheme="minorEastAsia" w:cstheme="minorHAnsi"/>
          <w:lang w:eastAsia="zh-CN"/>
        </w:rPr>
        <w:t xml:space="preserve">in paragraph 7 above, each authority would know that </w:t>
      </w:r>
      <w:r w:rsidR="00B823B9">
        <w:rPr>
          <w:rFonts w:eastAsiaTheme="minorEastAsia" w:cstheme="minorHAnsi"/>
          <w:lang w:eastAsia="zh-CN"/>
        </w:rPr>
        <w:t xml:space="preserve">regardless of </w:t>
      </w:r>
      <w:r w:rsidR="009822DA">
        <w:rPr>
          <w:rFonts w:eastAsiaTheme="minorEastAsia" w:cstheme="minorHAnsi"/>
          <w:lang w:eastAsia="zh-CN"/>
        </w:rPr>
        <w:t xml:space="preserve">the </w:t>
      </w:r>
      <w:r w:rsidR="00C80695">
        <w:rPr>
          <w:rFonts w:eastAsiaTheme="minorEastAsia" w:cstheme="minorHAnsi"/>
          <w:lang w:eastAsia="zh-CN"/>
        </w:rPr>
        <w:t>tariff/top-up</w:t>
      </w:r>
      <w:r w:rsidR="00483F88">
        <w:rPr>
          <w:rFonts w:eastAsiaTheme="minorEastAsia" w:cstheme="minorHAnsi"/>
          <w:lang w:eastAsia="zh-CN"/>
        </w:rPr>
        <w:t xml:space="preserve"> </w:t>
      </w:r>
      <w:r w:rsidR="006801B0">
        <w:rPr>
          <w:rFonts w:eastAsiaTheme="minorEastAsia" w:cstheme="minorHAnsi"/>
          <w:lang w:eastAsia="zh-CN"/>
        </w:rPr>
        <w:t xml:space="preserve">amount finally calculated, </w:t>
      </w:r>
      <w:r w:rsidR="00A406A5">
        <w:rPr>
          <w:rFonts w:eastAsiaTheme="minorEastAsia" w:cstheme="minorHAnsi"/>
          <w:lang w:eastAsia="zh-CN"/>
        </w:rPr>
        <w:t xml:space="preserve">their </w:t>
      </w:r>
      <w:r w:rsidR="00E81342">
        <w:rPr>
          <w:rFonts w:eastAsiaTheme="minorEastAsia" w:cstheme="minorHAnsi"/>
          <w:lang w:eastAsia="zh-CN"/>
        </w:rPr>
        <w:t xml:space="preserve">non-domestic rating income </w:t>
      </w:r>
      <w:r w:rsidR="00A406A5">
        <w:rPr>
          <w:rFonts w:eastAsiaTheme="minorEastAsia" w:cstheme="minorHAnsi"/>
          <w:lang w:eastAsia="zh-CN"/>
        </w:rPr>
        <w:t xml:space="preserve">would equal </w:t>
      </w:r>
      <w:r w:rsidR="00E81342" w:rsidRPr="00671220">
        <w:rPr>
          <w:rFonts w:eastAsiaTheme="minorEastAsia" w:cstheme="minorHAnsi"/>
          <w:i/>
          <w:lang w:eastAsia="zh-CN"/>
        </w:rPr>
        <w:t>baseline funding level</w:t>
      </w:r>
      <w:r w:rsidR="00E81342">
        <w:rPr>
          <w:rFonts w:eastAsiaTheme="minorEastAsia" w:cstheme="minorHAnsi"/>
          <w:lang w:eastAsia="zh-CN"/>
        </w:rPr>
        <w:t xml:space="preserve">, plus </w:t>
      </w:r>
      <w:r w:rsidR="00A406A5">
        <w:rPr>
          <w:rFonts w:eastAsiaTheme="minorEastAsia" w:cstheme="minorHAnsi"/>
          <w:lang w:eastAsia="zh-CN"/>
        </w:rPr>
        <w:t xml:space="preserve">their </w:t>
      </w:r>
      <w:r w:rsidR="005B5263">
        <w:rPr>
          <w:rFonts w:eastAsiaTheme="minorEastAsia" w:cstheme="minorHAnsi"/>
          <w:lang w:eastAsia="zh-CN"/>
        </w:rPr>
        <w:t>“</w:t>
      </w:r>
      <w:r w:rsidR="00E81342">
        <w:rPr>
          <w:rFonts w:eastAsiaTheme="minorEastAsia" w:cstheme="minorHAnsi"/>
          <w:lang w:eastAsia="zh-CN"/>
        </w:rPr>
        <w:t>growth</w:t>
      </w:r>
      <w:r w:rsidR="005B5263">
        <w:rPr>
          <w:rFonts w:eastAsiaTheme="minorEastAsia" w:cstheme="minorHAnsi"/>
          <w:lang w:eastAsia="zh-CN"/>
        </w:rPr>
        <w:t>”</w:t>
      </w:r>
      <w:r w:rsidR="009A3203">
        <w:rPr>
          <w:rFonts w:eastAsiaTheme="minorEastAsia" w:cstheme="minorHAnsi"/>
          <w:lang w:eastAsia="zh-CN"/>
        </w:rPr>
        <w:t xml:space="preserve">.  </w:t>
      </w:r>
    </w:p>
    <w:p w14:paraId="54351A7F" w14:textId="76901D03" w:rsidR="006C5BF1" w:rsidRDefault="005B5263" w:rsidP="00D95A53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>At the very least, t</w:t>
      </w:r>
      <w:r w:rsidR="002F3026">
        <w:rPr>
          <w:rFonts w:eastAsiaTheme="minorEastAsia" w:cstheme="minorHAnsi"/>
          <w:lang w:eastAsia="zh-CN"/>
        </w:rPr>
        <w:t xml:space="preserve">he provisional LGFR would also </w:t>
      </w:r>
      <w:r w:rsidR="00512D2D">
        <w:rPr>
          <w:rFonts w:eastAsiaTheme="minorEastAsia" w:cstheme="minorHAnsi"/>
          <w:lang w:eastAsia="zh-CN"/>
        </w:rPr>
        <w:t>set out how “growth” was to be calculated</w:t>
      </w:r>
      <w:r>
        <w:rPr>
          <w:rFonts w:eastAsiaTheme="minorEastAsia" w:cstheme="minorHAnsi"/>
          <w:lang w:eastAsia="zh-CN"/>
        </w:rPr>
        <w:t xml:space="preserve">.  </w:t>
      </w:r>
      <w:r w:rsidR="00AA5CFA">
        <w:rPr>
          <w:rFonts w:eastAsiaTheme="minorEastAsia" w:cstheme="minorHAnsi"/>
          <w:lang w:eastAsia="zh-CN"/>
        </w:rPr>
        <w:t xml:space="preserve">Under </w:t>
      </w:r>
      <w:r w:rsidR="00183C07">
        <w:rPr>
          <w:rFonts w:eastAsiaTheme="minorEastAsia" w:cstheme="minorHAnsi"/>
          <w:lang w:eastAsia="zh-CN"/>
        </w:rPr>
        <w:t xml:space="preserve">an alternative model in which growth </w:t>
      </w:r>
      <w:r w:rsidR="000F7808">
        <w:rPr>
          <w:rFonts w:eastAsiaTheme="minorEastAsia" w:cstheme="minorHAnsi"/>
          <w:lang w:eastAsia="zh-CN"/>
        </w:rPr>
        <w:t xml:space="preserve">was calculated </w:t>
      </w:r>
      <w:r w:rsidR="00C87943">
        <w:rPr>
          <w:rFonts w:eastAsiaTheme="minorEastAsia" w:cstheme="minorHAnsi"/>
          <w:lang w:eastAsia="zh-CN"/>
        </w:rPr>
        <w:t xml:space="preserve">using </w:t>
      </w:r>
      <w:r w:rsidR="000F7808">
        <w:rPr>
          <w:rFonts w:eastAsiaTheme="minorEastAsia" w:cstheme="minorHAnsi"/>
          <w:lang w:eastAsia="zh-CN"/>
        </w:rPr>
        <w:t>NNDR1</w:t>
      </w:r>
      <w:r w:rsidR="00C87943">
        <w:rPr>
          <w:rFonts w:eastAsiaTheme="minorEastAsia" w:cstheme="minorHAnsi"/>
          <w:lang w:eastAsia="zh-CN"/>
        </w:rPr>
        <w:t xml:space="preserve"> data</w:t>
      </w:r>
      <w:r w:rsidR="002D1EF1">
        <w:rPr>
          <w:rFonts w:eastAsiaTheme="minorEastAsia" w:cstheme="minorHAnsi"/>
          <w:lang w:eastAsia="zh-CN"/>
        </w:rPr>
        <w:t xml:space="preserve">, authorities would be able to </w:t>
      </w:r>
      <w:r w:rsidR="00526B59">
        <w:rPr>
          <w:rFonts w:eastAsiaTheme="minorEastAsia" w:cstheme="minorHAnsi"/>
          <w:lang w:eastAsia="zh-CN"/>
        </w:rPr>
        <w:t xml:space="preserve">calculate the growth figure themselves as soon as they had completed their NNDR1 (in other words, they would be in the same position </w:t>
      </w:r>
      <w:r w:rsidR="005C47E8">
        <w:rPr>
          <w:rFonts w:eastAsiaTheme="minorEastAsia" w:cstheme="minorHAnsi"/>
          <w:lang w:eastAsia="zh-CN"/>
        </w:rPr>
        <w:t>vis-à-vis growth, as they ar</w:t>
      </w:r>
      <w:r w:rsidR="00816E45">
        <w:rPr>
          <w:rFonts w:eastAsiaTheme="minorEastAsia" w:cstheme="minorHAnsi"/>
          <w:lang w:eastAsia="zh-CN"/>
        </w:rPr>
        <w:t>e</w:t>
      </w:r>
      <w:r w:rsidR="005C47E8">
        <w:rPr>
          <w:rFonts w:eastAsiaTheme="minorEastAsia" w:cstheme="minorHAnsi"/>
          <w:lang w:eastAsia="zh-CN"/>
        </w:rPr>
        <w:t xml:space="preserve"> currently vis-à-vis their share of non-domestic rating income).  If, on the other hand, </w:t>
      </w:r>
      <w:r>
        <w:rPr>
          <w:rFonts w:eastAsiaTheme="minorEastAsia" w:cstheme="minorHAnsi"/>
          <w:lang w:eastAsia="zh-CN"/>
        </w:rPr>
        <w:t xml:space="preserve">we were </w:t>
      </w:r>
      <w:r w:rsidR="00C8771D">
        <w:rPr>
          <w:rFonts w:eastAsiaTheme="minorEastAsia" w:cstheme="minorHAnsi"/>
          <w:lang w:eastAsia="zh-CN"/>
        </w:rPr>
        <w:t>running a “lagged system”</w:t>
      </w:r>
      <w:r w:rsidR="00481DA6">
        <w:rPr>
          <w:rFonts w:eastAsiaTheme="minorEastAsia" w:cstheme="minorHAnsi"/>
          <w:lang w:eastAsia="zh-CN"/>
        </w:rPr>
        <w:t xml:space="preserve">, </w:t>
      </w:r>
      <w:r w:rsidR="004E3F11">
        <w:rPr>
          <w:rFonts w:eastAsiaTheme="minorEastAsia" w:cstheme="minorHAnsi"/>
          <w:lang w:eastAsia="zh-CN"/>
        </w:rPr>
        <w:t xml:space="preserve">we could publish the growth figure to be used in the tariff/top-up calculation at the </w:t>
      </w:r>
      <w:r w:rsidR="008B11C4">
        <w:rPr>
          <w:rFonts w:eastAsiaTheme="minorEastAsia" w:cstheme="minorHAnsi"/>
          <w:lang w:eastAsia="zh-CN"/>
        </w:rPr>
        <w:t xml:space="preserve">provisional LGFR </w:t>
      </w:r>
      <w:r w:rsidR="00CD0FF6">
        <w:rPr>
          <w:rFonts w:eastAsiaTheme="minorEastAsia" w:cstheme="minorHAnsi"/>
          <w:lang w:eastAsia="zh-CN"/>
        </w:rPr>
        <w:t>(as long as the G</w:t>
      </w:r>
      <w:r w:rsidR="001C6082">
        <w:rPr>
          <w:rFonts w:eastAsiaTheme="minorEastAsia" w:cstheme="minorHAnsi"/>
          <w:lang w:eastAsia="zh-CN"/>
        </w:rPr>
        <w:t>o</w:t>
      </w:r>
      <w:r w:rsidR="00CD0FF6">
        <w:rPr>
          <w:rFonts w:eastAsiaTheme="minorEastAsia" w:cstheme="minorHAnsi"/>
          <w:lang w:eastAsia="zh-CN"/>
        </w:rPr>
        <w:t>vernm</w:t>
      </w:r>
      <w:r w:rsidR="001C6082">
        <w:rPr>
          <w:rFonts w:eastAsiaTheme="minorEastAsia" w:cstheme="minorHAnsi"/>
          <w:lang w:eastAsia="zh-CN"/>
        </w:rPr>
        <w:t>e</w:t>
      </w:r>
      <w:r w:rsidR="00CD0FF6">
        <w:rPr>
          <w:rFonts w:eastAsiaTheme="minorEastAsia" w:cstheme="minorHAnsi"/>
          <w:lang w:eastAsia="zh-CN"/>
        </w:rPr>
        <w:t>nt committed itself to</w:t>
      </w:r>
      <w:r w:rsidR="006E1B84">
        <w:rPr>
          <w:rFonts w:eastAsiaTheme="minorEastAsia" w:cstheme="minorHAnsi"/>
          <w:lang w:eastAsia="zh-CN"/>
        </w:rPr>
        <w:t xml:space="preserve"> keep the </w:t>
      </w:r>
      <w:r w:rsidR="006E1B84">
        <w:rPr>
          <w:rFonts w:eastAsiaTheme="minorEastAsia" w:cstheme="minorHAnsi"/>
          <w:lang w:eastAsia="zh-CN"/>
        </w:rPr>
        <w:lastRenderedPageBreak/>
        <w:t>same methodology for calcu</w:t>
      </w:r>
      <w:r w:rsidR="005C663D">
        <w:rPr>
          <w:rFonts w:eastAsiaTheme="minorEastAsia" w:cstheme="minorHAnsi"/>
          <w:lang w:eastAsia="zh-CN"/>
        </w:rPr>
        <w:t>la</w:t>
      </w:r>
      <w:r w:rsidR="006E1B84">
        <w:rPr>
          <w:rFonts w:eastAsiaTheme="minorEastAsia" w:cstheme="minorHAnsi"/>
          <w:lang w:eastAsia="zh-CN"/>
        </w:rPr>
        <w:t xml:space="preserve">ting growth throughout a reset period, </w:t>
      </w:r>
      <w:r w:rsidR="00BD651C">
        <w:rPr>
          <w:rFonts w:eastAsiaTheme="minorEastAsia" w:cstheme="minorHAnsi"/>
          <w:lang w:eastAsia="zh-CN"/>
        </w:rPr>
        <w:t>under a lagged system</w:t>
      </w:r>
      <w:r w:rsidR="0019064D">
        <w:rPr>
          <w:rFonts w:eastAsiaTheme="minorEastAsia" w:cstheme="minorHAnsi"/>
          <w:lang w:eastAsia="zh-CN"/>
        </w:rPr>
        <w:t xml:space="preserve">, </w:t>
      </w:r>
      <w:r w:rsidR="006E1B84">
        <w:rPr>
          <w:rFonts w:eastAsiaTheme="minorEastAsia" w:cstheme="minorHAnsi"/>
          <w:lang w:eastAsia="zh-CN"/>
        </w:rPr>
        <w:t>authorities would be able to</w:t>
      </w:r>
      <w:r w:rsidR="00121E48">
        <w:rPr>
          <w:rFonts w:eastAsiaTheme="minorEastAsia" w:cstheme="minorHAnsi"/>
          <w:lang w:eastAsia="zh-CN"/>
        </w:rPr>
        <w:t xml:space="preserve"> estimate th</w:t>
      </w:r>
      <w:r w:rsidR="005C663D">
        <w:rPr>
          <w:rFonts w:eastAsiaTheme="minorEastAsia" w:cstheme="minorHAnsi"/>
          <w:lang w:eastAsia="zh-CN"/>
        </w:rPr>
        <w:t>e</w:t>
      </w:r>
      <w:r w:rsidR="00121E48">
        <w:rPr>
          <w:rFonts w:eastAsiaTheme="minorEastAsia" w:cstheme="minorHAnsi"/>
          <w:lang w:eastAsia="zh-CN"/>
        </w:rPr>
        <w:t xml:space="preserve">ir own “growth” figures as soon as they had completed the NNDR3s on which </w:t>
      </w:r>
      <w:r w:rsidR="00E153EA">
        <w:rPr>
          <w:rFonts w:eastAsiaTheme="minorEastAsia" w:cstheme="minorHAnsi"/>
          <w:lang w:eastAsia="zh-CN"/>
        </w:rPr>
        <w:t>that growth w</w:t>
      </w:r>
      <w:r w:rsidR="005C663D">
        <w:rPr>
          <w:rFonts w:eastAsiaTheme="minorEastAsia" w:cstheme="minorHAnsi"/>
          <w:lang w:eastAsia="zh-CN"/>
        </w:rPr>
        <w:t xml:space="preserve">as to </w:t>
      </w:r>
      <w:r w:rsidR="00E153EA">
        <w:rPr>
          <w:rFonts w:eastAsiaTheme="minorEastAsia" w:cstheme="minorHAnsi"/>
          <w:lang w:eastAsia="zh-CN"/>
        </w:rPr>
        <w:t>be calculated</w:t>
      </w:r>
      <w:r w:rsidR="0019064D">
        <w:rPr>
          <w:rFonts w:eastAsiaTheme="minorEastAsia" w:cstheme="minorHAnsi"/>
          <w:lang w:eastAsia="zh-CN"/>
        </w:rPr>
        <w:t xml:space="preserve"> (</w:t>
      </w:r>
      <w:proofErr w:type="spellStart"/>
      <w:r w:rsidR="0019064D">
        <w:rPr>
          <w:rFonts w:eastAsiaTheme="minorEastAsia" w:cstheme="minorHAnsi"/>
          <w:lang w:eastAsia="zh-CN"/>
        </w:rPr>
        <w:t>ie</w:t>
      </w:r>
      <w:proofErr w:type="spellEnd"/>
      <w:r w:rsidR="0019064D">
        <w:rPr>
          <w:rFonts w:eastAsiaTheme="minorEastAsia" w:cstheme="minorHAnsi"/>
          <w:lang w:eastAsia="zh-CN"/>
        </w:rPr>
        <w:t xml:space="preserve">. </w:t>
      </w:r>
      <w:r w:rsidR="00821C08">
        <w:rPr>
          <w:rFonts w:eastAsiaTheme="minorEastAsia" w:cstheme="minorHAnsi"/>
          <w:lang w:eastAsia="zh-CN"/>
        </w:rPr>
        <w:t xml:space="preserve">in the </w:t>
      </w:r>
      <w:r w:rsidR="0019064D">
        <w:rPr>
          <w:rFonts w:eastAsiaTheme="minorEastAsia" w:cstheme="minorHAnsi"/>
          <w:lang w:eastAsia="zh-CN"/>
        </w:rPr>
        <w:t xml:space="preserve">July </w:t>
      </w:r>
      <w:r w:rsidR="00821C08">
        <w:rPr>
          <w:rFonts w:eastAsiaTheme="minorEastAsia" w:cstheme="minorHAnsi"/>
          <w:lang w:eastAsia="zh-CN"/>
        </w:rPr>
        <w:t>before the provisional LGFR).</w:t>
      </w:r>
    </w:p>
    <w:p w14:paraId="3BCA45ED" w14:textId="24B430BC" w:rsidR="006C5BF1" w:rsidRPr="0053426D" w:rsidRDefault="006C5BF1" w:rsidP="006C5BF1">
      <w:pPr>
        <w:spacing w:line="240" w:lineRule="auto"/>
        <w:rPr>
          <w:rFonts w:eastAsiaTheme="minorEastAsia" w:cstheme="minorHAnsi"/>
          <w:b/>
          <w:u w:val="single"/>
          <w:lang w:eastAsia="zh-CN"/>
        </w:rPr>
      </w:pPr>
      <w:r w:rsidRPr="0053426D">
        <w:rPr>
          <w:rFonts w:eastAsiaTheme="minorEastAsia" w:cstheme="minorHAnsi"/>
          <w:b/>
          <w:u w:val="single"/>
          <w:lang w:eastAsia="zh-CN"/>
        </w:rPr>
        <w:t>NNDR1</w:t>
      </w:r>
      <w:r w:rsidR="001A477C" w:rsidRPr="0053426D">
        <w:rPr>
          <w:rFonts w:eastAsiaTheme="minorEastAsia" w:cstheme="minorHAnsi"/>
          <w:b/>
          <w:u w:val="single"/>
          <w:lang w:eastAsia="zh-CN"/>
        </w:rPr>
        <w:t>s</w:t>
      </w:r>
    </w:p>
    <w:p w14:paraId="0B216AE3" w14:textId="18C0B207" w:rsidR="00E71BAD" w:rsidRDefault="008C6D05" w:rsidP="00D95A53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>As set out above, there would be no need to change the timing of NNDR1s</w:t>
      </w:r>
      <w:r w:rsidR="00851A96">
        <w:rPr>
          <w:rFonts w:eastAsiaTheme="minorEastAsia" w:cstheme="minorHAnsi"/>
          <w:lang w:eastAsia="zh-CN"/>
        </w:rPr>
        <w:t xml:space="preserve"> as a result of the alternative model</w:t>
      </w:r>
      <w:r>
        <w:rPr>
          <w:rFonts w:eastAsiaTheme="minorEastAsia" w:cstheme="minorHAnsi"/>
          <w:lang w:eastAsia="zh-CN"/>
        </w:rPr>
        <w:t xml:space="preserve">.  Forms could continue to be sent to authorities in mid-December and returned </w:t>
      </w:r>
      <w:r w:rsidR="00B302F7">
        <w:rPr>
          <w:rFonts w:eastAsiaTheme="minorEastAsia" w:cstheme="minorHAnsi"/>
          <w:lang w:eastAsia="zh-CN"/>
        </w:rPr>
        <w:t xml:space="preserve">by end-January.  Any change in timing would be driven by a desire to </w:t>
      </w:r>
      <w:r w:rsidR="00E71BAD">
        <w:rPr>
          <w:rFonts w:eastAsiaTheme="minorEastAsia" w:cstheme="minorHAnsi"/>
          <w:lang w:eastAsia="zh-CN"/>
        </w:rPr>
        <w:t>bring the process forward</w:t>
      </w:r>
      <w:r w:rsidR="00461DA7">
        <w:rPr>
          <w:rFonts w:eastAsiaTheme="minorEastAsia" w:cstheme="minorHAnsi"/>
          <w:lang w:eastAsia="zh-CN"/>
        </w:rPr>
        <w:t xml:space="preserve"> for other reasons</w:t>
      </w:r>
      <w:r w:rsidR="00E71BAD">
        <w:rPr>
          <w:rFonts w:eastAsiaTheme="minorEastAsia" w:cstheme="minorHAnsi"/>
          <w:lang w:eastAsia="zh-CN"/>
        </w:rPr>
        <w:t>, not because of an operational need arising from the adoption of the alternative model.</w:t>
      </w:r>
    </w:p>
    <w:p w14:paraId="11593886" w14:textId="3909E941" w:rsidR="0046731A" w:rsidRDefault="00E30843" w:rsidP="00D95A53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>Under the alternative model, t</w:t>
      </w:r>
      <w:r w:rsidR="00DE3575">
        <w:rPr>
          <w:rFonts w:eastAsiaTheme="minorEastAsia" w:cstheme="minorHAnsi"/>
          <w:lang w:eastAsia="zh-CN"/>
        </w:rPr>
        <w:t xml:space="preserve">he data collected through NNDR1s would be broadly similar </w:t>
      </w:r>
      <w:r>
        <w:rPr>
          <w:rFonts w:eastAsiaTheme="minorEastAsia" w:cstheme="minorHAnsi"/>
          <w:lang w:eastAsia="zh-CN"/>
        </w:rPr>
        <w:t>to now.</w:t>
      </w:r>
      <w:r w:rsidR="00B439EF">
        <w:rPr>
          <w:rFonts w:eastAsiaTheme="minorEastAsia" w:cstheme="minorHAnsi"/>
          <w:lang w:eastAsia="zh-CN"/>
        </w:rPr>
        <w:t xml:space="preserve">  </w:t>
      </w:r>
      <w:r w:rsidR="000B325E">
        <w:rPr>
          <w:rFonts w:eastAsiaTheme="minorEastAsia" w:cstheme="minorHAnsi"/>
          <w:lang w:eastAsia="zh-CN"/>
        </w:rPr>
        <w:t xml:space="preserve">Potentially, there could be </w:t>
      </w:r>
      <w:r w:rsidR="00887031">
        <w:rPr>
          <w:rFonts w:eastAsiaTheme="minorEastAsia" w:cstheme="minorHAnsi"/>
          <w:lang w:eastAsia="zh-CN"/>
        </w:rPr>
        <w:t xml:space="preserve">differences in </w:t>
      </w:r>
      <w:r w:rsidR="00BD494A">
        <w:rPr>
          <w:rFonts w:eastAsiaTheme="minorEastAsia" w:cstheme="minorHAnsi"/>
          <w:lang w:eastAsia="zh-CN"/>
        </w:rPr>
        <w:t>the treatment of</w:t>
      </w:r>
      <w:r w:rsidR="0046731A">
        <w:rPr>
          <w:rFonts w:eastAsiaTheme="minorEastAsia" w:cstheme="minorHAnsi"/>
          <w:lang w:eastAsia="zh-CN"/>
        </w:rPr>
        <w:t>:</w:t>
      </w:r>
    </w:p>
    <w:p w14:paraId="04B16BE3" w14:textId="4C462513" w:rsidR="00BD494A" w:rsidRDefault="00BD494A" w:rsidP="0046731A">
      <w:pPr>
        <w:numPr>
          <w:ilvl w:val="1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>transitional pro</w:t>
      </w:r>
      <w:r w:rsidR="00887031">
        <w:rPr>
          <w:rFonts w:eastAsiaTheme="minorEastAsia" w:cstheme="minorHAnsi"/>
          <w:lang w:eastAsia="zh-CN"/>
        </w:rPr>
        <w:t>t</w:t>
      </w:r>
      <w:r>
        <w:rPr>
          <w:rFonts w:eastAsiaTheme="minorEastAsia" w:cstheme="minorHAnsi"/>
          <w:lang w:eastAsia="zh-CN"/>
        </w:rPr>
        <w:t>ection payments</w:t>
      </w:r>
    </w:p>
    <w:p w14:paraId="06C9B5FB" w14:textId="1CB85963" w:rsidR="0046731A" w:rsidRDefault="00887031" w:rsidP="0046731A">
      <w:pPr>
        <w:numPr>
          <w:ilvl w:val="1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>section 31 grants</w:t>
      </w:r>
    </w:p>
    <w:p w14:paraId="634824DD" w14:textId="453685E5" w:rsidR="00AA4EE2" w:rsidRPr="008F570C" w:rsidRDefault="00AA4EE2" w:rsidP="008F570C">
      <w:pPr>
        <w:numPr>
          <w:ilvl w:val="1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>estimated Collection Fund surpluses and deficits</w:t>
      </w:r>
    </w:p>
    <w:p w14:paraId="566E01E3" w14:textId="1B43FE50" w:rsidR="00EA5982" w:rsidRPr="0053426D" w:rsidRDefault="00EA5982" w:rsidP="00EA5982">
      <w:pPr>
        <w:spacing w:line="240" w:lineRule="auto"/>
        <w:rPr>
          <w:rFonts w:eastAsiaTheme="minorEastAsia" w:cstheme="minorHAnsi"/>
          <w:i/>
          <w:u w:val="single"/>
          <w:lang w:eastAsia="zh-CN"/>
        </w:rPr>
      </w:pPr>
      <w:r w:rsidRPr="0053426D">
        <w:rPr>
          <w:rFonts w:eastAsiaTheme="minorEastAsia" w:cstheme="minorHAnsi"/>
          <w:i/>
          <w:u w:val="single"/>
          <w:lang w:eastAsia="zh-CN"/>
        </w:rPr>
        <w:t>Transitional Protection Payments</w:t>
      </w:r>
    </w:p>
    <w:p w14:paraId="7509D350" w14:textId="7E3B6E9D" w:rsidR="00BC33D7" w:rsidRDefault="00367073" w:rsidP="00D95A53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>U</w:t>
      </w:r>
      <w:r w:rsidR="005E7F3C">
        <w:rPr>
          <w:rFonts w:eastAsiaTheme="minorEastAsia" w:cstheme="minorHAnsi"/>
          <w:lang w:eastAsia="zh-CN"/>
        </w:rPr>
        <w:t xml:space="preserve">nder the current system of fixed tariffs and top-ups, </w:t>
      </w:r>
      <w:r w:rsidR="005B327A">
        <w:rPr>
          <w:rFonts w:eastAsiaTheme="minorEastAsia" w:cstheme="minorHAnsi"/>
          <w:lang w:eastAsia="zh-CN"/>
        </w:rPr>
        <w:t xml:space="preserve">there is a </w:t>
      </w:r>
      <w:r w:rsidR="008B48B0">
        <w:rPr>
          <w:rFonts w:eastAsiaTheme="minorEastAsia" w:cstheme="minorHAnsi"/>
          <w:lang w:eastAsia="zh-CN"/>
        </w:rPr>
        <w:t xml:space="preserve">system of transitional </w:t>
      </w:r>
      <w:r w:rsidR="00F349A4">
        <w:rPr>
          <w:rFonts w:eastAsiaTheme="minorEastAsia" w:cstheme="minorHAnsi"/>
          <w:lang w:eastAsia="zh-CN"/>
        </w:rPr>
        <w:t>protection payments</w:t>
      </w:r>
      <w:r w:rsidR="003627C4">
        <w:rPr>
          <w:rFonts w:eastAsiaTheme="minorEastAsia" w:cstheme="minorHAnsi"/>
          <w:lang w:eastAsia="zh-CN"/>
        </w:rPr>
        <w:t xml:space="preserve">.  These ensure that </w:t>
      </w:r>
      <w:r w:rsidR="00F654B0">
        <w:rPr>
          <w:rFonts w:eastAsiaTheme="minorEastAsia" w:cstheme="minorHAnsi"/>
          <w:lang w:eastAsia="zh-CN"/>
        </w:rPr>
        <w:t>l</w:t>
      </w:r>
      <w:r w:rsidR="005E7F3C">
        <w:rPr>
          <w:rFonts w:eastAsiaTheme="minorEastAsia" w:cstheme="minorHAnsi"/>
          <w:lang w:eastAsia="zh-CN"/>
        </w:rPr>
        <w:t xml:space="preserve">ocal authorities’ </w:t>
      </w:r>
      <w:r w:rsidR="00C711D8">
        <w:rPr>
          <w:rFonts w:eastAsiaTheme="minorEastAsia" w:cstheme="minorHAnsi"/>
          <w:lang w:eastAsia="zh-CN"/>
        </w:rPr>
        <w:t xml:space="preserve">non-domestic rating income </w:t>
      </w:r>
      <w:r w:rsidR="00F654B0">
        <w:rPr>
          <w:rFonts w:eastAsiaTheme="minorEastAsia" w:cstheme="minorHAnsi"/>
          <w:lang w:eastAsia="zh-CN"/>
        </w:rPr>
        <w:t xml:space="preserve">does not </w:t>
      </w:r>
      <w:r w:rsidR="00C711D8">
        <w:rPr>
          <w:rFonts w:eastAsiaTheme="minorEastAsia" w:cstheme="minorHAnsi"/>
          <w:lang w:eastAsia="zh-CN"/>
        </w:rPr>
        <w:t xml:space="preserve">vary year-on-year as a result of the unwinding of the </w:t>
      </w:r>
      <w:r w:rsidR="00A01C84">
        <w:rPr>
          <w:rFonts w:eastAsiaTheme="minorEastAsia" w:cstheme="minorHAnsi"/>
          <w:lang w:eastAsia="zh-CN"/>
        </w:rPr>
        <w:t>transitional arrang</w:t>
      </w:r>
      <w:r w:rsidR="003963BC">
        <w:rPr>
          <w:rFonts w:eastAsiaTheme="minorEastAsia" w:cstheme="minorHAnsi"/>
          <w:lang w:eastAsia="zh-CN"/>
        </w:rPr>
        <w:t>e</w:t>
      </w:r>
      <w:r w:rsidR="00A01C84">
        <w:rPr>
          <w:rFonts w:eastAsiaTheme="minorEastAsia" w:cstheme="minorHAnsi"/>
          <w:lang w:eastAsia="zh-CN"/>
        </w:rPr>
        <w:t>ments put in place by Government following the R</w:t>
      </w:r>
      <w:r w:rsidR="003963BC">
        <w:rPr>
          <w:rFonts w:eastAsiaTheme="minorEastAsia" w:cstheme="minorHAnsi"/>
          <w:lang w:eastAsia="zh-CN"/>
        </w:rPr>
        <w:t>e</w:t>
      </w:r>
      <w:r w:rsidR="00A01C84">
        <w:rPr>
          <w:rFonts w:eastAsiaTheme="minorEastAsia" w:cstheme="minorHAnsi"/>
          <w:lang w:eastAsia="zh-CN"/>
        </w:rPr>
        <w:t>valua</w:t>
      </w:r>
      <w:r w:rsidR="003963BC">
        <w:rPr>
          <w:rFonts w:eastAsiaTheme="minorEastAsia" w:cstheme="minorHAnsi"/>
          <w:lang w:eastAsia="zh-CN"/>
        </w:rPr>
        <w:t>tion</w:t>
      </w:r>
      <w:r w:rsidR="0065016F">
        <w:rPr>
          <w:rFonts w:eastAsiaTheme="minorEastAsia" w:cstheme="minorHAnsi"/>
          <w:lang w:eastAsia="zh-CN"/>
        </w:rPr>
        <w:t>.</w:t>
      </w:r>
      <w:r w:rsidR="003B5EDB">
        <w:rPr>
          <w:rFonts w:eastAsiaTheme="minorEastAsia" w:cstheme="minorHAnsi"/>
          <w:lang w:eastAsia="zh-CN"/>
        </w:rPr>
        <w:t xml:space="preserve">  </w:t>
      </w:r>
      <w:r w:rsidR="0065016F">
        <w:rPr>
          <w:rFonts w:eastAsiaTheme="minorEastAsia" w:cstheme="minorHAnsi"/>
          <w:lang w:eastAsia="zh-CN"/>
        </w:rPr>
        <w:t>I</w:t>
      </w:r>
      <w:r w:rsidR="005E426F">
        <w:rPr>
          <w:rFonts w:eastAsiaTheme="minorEastAsia" w:cstheme="minorHAnsi"/>
          <w:lang w:eastAsia="zh-CN"/>
        </w:rPr>
        <w:t>f a</w:t>
      </w:r>
      <w:r w:rsidR="00182E10">
        <w:rPr>
          <w:rFonts w:eastAsiaTheme="minorEastAsia" w:cstheme="minorHAnsi"/>
          <w:lang w:eastAsia="zh-CN"/>
        </w:rPr>
        <w:t>s a</w:t>
      </w:r>
      <w:r w:rsidR="005402A0">
        <w:rPr>
          <w:rFonts w:eastAsiaTheme="minorEastAsia" w:cstheme="minorHAnsi"/>
          <w:lang w:eastAsia="zh-CN"/>
        </w:rPr>
        <w:t xml:space="preserve"> result of the transitional arrangements, a</w:t>
      </w:r>
      <w:r w:rsidR="005E426F">
        <w:rPr>
          <w:rFonts w:eastAsiaTheme="minorEastAsia" w:cstheme="minorHAnsi"/>
          <w:lang w:eastAsia="zh-CN"/>
        </w:rPr>
        <w:t xml:space="preserve">n authority </w:t>
      </w:r>
      <w:r w:rsidR="003963BC">
        <w:rPr>
          <w:rFonts w:eastAsiaTheme="minorEastAsia" w:cstheme="minorHAnsi"/>
          <w:lang w:eastAsia="zh-CN"/>
        </w:rPr>
        <w:t xml:space="preserve"> </w:t>
      </w:r>
      <w:r w:rsidR="005402A0">
        <w:rPr>
          <w:rFonts w:eastAsiaTheme="minorEastAsia" w:cstheme="minorHAnsi"/>
          <w:lang w:eastAsia="zh-CN"/>
        </w:rPr>
        <w:t>has less non-dome</w:t>
      </w:r>
      <w:r w:rsidR="00EA498B">
        <w:rPr>
          <w:rFonts w:eastAsiaTheme="minorEastAsia" w:cstheme="minorHAnsi"/>
          <w:lang w:eastAsia="zh-CN"/>
        </w:rPr>
        <w:t>stic rating income than would otherwise have be</w:t>
      </w:r>
      <w:r w:rsidR="00F8439F">
        <w:rPr>
          <w:rFonts w:eastAsiaTheme="minorEastAsia" w:cstheme="minorHAnsi"/>
          <w:lang w:eastAsia="zh-CN"/>
        </w:rPr>
        <w:t>e</w:t>
      </w:r>
      <w:r w:rsidR="00EA498B">
        <w:rPr>
          <w:rFonts w:eastAsiaTheme="minorEastAsia" w:cstheme="minorHAnsi"/>
          <w:lang w:eastAsia="zh-CN"/>
        </w:rPr>
        <w:t xml:space="preserve">n the case, they </w:t>
      </w:r>
      <w:r w:rsidR="00F8439F">
        <w:rPr>
          <w:rFonts w:eastAsiaTheme="minorEastAsia" w:cstheme="minorHAnsi"/>
          <w:lang w:eastAsia="zh-CN"/>
        </w:rPr>
        <w:t xml:space="preserve">receive a </w:t>
      </w:r>
      <w:r w:rsidR="00EA498B">
        <w:rPr>
          <w:rFonts w:eastAsiaTheme="minorEastAsia" w:cstheme="minorHAnsi"/>
          <w:lang w:eastAsia="zh-CN"/>
        </w:rPr>
        <w:t xml:space="preserve">transitional </w:t>
      </w:r>
      <w:r w:rsidR="006E5A74">
        <w:rPr>
          <w:rFonts w:eastAsiaTheme="minorEastAsia" w:cstheme="minorHAnsi"/>
          <w:lang w:eastAsia="zh-CN"/>
        </w:rPr>
        <w:t>protection payment for the difference</w:t>
      </w:r>
      <w:r w:rsidR="00381E74">
        <w:rPr>
          <w:rFonts w:eastAsiaTheme="minorEastAsia" w:cstheme="minorHAnsi"/>
          <w:lang w:eastAsia="zh-CN"/>
        </w:rPr>
        <w:t xml:space="preserve">; if they have </w:t>
      </w:r>
      <w:r w:rsidR="00106B35">
        <w:rPr>
          <w:rFonts w:eastAsiaTheme="minorEastAsia" w:cstheme="minorHAnsi"/>
          <w:lang w:eastAsia="zh-CN"/>
        </w:rPr>
        <w:t>m</w:t>
      </w:r>
      <w:r w:rsidR="00381E74">
        <w:rPr>
          <w:rFonts w:eastAsiaTheme="minorEastAsia" w:cstheme="minorHAnsi"/>
          <w:lang w:eastAsia="zh-CN"/>
        </w:rPr>
        <w:t>ore non-dome</w:t>
      </w:r>
      <w:r w:rsidR="00963EEF">
        <w:rPr>
          <w:rFonts w:eastAsiaTheme="minorEastAsia" w:cstheme="minorHAnsi"/>
          <w:lang w:eastAsia="zh-CN"/>
        </w:rPr>
        <w:t>stic rating income, they ma</w:t>
      </w:r>
      <w:r w:rsidR="00A02B81">
        <w:rPr>
          <w:rFonts w:eastAsiaTheme="minorEastAsia" w:cstheme="minorHAnsi"/>
          <w:lang w:eastAsia="zh-CN"/>
        </w:rPr>
        <w:t>k</w:t>
      </w:r>
      <w:r w:rsidR="00963EEF">
        <w:rPr>
          <w:rFonts w:eastAsiaTheme="minorEastAsia" w:cstheme="minorHAnsi"/>
          <w:lang w:eastAsia="zh-CN"/>
        </w:rPr>
        <w:t>e a tr</w:t>
      </w:r>
      <w:r w:rsidR="00A02B81">
        <w:rPr>
          <w:rFonts w:eastAsiaTheme="minorEastAsia" w:cstheme="minorHAnsi"/>
          <w:lang w:eastAsia="zh-CN"/>
        </w:rPr>
        <w:t>a</w:t>
      </w:r>
      <w:r w:rsidR="00963EEF">
        <w:rPr>
          <w:rFonts w:eastAsiaTheme="minorEastAsia" w:cstheme="minorHAnsi"/>
          <w:lang w:eastAsia="zh-CN"/>
        </w:rPr>
        <w:t>n</w:t>
      </w:r>
      <w:r w:rsidR="00A02B81">
        <w:rPr>
          <w:rFonts w:eastAsiaTheme="minorEastAsia" w:cstheme="minorHAnsi"/>
          <w:lang w:eastAsia="zh-CN"/>
        </w:rPr>
        <w:t>si</w:t>
      </w:r>
      <w:r w:rsidR="00963EEF">
        <w:rPr>
          <w:rFonts w:eastAsiaTheme="minorEastAsia" w:cstheme="minorHAnsi"/>
          <w:lang w:eastAsia="zh-CN"/>
        </w:rPr>
        <w:t xml:space="preserve">tional </w:t>
      </w:r>
      <w:r w:rsidR="00BC33D7">
        <w:rPr>
          <w:rFonts w:eastAsiaTheme="minorEastAsia" w:cstheme="minorHAnsi"/>
          <w:lang w:eastAsia="zh-CN"/>
        </w:rPr>
        <w:t xml:space="preserve">protection payment to Government.  </w:t>
      </w:r>
    </w:p>
    <w:p w14:paraId="3A80249C" w14:textId="1FAD894D" w:rsidR="003620B4" w:rsidRDefault="00AE380E" w:rsidP="00D95A53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>Under the alternative arrang</w:t>
      </w:r>
      <w:r w:rsidR="006E5A74">
        <w:rPr>
          <w:rFonts w:eastAsiaTheme="minorEastAsia" w:cstheme="minorHAnsi"/>
          <w:lang w:eastAsia="zh-CN"/>
        </w:rPr>
        <w:t>e</w:t>
      </w:r>
      <w:r>
        <w:rPr>
          <w:rFonts w:eastAsiaTheme="minorEastAsia" w:cstheme="minorHAnsi"/>
          <w:lang w:eastAsia="zh-CN"/>
        </w:rPr>
        <w:t xml:space="preserve">ments, because tariffs and top-ups are </w:t>
      </w:r>
      <w:r w:rsidR="006E5A74">
        <w:rPr>
          <w:rFonts w:eastAsiaTheme="minorEastAsia" w:cstheme="minorHAnsi"/>
          <w:lang w:eastAsia="zh-CN"/>
        </w:rPr>
        <w:t xml:space="preserve">adjusted each year to take account of </w:t>
      </w:r>
      <w:r w:rsidR="007623F6">
        <w:rPr>
          <w:rFonts w:eastAsiaTheme="minorEastAsia" w:cstheme="minorHAnsi"/>
          <w:lang w:eastAsia="zh-CN"/>
        </w:rPr>
        <w:t>changes to non-dome</w:t>
      </w:r>
      <w:r w:rsidR="00DD03BC">
        <w:rPr>
          <w:rFonts w:eastAsiaTheme="minorEastAsia" w:cstheme="minorHAnsi"/>
          <w:lang w:eastAsia="zh-CN"/>
        </w:rPr>
        <w:t>s</w:t>
      </w:r>
      <w:r w:rsidR="007623F6">
        <w:rPr>
          <w:rFonts w:eastAsiaTheme="minorEastAsia" w:cstheme="minorHAnsi"/>
          <w:lang w:eastAsia="zh-CN"/>
        </w:rPr>
        <w:t>tic rating income, t</w:t>
      </w:r>
      <w:r w:rsidR="001C6499">
        <w:rPr>
          <w:rFonts w:eastAsiaTheme="minorEastAsia" w:cstheme="minorHAnsi"/>
          <w:lang w:eastAsia="zh-CN"/>
        </w:rPr>
        <w:t xml:space="preserve">hey </w:t>
      </w:r>
      <w:r w:rsidR="007623F6">
        <w:rPr>
          <w:rFonts w:eastAsiaTheme="minorEastAsia" w:cstheme="minorHAnsi"/>
          <w:lang w:eastAsia="zh-CN"/>
        </w:rPr>
        <w:t xml:space="preserve">will automatically adjust for </w:t>
      </w:r>
      <w:r w:rsidR="00EE5521">
        <w:rPr>
          <w:rFonts w:eastAsiaTheme="minorEastAsia" w:cstheme="minorHAnsi"/>
          <w:lang w:eastAsia="zh-CN"/>
        </w:rPr>
        <w:t xml:space="preserve">fluctuations in income resulting from the </w:t>
      </w:r>
      <w:r w:rsidR="004B7FBD">
        <w:rPr>
          <w:rFonts w:eastAsiaTheme="minorEastAsia" w:cstheme="minorHAnsi"/>
          <w:lang w:eastAsia="zh-CN"/>
        </w:rPr>
        <w:t xml:space="preserve">unwinding of the </w:t>
      </w:r>
      <w:r w:rsidR="00EE5521">
        <w:rPr>
          <w:rFonts w:eastAsiaTheme="minorEastAsia" w:cstheme="minorHAnsi"/>
          <w:lang w:eastAsia="zh-CN"/>
        </w:rPr>
        <w:t>transitional arrang</w:t>
      </w:r>
      <w:r w:rsidR="00F5200F">
        <w:rPr>
          <w:rFonts w:eastAsiaTheme="minorEastAsia" w:cstheme="minorHAnsi"/>
          <w:lang w:eastAsia="zh-CN"/>
        </w:rPr>
        <w:t>e</w:t>
      </w:r>
      <w:r w:rsidR="00EE5521">
        <w:rPr>
          <w:rFonts w:eastAsiaTheme="minorEastAsia" w:cstheme="minorHAnsi"/>
          <w:lang w:eastAsia="zh-CN"/>
        </w:rPr>
        <w:t>ments</w:t>
      </w:r>
      <w:r w:rsidR="00F5200F">
        <w:rPr>
          <w:rFonts w:eastAsiaTheme="minorEastAsia" w:cstheme="minorHAnsi"/>
          <w:lang w:eastAsia="zh-CN"/>
        </w:rPr>
        <w:t xml:space="preserve">.  </w:t>
      </w:r>
      <w:r w:rsidR="00DD03BC">
        <w:rPr>
          <w:rFonts w:eastAsiaTheme="minorEastAsia" w:cstheme="minorHAnsi"/>
          <w:lang w:eastAsia="zh-CN"/>
        </w:rPr>
        <w:t xml:space="preserve">Authorities will always receive their baseline funding level </w:t>
      </w:r>
      <w:r w:rsidR="00126B9E">
        <w:rPr>
          <w:rFonts w:eastAsiaTheme="minorEastAsia" w:cstheme="minorHAnsi"/>
          <w:lang w:eastAsia="zh-CN"/>
        </w:rPr>
        <w:t xml:space="preserve">following the </w:t>
      </w:r>
      <w:r w:rsidR="004405E5">
        <w:rPr>
          <w:rFonts w:eastAsiaTheme="minorEastAsia" w:cstheme="minorHAnsi"/>
          <w:lang w:eastAsia="zh-CN"/>
        </w:rPr>
        <w:t>“</w:t>
      </w:r>
      <w:r w:rsidR="00126B9E">
        <w:rPr>
          <w:rFonts w:eastAsiaTheme="minorEastAsia" w:cstheme="minorHAnsi"/>
          <w:lang w:eastAsia="zh-CN"/>
        </w:rPr>
        <w:t xml:space="preserve">stage </w:t>
      </w:r>
      <w:r w:rsidR="0081621D">
        <w:rPr>
          <w:rFonts w:eastAsiaTheme="minorEastAsia" w:cstheme="minorHAnsi"/>
          <w:lang w:eastAsia="zh-CN"/>
        </w:rPr>
        <w:t>1</w:t>
      </w:r>
      <w:r w:rsidR="004405E5">
        <w:rPr>
          <w:rFonts w:eastAsiaTheme="minorEastAsia" w:cstheme="minorHAnsi"/>
          <w:lang w:eastAsia="zh-CN"/>
        </w:rPr>
        <w:t>”</w:t>
      </w:r>
      <w:r w:rsidR="0081621D">
        <w:rPr>
          <w:rFonts w:eastAsiaTheme="minorEastAsia" w:cstheme="minorHAnsi"/>
          <w:lang w:eastAsia="zh-CN"/>
        </w:rPr>
        <w:t xml:space="preserve"> </w:t>
      </w:r>
      <w:r w:rsidR="00126B9E">
        <w:rPr>
          <w:rFonts w:eastAsiaTheme="minorEastAsia" w:cstheme="minorHAnsi"/>
          <w:lang w:eastAsia="zh-CN"/>
        </w:rPr>
        <w:t>calculation</w:t>
      </w:r>
      <w:r w:rsidR="004405E5">
        <w:rPr>
          <w:rFonts w:eastAsiaTheme="minorEastAsia" w:cstheme="minorHAnsi"/>
          <w:lang w:eastAsia="zh-CN"/>
        </w:rPr>
        <w:t xml:space="preserve"> (see paragraph </w:t>
      </w:r>
      <w:r w:rsidR="00733A89">
        <w:rPr>
          <w:rFonts w:eastAsiaTheme="minorEastAsia" w:cstheme="minorHAnsi"/>
          <w:lang w:eastAsia="zh-CN"/>
        </w:rPr>
        <w:t>6 above)</w:t>
      </w:r>
      <w:r w:rsidR="00126B9E">
        <w:rPr>
          <w:rFonts w:eastAsiaTheme="minorEastAsia" w:cstheme="minorHAnsi"/>
          <w:lang w:eastAsia="zh-CN"/>
        </w:rPr>
        <w:t xml:space="preserve">, regardless of </w:t>
      </w:r>
      <w:r w:rsidR="00D02E84">
        <w:rPr>
          <w:rFonts w:eastAsiaTheme="minorEastAsia" w:cstheme="minorHAnsi"/>
          <w:lang w:eastAsia="zh-CN"/>
        </w:rPr>
        <w:t xml:space="preserve">whether they receive more of less income year-on year as a result of </w:t>
      </w:r>
      <w:r w:rsidR="006E4442">
        <w:rPr>
          <w:rFonts w:eastAsiaTheme="minorEastAsia" w:cstheme="minorHAnsi"/>
          <w:lang w:eastAsia="zh-CN"/>
        </w:rPr>
        <w:t>t</w:t>
      </w:r>
      <w:r w:rsidR="00D02E84">
        <w:rPr>
          <w:rFonts w:eastAsiaTheme="minorEastAsia" w:cstheme="minorHAnsi"/>
          <w:lang w:eastAsia="zh-CN"/>
        </w:rPr>
        <w:t xml:space="preserve">he transitional </w:t>
      </w:r>
      <w:r w:rsidR="003620B4">
        <w:rPr>
          <w:rFonts w:eastAsiaTheme="minorEastAsia" w:cstheme="minorHAnsi"/>
          <w:lang w:eastAsia="zh-CN"/>
        </w:rPr>
        <w:t>arrangements.</w:t>
      </w:r>
      <w:r w:rsidR="0075278D">
        <w:rPr>
          <w:rFonts w:eastAsiaTheme="minorEastAsia" w:cstheme="minorHAnsi"/>
          <w:lang w:eastAsia="zh-CN"/>
        </w:rPr>
        <w:t xml:space="preserve">  As such it will no longer be ne</w:t>
      </w:r>
      <w:r w:rsidR="00575141">
        <w:rPr>
          <w:rFonts w:eastAsiaTheme="minorEastAsia" w:cstheme="minorHAnsi"/>
          <w:lang w:eastAsia="zh-CN"/>
        </w:rPr>
        <w:t>cessary to have a separate system of transitional protection payments.</w:t>
      </w:r>
    </w:p>
    <w:p w14:paraId="11FA5CE0" w14:textId="77777777" w:rsidR="00496AC9" w:rsidRDefault="003620B4" w:rsidP="006B4CD3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>It will</w:t>
      </w:r>
      <w:r w:rsidR="00C36A0C">
        <w:rPr>
          <w:rFonts w:eastAsiaTheme="minorEastAsia" w:cstheme="minorHAnsi"/>
          <w:lang w:eastAsia="zh-CN"/>
        </w:rPr>
        <w:t>, however,</w:t>
      </w:r>
      <w:r>
        <w:rPr>
          <w:rFonts w:eastAsiaTheme="minorEastAsia" w:cstheme="minorHAnsi"/>
          <w:lang w:eastAsia="zh-CN"/>
        </w:rPr>
        <w:t xml:space="preserve"> still be necessary to take account of the impact of the transitional arrangements when making the stage 2 calcu</w:t>
      </w:r>
      <w:r w:rsidR="001546CF">
        <w:rPr>
          <w:rFonts w:eastAsiaTheme="minorEastAsia" w:cstheme="minorHAnsi"/>
          <w:lang w:eastAsia="zh-CN"/>
        </w:rPr>
        <w:t>l</w:t>
      </w:r>
      <w:r>
        <w:rPr>
          <w:rFonts w:eastAsiaTheme="minorEastAsia" w:cstheme="minorHAnsi"/>
          <w:lang w:eastAsia="zh-CN"/>
        </w:rPr>
        <w:t>ation for growth</w:t>
      </w:r>
      <w:r w:rsidR="00733A89">
        <w:rPr>
          <w:rFonts w:eastAsiaTheme="minorEastAsia" w:cstheme="minorHAnsi"/>
          <w:lang w:eastAsia="zh-CN"/>
        </w:rPr>
        <w:t xml:space="preserve"> (see paragraph 6 above)</w:t>
      </w:r>
      <w:r w:rsidR="001546CF">
        <w:rPr>
          <w:rFonts w:eastAsiaTheme="minorEastAsia" w:cstheme="minorHAnsi"/>
          <w:lang w:eastAsia="zh-CN"/>
        </w:rPr>
        <w:t>, otherwise,</w:t>
      </w:r>
      <w:r w:rsidR="00C36A0C">
        <w:rPr>
          <w:rFonts w:eastAsiaTheme="minorEastAsia" w:cstheme="minorHAnsi"/>
          <w:lang w:eastAsia="zh-CN"/>
        </w:rPr>
        <w:t xml:space="preserve"> the</w:t>
      </w:r>
      <w:r w:rsidR="001546CF">
        <w:rPr>
          <w:rFonts w:eastAsiaTheme="minorEastAsia" w:cstheme="minorHAnsi"/>
          <w:lang w:eastAsia="zh-CN"/>
        </w:rPr>
        <w:t xml:space="preserve"> </w:t>
      </w:r>
      <w:r w:rsidR="009C6183">
        <w:rPr>
          <w:rFonts w:eastAsiaTheme="minorEastAsia" w:cstheme="minorHAnsi"/>
          <w:lang w:eastAsia="zh-CN"/>
        </w:rPr>
        <w:t>“growth”</w:t>
      </w:r>
      <w:r w:rsidR="001546CF">
        <w:rPr>
          <w:rFonts w:eastAsiaTheme="minorEastAsia" w:cstheme="minorHAnsi"/>
          <w:lang w:eastAsia="zh-CN"/>
        </w:rPr>
        <w:t xml:space="preserve"> </w:t>
      </w:r>
      <w:r w:rsidR="00C36A0C">
        <w:rPr>
          <w:rFonts w:eastAsiaTheme="minorEastAsia" w:cstheme="minorHAnsi"/>
          <w:lang w:eastAsia="zh-CN"/>
        </w:rPr>
        <w:t xml:space="preserve">calculation </w:t>
      </w:r>
      <w:r w:rsidR="001546CF">
        <w:rPr>
          <w:rFonts w:eastAsiaTheme="minorEastAsia" w:cstheme="minorHAnsi"/>
          <w:lang w:eastAsia="zh-CN"/>
        </w:rPr>
        <w:t xml:space="preserve">will </w:t>
      </w:r>
      <w:r w:rsidR="00C36A0C">
        <w:rPr>
          <w:rFonts w:eastAsiaTheme="minorEastAsia" w:cstheme="minorHAnsi"/>
          <w:lang w:eastAsia="zh-CN"/>
        </w:rPr>
        <w:t xml:space="preserve">itself </w:t>
      </w:r>
      <w:r w:rsidR="001546CF">
        <w:rPr>
          <w:rFonts w:eastAsiaTheme="minorEastAsia" w:cstheme="minorHAnsi"/>
          <w:lang w:eastAsia="zh-CN"/>
        </w:rPr>
        <w:t xml:space="preserve">be distorted by the unwinding of the </w:t>
      </w:r>
      <w:r w:rsidR="006B4CD3">
        <w:rPr>
          <w:rFonts w:eastAsiaTheme="minorEastAsia" w:cstheme="minorHAnsi"/>
          <w:lang w:eastAsia="zh-CN"/>
        </w:rPr>
        <w:t>transit</w:t>
      </w:r>
      <w:r w:rsidR="00733A89">
        <w:rPr>
          <w:rFonts w:eastAsiaTheme="minorEastAsia" w:cstheme="minorHAnsi"/>
          <w:lang w:eastAsia="zh-CN"/>
        </w:rPr>
        <w:t>i</w:t>
      </w:r>
      <w:r w:rsidR="006B4CD3">
        <w:rPr>
          <w:rFonts w:eastAsiaTheme="minorEastAsia" w:cstheme="minorHAnsi"/>
          <w:lang w:eastAsia="zh-CN"/>
        </w:rPr>
        <w:t>on</w:t>
      </w:r>
      <w:r w:rsidR="00733A89">
        <w:rPr>
          <w:rFonts w:eastAsiaTheme="minorEastAsia" w:cstheme="minorHAnsi"/>
          <w:lang w:eastAsia="zh-CN"/>
        </w:rPr>
        <w:t>a</w:t>
      </w:r>
      <w:r w:rsidR="006B4CD3">
        <w:rPr>
          <w:rFonts w:eastAsiaTheme="minorEastAsia" w:cstheme="minorHAnsi"/>
          <w:lang w:eastAsia="zh-CN"/>
        </w:rPr>
        <w:t xml:space="preserve">l </w:t>
      </w:r>
      <w:r w:rsidR="00733A89">
        <w:rPr>
          <w:rFonts w:eastAsiaTheme="minorEastAsia" w:cstheme="minorHAnsi"/>
          <w:lang w:eastAsia="zh-CN"/>
        </w:rPr>
        <w:t xml:space="preserve">arrangements.  </w:t>
      </w:r>
      <w:r w:rsidR="00C159D3">
        <w:rPr>
          <w:rFonts w:eastAsiaTheme="minorEastAsia" w:cstheme="minorHAnsi"/>
          <w:lang w:eastAsia="zh-CN"/>
        </w:rPr>
        <w:t xml:space="preserve">However, this </w:t>
      </w:r>
      <w:r w:rsidR="002057A3">
        <w:rPr>
          <w:rFonts w:eastAsiaTheme="minorEastAsia" w:cstheme="minorHAnsi"/>
          <w:lang w:eastAsia="zh-CN"/>
        </w:rPr>
        <w:t xml:space="preserve">does not need to involve a payment to/from authorities, it is simply a matter of reversing the </w:t>
      </w:r>
      <w:r w:rsidR="00A016F6">
        <w:rPr>
          <w:rFonts w:eastAsiaTheme="minorEastAsia" w:cstheme="minorHAnsi"/>
          <w:lang w:eastAsia="zh-CN"/>
        </w:rPr>
        <w:t>impact of the transitional arrang</w:t>
      </w:r>
      <w:r w:rsidR="0045529F">
        <w:rPr>
          <w:rFonts w:eastAsiaTheme="minorEastAsia" w:cstheme="minorHAnsi"/>
          <w:lang w:eastAsia="zh-CN"/>
        </w:rPr>
        <w:t>e</w:t>
      </w:r>
      <w:r w:rsidR="00A016F6">
        <w:rPr>
          <w:rFonts w:eastAsiaTheme="minorEastAsia" w:cstheme="minorHAnsi"/>
          <w:lang w:eastAsia="zh-CN"/>
        </w:rPr>
        <w:t xml:space="preserve">ments in </w:t>
      </w:r>
      <w:r w:rsidR="00956036">
        <w:rPr>
          <w:rFonts w:eastAsiaTheme="minorEastAsia" w:cstheme="minorHAnsi"/>
          <w:lang w:eastAsia="zh-CN"/>
        </w:rPr>
        <w:t>calculating</w:t>
      </w:r>
      <w:r w:rsidR="00496AC9">
        <w:rPr>
          <w:rFonts w:eastAsiaTheme="minorEastAsia" w:cstheme="minorHAnsi"/>
          <w:lang w:eastAsia="zh-CN"/>
        </w:rPr>
        <w:t>:</w:t>
      </w:r>
    </w:p>
    <w:p w14:paraId="47DB38FF" w14:textId="77777777" w:rsidR="00496AC9" w:rsidRDefault="00956036" w:rsidP="00496AC9">
      <w:pPr>
        <w:numPr>
          <w:ilvl w:val="1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 xml:space="preserve">the growth </w:t>
      </w:r>
      <w:r w:rsidR="0045529F">
        <w:rPr>
          <w:rFonts w:eastAsiaTheme="minorEastAsia" w:cstheme="minorHAnsi"/>
          <w:lang w:eastAsia="zh-CN"/>
        </w:rPr>
        <w:t>baseline</w:t>
      </w:r>
      <w:r w:rsidR="00496AC9">
        <w:rPr>
          <w:rFonts w:eastAsiaTheme="minorEastAsia" w:cstheme="minorHAnsi"/>
          <w:lang w:eastAsia="zh-CN"/>
        </w:rPr>
        <w:t>; and</w:t>
      </w:r>
    </w:p>
    <w:p w14:paraId="717031D2" w14:textId="77777777" w:rsidR="00792D03" w:rsidRDefault="00496AC9" w:rsidP="00496AC9">
      <w:pPr>
        <w:numPr>
          <w:ilvl w:val="1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>growth against that baseline.</w:t>
      </w:r>
    </w:p>
    <w:p w14:paraId="4D5B0CA4" w14:textId="02DCC2E2" w:rsidR="00C63B09" w:rsidRDefault="0067690E" w:rsidP="00C63B09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>Similar</w:t>
      </w:r>
      <w:r w:rsidR="00B3775B">
        <w:rPr>
          <w:rFonts w:eastAsiaTheme="minorEastAsia" w:cstheme="minorHAnsi"/>
          <w:lang w:eastAsia="zh-CN"/>
        </w:rPr>
        <w:t>l</w:t>
      </w:r>
      <w:r>
        <w:rPr>
          <w:rFonts w:eastAsiaTheme="minorEastAsia" w:cstheme="minorHAnsi"/>
          <w:lang w:eastAsia="zh-CN"/>
        </w:rPr>
        <w:t>y, we will need to take account of the impact of the transitional arrang</w:t>
      </w:r>
      <w:r w:rsidR="007E277D">
        <w:rPr>
          <w:rFonts w:eastAsiaTheme="minorEastAsia" w:cstheme="minorHAnsi"/>
          <w:lang w:eastAsia="zh-CN"/>
        </w:rPr>
        <w:t>e</w:t>
      </w:r>
      <w:r>
        <w:rPr>
          <w:rFonts w:eastAsiaTheme="minorEastAsia" w:cstheme="minorHAnsi"/>
          <w:lang w:eastAsia="zh-CN"/>
        </w:rPr>
        <w:t xml:space="preserve">ments </w:t>
      </w:r>
      <w:r w:rsidR="007E277D">
        <w:rPr>
          <w:rFonts w:eastAsiaTheme="minorEastAsia" w:cstheme="minorHAnsi"/>
          <w:lang w:eastAsia="zh-CN"/>
        </w:rPr>
        <w:t xml:space="preserve">in working out the “disregarded amounts” – </w:t>
      </w:r>
      <w:proofErr w:type="spellStart"/>
      <w:r w:rsidR="007E277D">
        <w:rPr>
          <w:rFonts w:eastAsiaTheme="minorEastAsia" w:cstheme="minorHAnsi"/>
          <w:lang w:eastAsia="zh-CN"/>
        </w:rPr>
        <w:t>ie</w:t>
      </w:r>
      <w:proofErr w:type="spellEnd"/>
      <w:r w:rsidR="007E277D">
        <w:rPr>
          <w:rFonts w:eastAsiaTheme="minorEastAsia" w:cstheme="minorHAnsi"/>
          <w:lang w:eastAsia="zh-CN"/>
        </w:rPr>
        <w:t xml:space="preserve"> the amounts that are to be deducted from the calculation of non-domestic rating income </w:t>
      </w:r>
      <w:r w:rsidR="00625BA8">
        <w:rPr>
          <w:rFonts w:eastAsiaTheme="minorEastAsia" w:cstheme="minorHAnsi"/>
          <w:lang w:eastAsia="zh-CN"/>
        </w:rPr>
        <w:t xml:space="preserve">and retained in their entirety by local authorities </w:t>
      </w:r>
      <w:r w:rsidR="005C5735">
        <w:rPr>
          <w:rFonts w:eastAsiaTheme="minorEastAsia" w:cstheme="minorHAnsi"/>
          <w:lang w:eastAsia="zh-CN"/>
        </w:rPr>
        <w:t>in respect of EZs, renewable energy etc.</w:t>
      </w:r>
      <w:r w:rsidR="003714A4">
        <w:rPr>
          <w:rFonts w:eastAsiaTheme="minorEastAsia" w:cstheme="minorHAnsi"/>
          <w:lang w:eastAsia="zh-CN"/>
        </w:rPr>
        <w:t xml:space="preserve">  But, in the same way as </w:t>
      </w:r>
      <w:r w:rsidR="00846711">
        <w:rPr>
          <w:rFonts w:eastAsiaTheme="minorEastAsia" w:cstheme="minorHAnsi"/>
          <w:lang w:eastAsia="zh-CN"/>
        </w:rPr>
        <w:t>for the calculation of growth, it will not be necessary to have a separate system of transitional protection payments</w:t>
      </w:r>
      <w:r w:rsidR="002772F1">
        <w:rPr>
          <w:rFonts w:eastAsiaTheme="minorEastAsia" w:cstheme="minorHAnsi"/>
          <w:lang w:eastAsia="zh-CN"/>
        </w:rPr>
        <w:t>.</w:t>
      </w:r>
      <w:r w:rsidR="00427960">
        <w:rPr>
          <w:rFonts w:eastAsiaTheme="minorEastAsia" w:cstheme="minorHAnsi"/>
          <w:lang w:eastAsia="zh-CN"/>
        </w:rPr>
        <w:t xml:space="preserve">  I</w:t>
      </w:r>
      <w:r w:rsidR="001004C9">
        <w:rPr>
          <w:rFonts w:eastAsiaTheme="minorEastAsia" w:cstheme="minorHAnsi"/>
          <w:lang w:eastAsia="zh-CN"/>
        </w:rPr>
        <w:t>t will be enough to ensure that the impact of the transitional arrang</w:t>
      </w:r>
      <w:r w:rsidR="002D6395">
        <w:rPr>
          <w:rFonts w:eastAsiaTheme="minorEastAsia" w:cstheme="minorHAnsi"/>
          <w:lang w:eastAsia="zh-CN"/>
        </w:rPr>
        <w:t>e</w:t>
      </w:r>
      <w:r w:rsidR="001004C9">
        <w:rPr>
          <w:rFonts w:eastAsiaTheme="minorEastAsia" w:cstheme="minorHAnsi"/>
          <w:lang w:eastAsia="zh-CN"/>
        </w:rPr>
        <w:t xml:space="preserve">ments is included in the </w:t>
      </w:r>
      <w:r w:rsidR="002D6395">
        <w:rPr>
          <w:rFonts w:eastAsiaTheme="minorEastAsia" w:cstheme="minorHAnsi"/>
          <w:lang w:eastAsia="zh-CN"/>
        </w:rPr>
        <w:t>calculation of disregarded amounts.</w:t>
      </w:r>
    </w:p>
    <w:p w14:paraId="08E35ED4" w14:textId="269591ED" w:rsidR="00C63B09" w:rsidRPr="0053426D" w:rsidRDefault="00C63B09" w:rsidP="00C63B09">
      <w:pPr>
        <w:spacing w:line="240" w:lineRule="auto"/>
        <w:rPr>
          <w:rFonts w:eastAsiaTheme="minorEastAsia" w:cstheme="minorHAnsi"/>
          <w:i/>
          <w:u w:val="single"/>
          <w:lang w:eastAsia="zh-CN"/>
        </w:rPr>
      </w:pPr>
      <w:r w:rsidRPr="0053426D">
        <w:rPr>
          <w:rFonts w:eastAsiaTheme="minorEastAsia" w:cstheme="minorHAnsi"/>
          <w:i/>
          <w:u w:val="single"/>
          <w:lang w:eastAsia="zh-CN"/>
        </w:rPr>
        <w:lastRenderedPageBreak/>
        <w:t>Section 31 Grants</w:t>
      </w:r>
    </w:p>
    <w:p w14:paraId="2DA534AE" w14:textId="4D863D55" w:rsidR="00A414D9" w:rsidRDefault="005B311D" w:rsidP="00C63B09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>Currently</w:t>
      </w:r>
      <w:r w:rsidR="002057A4">
        <w:rPr>
          <w:rFonts w:eastAsiaTheme="minorEastAsia" w:cstheme="minorHAnsi"/>
          <w:lang w:eastAsia="zh-CN"/>
        </w:rPr>
        <w:t xml:space="preserve">, </w:t>
      </w:r>
      <w:r w:rsidR="00C443CC">
        <w:rPr>
          <w:rFonts w:eastAsiaTheme="minorEastAsia" w:cstheme="minorHAnsi"/>
          <w:lang w:eastAsia="zh-CN"/>
        </w:rPr>
        <w:t xml:space="preserve">authorities receive s.31 grants to compensate them for the </w:t>
      </w:r>
      <w:r w:rsidR="00E207DA">
        <w:rPr>
          <w:rFonts w:eastAsiaTheme="minorEastAsia" w:cstheme="minorHAnsi"/>
          <w:lang w:eastAsia="zh-CN"/>
        </w:rPr>
        <w:t>loss of business rates income resu</w:t>
      </w:r>
      <w:r w:rsidR="00B54160">
        <w:rPr>
          <w:rFonts w:eastAsiaTheme="minorEastAsia" w:cstheme="minorHAnsi"/>
          <w:lang w:eastAsia="zh-CN"/>
        </w:rPr>
        <w:t>l</w:t>
      </w:r>
      <w:r w:rsidR="00E207DA">
        <w:rPr>
          <w:rFonts w:eastAsiaTheme="minorEastAsia" w:cstheme="minorHAnsi"/>
          <w:lang w:eastAsia="zh-CN"/>
        </w:rPr>
        <w:t>ting from changes to business rates (as a tax)</w:t>
      </w:r>
      <w:r w:rsidR="00B54160">
        <w:rPr>
          <w:rFonts w:eastAsiaTheme="minorEastAsia" w:cstheme="minorHAnsi"/>
          <w:lang w:eastAsia="zh-CN"/>
        </w:rPr>
        <w:t xml:space="preserve"> made </w:t>
      </w:r>
      <w:r w:rsidR="00084BA2">
        <w:rPr>
          <w:rFonts w:eastAsiaTheme="minorEastAsia" w:cstheme="minorHAnsi"/>
          <w:lang w:eastAsia="zh-CN"/>
        </w:rPr>
        <w:t xml:space="preserve">by the Government since the introduction of the </w:t>
      </w:r>
      <w:r w:rsidR="00B67D71">
        <w:rPr>
          <w:rFonts w:eastAsiaTheme="minorEastAsia" w:cstheme="minorHAnsi"/>
          <w:lang w:eastAsia="zh-CN"/>
        </w:rPr>
        <w:t xml:space="preserve">business rates retention </w:t>
      </w:r>
      <w:r w:rsidR="00084BA2">
        <w:rPr>
          <w:rFonts w:eastAsiaTheme="minorEastAsia" w:cstheme="minorHAnsi"/>
          <w:lang w:eastAsia="zh-CN"/>
        </w:rPr>
        <w:t xml:space="preserve">system </w:t>
      </w:r>
      <w:r w:rsidR="00684812">
        <w:rPr>
          <w:rFonts w:eastAsiaTheme="minorEastAsia" w:cstheme="minorHAnsi"/>
          <w:lang w:eastAsia="zh-CN"/>
        </w:rPr>
        <w:t>in 2013.</w:t>
      </w:r>
    </w:p>
    <w:p w14:paraId="765F5CDF" w14:textId="77777777" w:rsidR="00F86207" w:rsidRDefault="00CB14DD" w:rsidP="00C63B09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 xml:space="preserve">The calculation of s.31 grants </w:t>
      </w:r>
      <w:r w:rsidR="00836A30">
        <w:rPr>
          <w:rFonts w:eastAsiaTheme="minorEastAsia" w:cstheme="minorHAnsi"/>
          <w:lang w:eastAsia="zh-CN"/>
        </w:rPr>
        <w:t xml:space="preserve">significantly </w:t>
      </w:r>
      <w:r>
        <w:rPr>
          <w:rFonts w:eastAsiaTheme="minorEastAsia" w:cstheme="minorHAnsi"/>
          <w:lang w:eastAsia="zh-CN"/>
        </w:rPr>
        <w:t>adds to the compl</w:t>
      </w:r>
      <w:r w:rsidR="00C63479">
        <w:rPr>
          <w:rFonts w:eastAsiaTheme="minorEastAsia" w:cstheme="minorHAnsi"/>
          <w:lang w:eastAsia="zh-CN"/>
        </w:rPr>
        <w:t>exit</w:t>
      </w:r>
      <w:r w:rsidR="00836A30">
        <w:rPr>
          <w:rFonts w:eastAsiaTheme="minorEastAsia" w:cstheme="minorHAnsi"/>
          <w:lang w:eastAsia="zh-CN"/>
        </w:rPr>
        <w:t xml:space="preserve">y </w:t>
      </w:r>
      <w:r w:rsidR="00F86207">
        <w:rPr>
          <w:rFonts w:eastAsiaTheme="minorEastAsia" w:cstheme="minorHAnsi"/>
          <w:lang w:eastAsia="zh-CN"/>
        </w:rPr>
        <w:t xml:space="preserve">of </w:t>
      </w:r>
      <w:r w:rsidR="00860B2B">
        <w:rPr>
          <w:rFonts w:eastAsiaTheme="minorEastAsia" w:cstheme="minorHAnsi"/>
          <w:lang w:eastAsia="zh-CN"/>
        </w:rPr>
        <w:t xml:space="preserve">administering the business rates system </w:t>
      </w:r>
      <w:r w:rsidR="00B54160">
        <w:rPr>
          <w:rFonts w:eastAsiaTheme="minorEastAsia" w:cstheme="minorHAnsi"/>
          <w:lang w:eastAsia="zh-CN"/>
        </w:rPr>
        <w:t>a</w:t>
      </w:r>
      <w:r w:rsidR="00836A30">
        <w:rPr>
          <w:rFonts w:eastAsiaTheme="minorEastAsia" w:cstheme="minorHAnsi"/>
          <w:lang w:eastAsia="zh-CN"/>
        </w:rPr>
        <w:t xml:space="preserve">nd introduces another payment that </w:t>
      </w:r>
      <w:r w:rsidR="00F86207">
        <w:rPr>
          <w:rFonts w:eastAsiaTheme="minorEastAsia" w:cstheme="minorHAnsi"/>
          <w:lang w:eastAsia="zh-CN"/>
        </w:rPr>
        <w:t xml:space="preserve">needs to be separately </w:t>
      </w:r>
      <w:r w:rsidR="00836A30">
        <w:rPr>
          <w:rFonts w:eastAsiaTheme="minorEastAsia" w:cstheme="minorHAnsi"/>
          <w:lang w:eastAsia="zh-CN"/>
        </w:rPr>
        <w:t>reconciled after year-end</w:t>
      </w:r>
      <w:r w:rsidR="00F86207">
        <w:rPr>
          <w:rFonts w:eastAsiaTheme="minorEastAsia" w:cstheme="minorHAnsi"/>
          <w:lang w:eastAsia="zh-CN"/>
        </w:rPr>
        <w:t>.</w:t>
      </w:r>
    </w:p>
    <w:p w14:paraId="3749911D" w14:textId="3BF0B9A7" w:rsidR="00C63B09" w:rsidRDefault="00F86207" w:rsidP="00C63B09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 xml:space="preserve">Under the </w:t>
      </w:r>
      <w:r w:rsidR="00941ADC">
        <w:rPr>
          <w:rFonts w:eastAsiaTheme="minorEastAsia" w:cstheme="minorHAnsi"/>
          <w:lang w:eastAsia="zh-CN"/>
        </w:rPr>
        <w:t xml:space="preserve">alternative model, there would no longer be any need for s.31 payments.  Reductions to business rates income caused by </w:t>
      </w:r>
      <w:r w:rsidR="00887E22">
        <w:rPr>
          <w:rFonts w:eastAsiaTheme="minorEastAsia" w:cstheme="minorHAnsi"/>
          <w:lang w:eastAsia="zh-CN"/>
        </w:rPr>
        <w:t>Government changes to business rates (as a tax)</w:t>
      </w:r>
      <w:r w:rsidR="008D71B2">
        <w:rPr>
          <w:rFonts w:eastAsiaTheme="minorEastAsia" w:cstheme="minorHAnsi"/>
          <w:lang w:eastAsia="zh-CN"/>
        </w:rPr>
        <w:t xml:space="preserve"> would </w:t>
      </w:r>
      <w:r w:rsidR="00D849ED">
        <w:rPr>
          <w:rFonts w:eastAsiaTheme="minorEastAsia" w:cstheme="minorHAnsi"/>
          <w:lang w:eastAsia="zh-CN"/>
        </w:rPr>
        <w:t xml:space="preserve">– subject to paragraph </w:t>
      </w:r>
      <w:r w:rsidR="0073080B">
        <w:rPr>
          <w:rFonts w:eastAsiaTheme="minorEastAsia" w:cstheme="minorHAnsi"/>
          <w:lang w:eastAsia="zh-CN"/>
        </w:rPr>
        <w:t>29</w:t>
      </w:r>
      <w:r w:rsidR="00D849ED">
        <w:rPr>
          <w:rFonts w:eastAsiaTheme="minorEastAsia" w:cstheme="minorHAnsi"/>
          <w:lang w:eastAsia="zh-CN"/>
        </w:rPr>
        <w:t xml:space="preserve"> below – be </w:t>
      </w:r>
      <w:r w:rsidR="008D71B2">
        <w:rPr>
          <w:rFonts w:eastAsiaTheme="minorEastAsia" w:cstheme="minorHAnsi"/>
          <w:lang w:eastAsia="zh-CN"/>
        </w:rPr>
        <w:t xml:space="preserve">reflected </w:t>
      </w:r>
      <w:r w:rsidR="00D849ED">
        <w:rPr>
          <w:rFonts w:eastAsiaTheme="minorEastAsia" w:cstheme="minorHAnsi"/>
          <w:lang w:eastAsia="zh-CN"/>
        </w:rPr>
        <w:t xml:space="preserve">in </w:t>
      </w:r>
      <w:r w:rsidR="006B3473">
        <w:rPr>
          <w:rFonts w:eastAsiaTheme="minorEastAsia" w:cstheme="minorHAnsi"/>
          <w:lang w:eastAsia="zh-CN"/>
        </w:rPr>
        <w:t>NNDR1 figures for non-domestic rating income and, therefore, would be adjusted through the stage 1 calcu</w:t>
      </w:r>
      <w:r w:rsidR="00F203B8">
        <w:rPr>
          <w:rFonts w:eastAsiaTheme="minorEastAsia" w:cstheme="minorHAnsi"/>
          <w:lang w:eastAsia="zh-CN"/>
        </w:rPr>
        <w:t>l</w:t>
      </w:r>
      <w:r w:rsidR="006B3473">
        <w:rPr>
          <w:rFonts w:eastAsiaTheme="minorEastAsia" w:cstheme="minorHAnsi"/>
          <w:lang w:eastAsia="zh-CN"/>
        </w:rPr>
        <w:t>ation of tariffs and top-ups</w:t>
      </w:r>
      <w:r w:rsidR="00F203B8">
        <w:rPr>
          <w:rFonts w:eastAsiaTheme="minorEastAsia" w:cstheme="minorHAnsi"/>
          <w:lang w:eastAsia="zh-CN"/>
        </w:rPr>
        <w:t>.</w:t>
      </w:r>
      <w:r w:rsidR="00B54160">
        <w:rPr>
          <w:rFonts w:eastAsiaTheme="minorEastAsia" w:cstheme="minorHAnsi"/>
          <w:lang w:eastAsia="zh-CN"/>
        </w:rPr>
        <w:t xml:space="preserve"> </w:t>
      </w:r>
    </w:p>
    <w:p w14:paraId="5925F8FE" w14:textId="35CADEFD" w:rsidR="00F203B8" w:rsidRDefault="00F203B8" w:rsidP="00C63B09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 xml:space="preserve">To ensure that </w:t>
      </w:r>
      <w:r w:rsidR="00CB60F3">
        <w:rPr>
          <w:rFonts w:eastAsiaTheme="minorEastAsia" w:cstheme="minorHAnsi"/>
          <w:lang w:eastAsia="zh-CN"/>
        </w:rPr>
        <w:t xml:space="preserve">changes to business rates (as a tax) could be reflected </w:t>
      </w:r>
      <w:r w:rsidR="00AA5063">
        <w:rPr>
          <w:rFonts w:eastAsiaTheme="minorEastAsia" w:cstheme="minorHAnsi"/>
          <w:lang w:eastAsia="zh-CN"/>
        </w:rPr>
        <w:t xml:space="preserve">in NNDR1s, it would be necessary for Government to announce those changes </w:t>
      </w:r>
      <w:r w:rsidR="004659ED">
        <w:rPr>
          <w:rFonts w:eastAsiaTheme="minorEastAsia" w:cstheme="minorHAnsi"/>
          <w:lang w:eastAsia="zh-CN"/>
        </w:rPr>
        <w:t>in time for them to be reflected in the NNDR1s issued to authorities in December</w:t>
      </w:r>
      <w:r w:rsidR="00AB0719">
        <w:rPr>
          <w:rFonts w:eastAsiaTheme="minorEastAsia" w:cstheme="minorHAnsi"/>
          <w:lang w:eastAsia="zh-CN"/>
        </w:rPr>
        <w:t xml:space="preserve"> and for authorities to be able to take account of them in making their returns.  </w:t>
      </w:r>
      <w:r w:rsidR="0073080B">
        <w:rPr>
          <w:rFonts w:eastAsiaTheme="minorEastAsia" w:cstheme="minorHAnsi"/>
          <w:lang w:eastAsia="zh-CN"/>
        </w:rPr>
        <w:t xml:space="preserve">Changes </w:t>
      </w:r>
      <w:r w:rsidR="00627D6D">
        <w:rPr>
          <w:rFonts w:eastAsiaTheme="minorEastAsia" w:cstheme="minorHAnsi"/>
          <w:lang w:eastAsia="zh-CN"/>
        </w:rPr>
        <w:t xml:space="preserve">to business rates (as a tax) made after </w:t>
      </w:r>
      <w:r w:rsidR="00597E6F">
        <w:rPr>
          <w:rFonts w:eastAsiaTheme="minorEastAsia" w:cstheme="minorHAnsi"/>
          <w:lang w:eastAsia="zh-CN"/>
        </w:rPr>
        <w:t xml:space="preserve">the publication of NNDR1s </w:t>
      </w:r>
      <w:r w:rsidR="0082430E">
        <w:rPr>
          <w:rFonts w:eastAsiaTheme="minorEastAsia" w:cstheme="minorHAnsi"/>
          <w:lang w:eastAsia="zh-CN"/>
        </w:rPr>
        <w:t>c</w:t>
      </w:r>
      <w:r w:rsidR="00597E6F">
        <w:rPr>
          <w:rFonts w:eastAsiaTheme="minorEastAsia" w:cstheme="minorHAnsi"/>
          <w:lang w:eastAsia="zh-CN"/>
        </w:rPr>
        <w:t xml:space="preserve">ould </w:t>
      </w:r>
      <w:r w:rsidR="0082430E">
        <w:rPr>
          <w:rFonts w:eastAsiaTheme="minorEastAsia" w:cstheme="minorHAnsi"/>
          <w:lang w:eastAsia="zh-CN"/>
        </w:rPr>
        <w:t xml:space="preserve">not be reflected in that year’s </w:t>
      </w:r>
      <w:r w:rsidR="001E479B">
        <w:rPr>
          <w:rFonts w:eastAsiaTheme="minorEastAsia" w:cstheme="minorHAnsi"/>
          <w:lang w:eastAsia="zh-CN"/>
        </w:rPr>
        <w:t>stage 1 calcu</w:t>
      </w:r>
      <w:r w:rsidR="0040198B">
        <w:rPr>
          <w:rFonts w:eastAsiaTheme="minorEastAsia" w:cstheme="minorHAnsi"/>
          <w:lang w:eastAsia="zh-CN"/>
        </w:rPr>
        <w:t>l</w:t>
      </w:r>
      <w:r w:rsidR="001E479B">
        <w:rPr>
          <w:rFonts w:eastAsiaTheme="minorEastAsia" w:cstheme="minorHAnsi"/>
          <w:lang w:eastAsia="zh-CN"/>
        </w:rPr>
        <w:t xml:space="preserve">ation of tariffs and top-ups, but instead, would result in a larger </w:t>
      </w:r>
      <w:r w:rsidR="0040198B">
        <w:rPr>
          <w:rFonts w:eastAsiaTheme="minorEastAsia" w:cstheme="minorHAnsi"/>
          <w:lang w:eastAsia="zh-CN"/>
        </w:rPr>
        <w:t xml:space="preserve">deficit/smaller surplus on </w:t>
      </w:r>
      <w:r w:rsidR="001A3E0C">
        <w:rPr>
          <w:rFonts w:eastAsiaTheme="minorEastAsia" w:cstheme="minorHAnsi"/>
          <w:lang w:eastAsia="zh-CN"/>
        </w:rPr>
        <w:t>the Collection Fund.</w:t>
      </w:r>
      <w:r w:rsidR="00F3573D">
        <w:rPr>
          <w:rFonts w:eastAsiaTheme="minorEastAsia" w:cstheme="minorHAnsi"/>
          <w:lang w:eastAsia="zh-CN"/>
        </w:rPr>
        <w:t xml:space="preserve">  </w:t>
      </w:r>
      <w:r w:rsidR="00B87333">
        <w:rPr>
          <w:rFonts w:eastAsiaTheme="minorEastAsia" w:cstheme="minorHAnsi"/>
          <w:lang w:eastAsia="zh-CN"/>
        </w:rPr>
        <w:t xml:space="preserve">However, as set out </w:t>
      </w:r>
      <w:r w:rsidR="00576F54">
        <w:rPr>
          <w:rFonts w:eastAsiaTheme="minorEastAsia" w:cstheme="minorHAnsi"/>
          <w:lang w:eastAsia="zh-CN"/>
        </w:rPr>
        <w:t xml:space="preserve">from </w:t>
      </w:r>
      <w:r w:rsidR="005562A7">
        <w:rPr>
          <w:rFonts w:eastAsiaTheme="minorEastAsia" w:cstheme="minorHAnsi"/>
          <w:lang w:eastAsia="zh-CN"/>
        </w:rPr>
        <w:t xml:space="preserve">paragraph 30 </w:t>
      </w:r>
      <w:r w:rsidR="00576F54">
        <w:rPr>
          <w:rFonts w:eastAsiaTheme="minorEastAsia" w:cstheme="minorHAnsi"/>
          <w:lang w:eastAsia="zh-CN"/>
        </w:rPr>
        <w:t xml:space="preserve">onwards, this would not matter in resource terms, although it might have a cashflow consequence. </w:t>
      </w:r>
    </w:p>
    <w:p w14:paraId="25EA925D" w14:textId="58D1DAC0" w:rsidR="005562A7" w:rsidRPr="0013604F" w:rsidRDefault="0013604F" w:rsidP="005562A7">
      <w:pPr>
        <w:spacing w:line="240" w:lineRule="auto"/>
        <w:rPr>
          <w:rFonts w:eastAsiaTheme="minorEastAsia" w:cstheme="minorHAnsi"/>
          <w:i/>
          <w:u w:val="single"/>
          <w:lang w:eastAsia="zh-CN"/>
        </w:rPr>
      </w:pPr>
      <w:r w:rsidRPr="0013604F">
        <w:rPr>
          <w:rFonts w:eastAsiaTheme="minorEastAsia" w:cstheme="minorHAnsi"/>
          <w:i/>
          <w:u w:val="single"/>
          <w:lang w:eastAsia="zh-CN"/>
        </w:rPr>
        <w:t xml:space="preserve">Estimated </w:t>
      </w:r>
      <w:r w:rsidR="005562A7" w:rsidRPr="0013604F">
        <w:rPr>
          <w:rFonts w:eastAsiaTheme="minorEastAsia" w:cstheme="minorHAnsi"/>
          <w:i/>
          <w:u w:val="single"/>
          <w:lang w:eastAsia="zh-CN"/>
        </w:rPr>
        <w:t>Collection Fund Balances</w:t>
      </w:r>
    </w:p>
    <w:p w14:paraId="1206866E" w14:textId="749FC03B" w:rsidR="005562A7" w:rsidRDefault="001C0B1B" w:rsidP="00C63B09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 xml:space="preserve">Under the current arrangements, Part 4 of the </w:t>
      </w:r>
      <w:r w:rsidR="00A5669D">
        <w:rPr>
          <w:rFonts w:eastAsiaTheme="minorEastAsia" w:cstheme="minorHAnsi"/>
          <w:lang w:eastAsia="zh-CN"/>
        </w:rPr>
        <w:t xml:space="preserve">NNDR1 requires authorities to estimate the surplus/deficit on the Collection Fund </w:t>
      </w:r>
      <w:r w:rsidR="00DA5B57">
        <w:rPr>
          <w:rFonts w:eastAsiaTheme="minorEastAsia" w:cstheme="minorHAnsi"/>
          <w:lang w:eastAsia="zh-CN"/>
        </w:rPr>
        <w:t xml:space="preserve">for the </w:t>
      </w:r>
      <w:r w:rsidR="00D61824">
        <w:rPr>
          <w:rFonts w:eastAsiaTheme="minorEastAsia" w:cstheme="minorHAnsi"/>
          <w:lang w:eastAsia="zh-CN"/>
        </w:rPr>
        <w:t>“</w:t>
      </w:r>
      <w:r w:rsidR="00DA5B57">
        <w:rPr>
          <w:rFonts w:eastAsiaTheme="minorEastAsia" w:cstheme="minorHAnsi"/>
          <w:lang w:eastAsia="zh-CN"/>
        </w:rPr>
        <w:t>previous</w:t>
      </w:r>
      <w:r w:rsidR="002B2449">
        <w:rPr>
          <w:rFonts w:eastAsiaTheme="minorEastAsia" w:cstheme="minorHAnsi"/>
          <w:lang w:eastAsia="zh-CN"/>
        </w:rPr>
        <w:t>”</w:t>
      </w:r>
      <w:r w:rsidR="00DA5B57">
        <w:rPr>
          <w:rFonts w:eastAsiaTheme="minorEastAsia" w:cstheme="minorHAnsi"/>
          <w:lang w:eastAsia="zh-CN"/>
        </w:rPr>
        <w:t xml:space="preserve"> year.  This amount is then </w:t>
      </w:r>
      <w:r w:rsidR="00B34B49">
        <w:rPr>
          <w:rFonts w:eastAsiaTheme="minorEastAsia" w:cstheme="minorHAnsi"/>
          <w:lang w:eastAsia="zh-CN"/>
        </w:rPr>
        <w:t xml:space="preserve">shared between the parties </w:t>
      </w:r>
      <w:r w:rsidR="00B43031">
        <w:rPr>
          <w:rFonts w:eastAsiaTheme="minorEastAsia" w:cstheme="minorHAnsi"/>
          <w:lang w:eastAsia="zh-CN"/>
        </w:rPr>
        <w:t xml:space="preserve">to the business rates retention scheme (including central government) </w:t>
      </w:r>
      <w:r w:rsidR="00121679">
        <w:rPr>
          <w:rFonts w:eastAsiaTheme="minorEastAsia" w:cstheme="minorHAnsi"/>
          <w:lang w:eastAsia="zh-CN"/>
        </w:rPr>
        <w:t xml:space="preserve">and paid </w:t>
      </w:r>
      <w:r w:rsidR="00C15189">
        <w:rPr>
          <w:rFonts w:eastAsiaTheme="minorEastAsia" w:cstheme="minorHAnsi"/>
          <w:lang w:eastAsia="zh-CN"/>
        </w:rPr>
        <w:t xml:space="preserve">in the </w:t>
      </w:r>
      <w:r w:rsidR="00121679">
        <w:rPr>
          <w:rFonts w:eastAsiaTheme="minorEastAsia" w:cstheme="minorHAnsi"/>
          <w:lang w:eastAsia="zh-CN"/>
        </w:rPr>
        <w:t xml:space="preserve">year </w:t>
      </w:r>
      <w:r w:rsidR="00C15189">
        <w:rPr>
          <w:rFonts w:eastAsiaTheme="minorEastAsia" w:cstheme="minorHAnsi"/>
          <w:lang w:eastAsia="zh-CN"/>
        </w:rPr>
        <w:t xml:space="preserve">to which the </w:t>
      </w:r>
      <w:r w:rsidR="00121679">
        <w:rPr>
          <w:rFonts w:eastAsiaTheme="minorEastAsia" w:cstheme="minorHAnsi"/>
          <w:lang w:eastAsia="zh-CN"/>
        </w:rPr>
        <w:t>NNDR1</w:t>
      </w:r>
      <w:r w:rsidR="00C15189">
        <w:rPr>
          <w:rFonts w:eastAsiaTheme="minorEastAsia" w:cstheme="minorHAnsi"/>
          <w:lang w:eastAsia="zh-CN"/>
        </w:rPr>
        <w:t xml:space="preserve"> relates.</w:t>
      </w:r>
      <w:r w:rsidR="00EF16E1">
        <w:rPr>
          <w:rFonts w:eastAsiaTheme="minorEastAsia" w:cstheme="minorHAnsi"/>
          <w:lang w:eastAsia="zh-CN"/>
        </w:rPr>
        <w:t xml:space="preserve">  The difference between the </w:t>
      </w:r>
      <w:r w:rsidR="00D61824">
        <w:rPr>
          <w:rFonts w:eastAsiaTheme="minorEastAsia" w:cstheme="minorHAnsi"/>
          <w:lang w:eastAsia="zh-CN"/>
        </w:rPr>
        <w:t>“</w:t>
      </w:r>
      <w:r w:rsidR="00EF16E1">
        <w:rPr>
          <w:rFonts w:eastAsiaTheme="minorEastAsia" w:cstheme="minorHAnsi"/>
          <w:lang w:eastAsia="zh-CN"/>
        </w:rPr>
        <w:t>estimated</w:t>
      </w:r>
      <w:r w:rsidR="00D61824">
        <w:rPr>
          <w:rFonts w:eastAsiaTheme="minorEastAsia" w:cstheme="minorHAnsi"/>
          <w:lang w:eastAsia="zh-CN"/>
        </w:rPr>
        <w:t>”</w:t>
      </w:r>
      <w:r w:rsidR="00EF16E1">
        <w:rPr>
          <w:rFonts w:eastAsiaTheme="minorEastAsia" w:cstheme="minorHAnsi"/>
          <w:lang w:eastAsia="zh-CN"/>
        </w:rPr>
        <w:t xml:space="preserve"> surplus</w:t>
      </w:r>
      <w:r w:rsidR="00D61824">
        <w:rPr>
          <w:rFonts w:eastAsiaTheme="minorEastAsia" w:cstheme="minorHAnsi"/>
          <w:lang w:eastAsia="zh-CN"/>
        </w:rPr>
        <w:t>/</w:t>
      </w:r>
      <w:r w:rsidR="00EF16E1">
        <w:rPr>
          <w:rFonts w:eastAsiaTheme="minorEastAsia" w:cstheme="minorHAnsi"/>
          <w:lang w:eastAsia="zh-CN"/>
        </w:rPr>
        <w:t>deficit</w:t>
      </w:r>
      <w:r w:rsidR="00D61824">
        <w:rPr>
          <w:rFonts w:eastAsiaTheme="minorEastAsia" w:cstheme="minorHAnsi"/>
          <w:lang w:eastAsia="zh-CN"/>
        </w:rPr>
        <w:t xml:space="preserve"> and the “actual” surplus/deficit (which is not known until after NNDR3s for the </w:t>
      </w:r>
      <w:r w:rsidR="002B2449">
        <w:rPr>
          <w:rFonts w:eastAsiaTheme="minorEastAsia" w:cstheme="minorHAnsi"/>
          <w:lang w:eastAsia="zh-CN"/>
        </w:rPr>
        <w:t>“</w:t>
      </w:r>
      <w:r w:rsidR="00D61824">
        <w:rPr>
          <w:rFonts w:eastAsiaTheme="minorEastAsia" w:cstheme="minorHAnsi"/>
          <w:lang w:eastAsia="zh-CN"/>
        </w:rPr>
        <w:t>previous</w:t>
      </w:r>
      <w:r w:rsidR="002B2449">
        <w:rPr>
          <w:rFonts w:eastAsiaTheme="minorEastAsia" w:cstheme="minorHAnsi"/>
          <w:lang w:eastAsia="zh-CN"/>
        </w:rPr>
        <w:t>”</w:t>
      </w:r>
      <w:r w:rsidR="00D61824">
        <w:rPr>
          <w:rFonts w:eastAsiaTheme="minorEastAsia" w:cstheme="minorHAnsi"/>
          <w:lang w:eastAsia="zh-CN"/>
        </w:rPr>
        <w:t xml:space="preserve"> year</w:t>
      </w:r>
      <w:r w:rsidR="002B2449">
        <w:rPr>
          <w:rFonts w:eastAsiaTheme="minorEastAsia" w:cstheme="minorHAnsi"/>
          <w:lang w:eastAsia="zh-CN"/>
        </w:rPr>
        <w:t xml:space="preserve"> are completed</w:t>
      </w:r>
      <w:r w:rsidR="004039B0">
        <w:rPr>
          <w:rFonts w:eastAsiaTheme="minorEastAsia" w:cstheme="minorHAnsi"/>
          <w:lang w:eastAsia="zh-CN"/>
        </w:rPr>
        <w:t xml:space="preserve">) </w:t>
      </w:r>
      <w:r w:rsidR="006B4E34">
        <w:rPr>
          <w:rFonts w:eastAsiaTheme="minorEastAsia" w:cstheme="minorHAnsi"/>
          <w:lang w:eastAsia="zh-CN"/>
        </w:rPr>
        <w:t xml:space="preserve">is </w:t>
      </w:r>
      <w:r w:rsidR="004039B0">
        <w:rPr>
          <w:rFonts w:eastAsiaTheme="minorEastAsia" w:cstheme="minorHAnsi"/>
          <w:lang w:eastAsia="zh-CN"/>
        </w:rPr>
        <w:t xml:space="preserve">included in </w:t>
      </w:r>
      <w:r w:rsidR="00917AD1">
        <w:rPr>
          <w:rFonts w:eastAsiaTheme="minorEastAsia" w:cstheme="minorHAnsi"/>
          <w:lang w:eastAsia="zh-CN"/>
        </w:rPr>
        <w:t>the following year’s estimated surplus/deficit.  Hence</w:t>
      </w:r>
      <w:r w:rsidR="00077438">
        <w:rPr>
          <w:rFonts w:eastAsiaTheme="minorEastAsia" w:cstheme="minorHAnsi"/>
          <w:lang w:eastAsia="zh-CN"/>
        </w:rPr>
        <w:t xml:space="preserve">, </w:t>
      </w:r>
      <w:r w:rsidR="00100E9E">
        <w:rPr>
          <w:rFonts w:eastAsiaTheme="minorEastAsia" w:cstheme="minorHAnsi"/>
          <w:lang w:eastAsia="zh-CN"/>
        </w:rPr>
        <w:t xml:space="preserve">the actual surplus/deficit </w:t>
      </w:r>
      <w:r w:rsidR="00B337B7">
        <w:rPr>
          <w:rFonts w:eastAsiaTheme="minorEastAsia" w:cstheme="minorHAnsi"/>
          <w:lang w:eastAsia="zh-CN"/>
        </w:rPr>
        <w:t>for any year takes two years to reconcile</w:t>
      </w:r>
      <w:r w:rsidR="00484C83">
        <w:rPr>
          <w:rFonts w:eastAsiaTheme="minorEastAsia" w:cstheme="minorHAnsi"/>
          <w:lang w:eastAsia="zh-CN"/>
        </w:rPr>
        <w:t>.</w:t>
      </w:r>
    </w:p>
    <w:p w14:paraId="0E339EC9" w14:textId="086387E2" w:rsidR="00F94164" w:rsidRDefault="00484C83" w:rsidP="00C63B09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 xml:space="preserve">It would be possible for the alternative model to work in exactly the same way </w:t>
      </w:r>
      <w:r w:rsidR="003C6761">
        <w:rPr>
          <w:rFonts w:eastAsiaTheme="minorEastAsia" w:cstheme="minorHAnsi"/>
          <w:lang w:eastAsia="zh-CN"/>
        </w:rPr>
        <w:t>as the current arrang</w:t>
      </w:r>
      <w:r w:rsidR="00956CA4">
        <w:rPr>
          <w:rFonts w:eastAsiaTheme="minorEastAsia" w:cstheme="minorHAnsi"/>
          <w:lang w:eastAsia="zh-CN"/>
        </w:rPr>
        <w:t>e</w:t>
      </w:r>
      <w:r w:rsidR="003C6761">
        <w:rPr>
          <w:rFonts w:eastAsiaTheme="minorEastAsia" w:cstheme="minorHAnsi"/>
          <w:lang w:eastAsia="zh-CN"/>
        </w:rPr>
        <w:t>ments insofar as Collection Fund surpluses and deficits are concerned.</w:t>
      </w:r>
      <w:r w:rsidR="00956CA4">
        <w:rPr>
          <w:rFonts w:eastAsiaTheme="minorEastAsia" w:cstheme="minorHAnsi"/>
          <w:lang w:eastAsia="zh-CN"/>
        </w:rPr>
        <w:t xml:space="preserve">  To meet the objective that, </w:t>
      </w:r>
      <w:r w:rsidR="00A175A0">
        <w:rPr>
          <w:rFonts w:eastAsiaTheme="minorEastAsia" w:cstheme="minorHAnsi"/>
          <w:lang w:eastAsia="zh-CN"/>
        </w:rPr>
        <w:t xml:space="preserve">the tariff/top-up would be set </w:t>
      </w:r>
      <w:r w:rsidR="00B97361">
        <w:rPr>
          <w:rFonts w:eastAsiaTheme="minorEastAsia" w:cstheme="minorHAnsi"/>
          <w:lang w:eastAsia="zh-CN"/>
        </w:rPr>
        <w:t xml:space="preserve">in order </w:t>
      </w:r>
      <w:r w:rsidR="00A175A0">
        <w:rPr>
          <w:rFonts w:eastAsiaTheme="minorEastAsia" w:cstheme="minorHAnsi"/>
          <w:lang w:eastAsia="zh-CN"/>
        </w:rPr>
        <w:t xml:space="preserve">to guarantee each authority </w:t>
      </w:r>
      <w:r w:rsidR="00B97361">
        <w:rPr>
          <w:rFonts w:eastAsiaTheme="minorEastAsia" w:cstheme="minorHAnsi"/>
          <w:lang w:eastAsia="zh-CN"/>
        </w:rPr>
        <w:t xml:space="preserve">its </w:t>
      </w:r>
      <w:r w:rsidR="00A175A0">
        <w:rPr>
          <w:rFonts w:eastAsiaTheme="minorEastAsia" w:cstheme="minorHAnsi"/>
          <w:lang w:eastAsia="zh-CN"/>
        </w:rPr>
        <w:t>baseline funding level (BFL)</w:t>
      </w:r>
      <w:r w:rsidR="00B97361">
        <w:rPr>
          <w:rFonts w:eastAsiaTheme="minorEastAsia" w:cstheme="minorHAnsi"/>
          <w:lang w:eastAsia="zh-CN"/>
        </w:rPr>
        <w:t xml:space="preserve"> plus growth</w:t>
      </w:r>
      <w:r w:rsidR="00B87792">
        <w:rPr>
          <w:rFonts w:eastAsiaTheme="minorEastAsia" w:cstheme="minorHAnsi"/>
          <w:lang w:eastAsia="zh-CN"/>
        </w:rPr>
        <w:t xml:space="preserve">, </w:t>
      </w:r>
      <w:r w:rsidR="00AC4396">
        <w:rPr>
          <w:rFonts w:eastAsiaTheme="minorEastAsia" w:cstheme="minorHAnsi"/>
          <w:lang w:eastAsia="zh-CN"/>
        </w:rPr>
        <w:t xml:space="preserve">an </w:t>
      </w:r>
      <w:r w:rsidR="00B87792">
        <w:rPr>
          <w:rFonts w:eastAsiaTheme="minorEastAsia" w:cstheme="minorHAnsi"/>
          <w:lang w:eastAsia="zh-CN"/>
        </w:rPr>
        <w:t>author</w:t>
      </w:r>
      <w:r w:rsidR="00F94164">
        <w:rPr>
          <w:rFonts w:eastAsiaTheme="minorEastAsia" w:cstheme="minorHAnsi"/>
          <w:lang w:eastAsia="zh-CN"/>
        </w:rPr>
        <w:t>i</w:t>
      </w:r>
      <w:r w:rsidR="00B87792">
        <w:rPr>
          <w:rFonts w:eastAsiaTheme="minorEastAsia" w:cstheme="minorHAnsi"/>
          <w:lang w:eastAsia="zh-CN"/>
        </w:rPr>
        <w:t>t</w:t>
      </w:r>
      <w:r w:rsidR="00EF1152">
        <w:rPr>
          <w:rFonts w:eastAsiaTheme="minorEastAsia" w:cstheme="minorHAnsi"/>
          <w:lang w:eastAsia="zh-CN"/>
        </w:rPr>
        <w:t xml:space="preserve">y’s </w:t>
      </w:r>
      <w:r w:rsidR="00B87792">
        <w:rPr>
          <w:rFonts w:eastAsiaTheme="minorEastAsia" w:cstheme="minorHAnsi"/>
          <w:lang w:eastAsia="zh-CN"/>
        </w:rPr>
        <w:t xml:space="preserve">share of the estimated surplus/deficit would </w:t>
      </w:r>
      <w:r w:rsidR="00F94164">
        <w:rPr>
          <w:rFonts w:eastAsiaTheme="minorEastAsia" w:cstheme="minorHAnsi"/>
          <w:lang w:eastAsia="zh-CN"/>
        </w:rPr>
        <w:t xml:space="preserve">need to be taken into account in making the </w:t>
      </w:r>
      <w:r w:rsidR="00D842D9">
        <w:rPr>
          <w:rFonts w:eastAsiaTheme="minorEastAsia" w:cstheme="minorHAnsi"/>
          <w:lang w:eastAsia="zh-CN"/>
        </w:rPr>
        <w:t xml:space="preserve">tariff/top-up </w:t>
      </w:r>
      <w:r w:rsidR="00F94164">
        <w:rPr>
          <w:rFonts w:eastAsiaTheme="minorEastAsia" w:cstheme="minorHAnsi"/>
          <w:lang w:eastAsia="zh-CN"/>
        </w:rPr>
        <w:t>calculation:</w:t>
      </w:r>
    </w:p>
    <w:p w14:paraId="4D652FC5" w14:textId="50A2F66F" w:rsidR="00F94164" w:rsidRDefault="00401175" w:rsidP="00A478FA">
      <w:pPr>
        <w:spacing w:line="240" w:lineRule="auto"/>
        <w:ind w:left="360"/>
        <w:rPr>
          <w:rFonts w:eastAsiaTheme="minorEastAsia" w:cstheme="minorHAnsi"/>
          <w:lang w:eastAsia="zh-CN"/>
        </w:rPr>
      </w:pPr>
      <w:r w:rsidRPr="00401175">
        <w:drawing>
          <wp:inline distT="0" distB="0" distL="0" distR="0" wp14:anchorId="16EBD877" wp14:editId="5F72C2AB">
            <wp:extent cx="5562600" cy="22815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82F06" w14:textId="37A8B0B0" w:rsidR="00CC0A33" w:rsidRDefault="00F36AC2" w:rsidP="00C63B09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lastRenderedPageBreak/>
        <w:t>Alternatively, it would be possible</w:t>
      </w:r>
      <w:r w:rsidR="00F51199">
        <w:rPr>
          <w:rFonts w:eastAsiaTheme="minorEastAsia" w:cstheme="minorHAnsi"/>
          <w:lang w:eastAsia="zh-CN"/>
        </w:rPr>
        <w:t>,</w:t>
      </w:r>
      <w:r w:rsidR="00120574">
        <w:rPr>
          <w:rFonts w:eastAsiaTheme="minorEastAsia" w:cstheme="minorHAnsi"/>
          <w:lang w:eastAsia="zh-CN"/>
        </w:rPr>
        <w:t xml:space="preserve"> to simplify the administration of the </w:t>
      </w:r>
      <w:r w:rsidR="00D90362">
        <w:rPr>
          <w:rFonts w:eastAsiaTheme="minorEastAsia" w:cstheme="minorHAnsi"/>
          <w:lang w:eastAsia="zh-CN"/>
        </w:rPr>
        <w:t xml:space="preserve">rates retention system by </w:t>
      </w:r>
      <w:r w:rsidR="004635E3">
        <w:rPr>
          <w:rFonts w:eastAsiaTheme="minorEastAsia" w:cstheme="minorHAnsi"/>
          <w:lang w:eastAsia="zh-CN"/>
        </w:rPr>
        <w:t xml:space="preserve">making the </w:t>
      </w:r>
      <w:r w:rsidR="00A42445">
        <w:rPr>
          <w:rFonts w:eastAsiaTheme="minorEastAsia" w:cstheme="minorHAnsi"/>
          <w:lang w:eastAsia="zh-CN"/>
        </w:rPr>
        <w:t xml:space="preserve">entire Collection Fund surplus/deficit payable to central government and </w:t>
      </w:r>
      <w:r w:rsidR="00E919EC">
        <w:rPr>
          <w:rFonts w:eastAsiaTheme="minorEastAsia" w:cstheme="minorHAnsi"/>
          <w:lang w:eastAsia="zh-CN"/>
        </w:rPr>
        <w:t>ignoring it for the purposes of setting the tariff/top-up</w:t>
      </w:r>
      <w:r w:rsidR="000407D2">
        <w:rPr>
          <w:rFonts w:eastAsiaTheme="minorEastAsia" w:cstheme="minorHAnsi"/>
          <w:lang w:eastAsia="zh-CN"/>
        </w:rPr>
        <w:t>.  From local authorities’ perspective, the result would be exactly the same</w:t>
      </w:r>
      <w:r w:rsidR="007B37C3">
        <w:rPr>
          <w:rFonts w:eastAsiaTheme="minorEastAsia" w:cstheme="minorHAnsi"/>
          <w:lang w:eastAsia="zh-CN"/>
        </w:rPr>
        <w:t xml:space="preserve">.  </w:t>
      </w:r>
    </w:p>
    <w:p w14:paraId="0C94FB0E" w14:textId="2F021452" w:rsidR="00CC0A33" w:rsidRDefault="00716B9C" w:rsidP="00CC0A33">
      <w:pPr>
        <w:spacing w:line="240" w:lineRule="auto"/>
        <w:ind w:left="360"/>
        <w:rPr>
          <w:rFonts w:eastAsiaTheme="minorEastAsia" w:cstheme="minorHAnsi"/>
          <w:lang w:eastAsia="zh-CN"/>
        </w:rPr>
      </w:pPr>
      <w:r w:rsidRPr="00716B9C">
        <w:drawing>
          <wp:inline distT="0" distB="0" distL="0" distR="0" wp14:anchorId="59ADDE69" wp14:editId="179DD9A3">
            <wp:extent cx="5731510" cy="2428177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2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DCA00" w14:textId="36BC9E50" w:rsidR="00A01133" w:rsidRDefault="00C228C3" w:rsidP="00C63B09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 xml:space="preserve">The cost to central government would also be </w:t>
      </w:r>
      <w:r w:rsidR="00E12022">
        <w:rPr>
          <w:rFonts w:eastAsiaTheme="minorEastAsia" w:cstheme="minorHAnsi"/>
          <w:lang w:eastAsia="zh-CN"/>
        </w:rPr>
        <w:t>the same</w:t>
      </w:r>
      <w:r w:rsidR="003E154D">
        <w:rPr>
          <w:rFonts w:eastAsiaTheme="minorEastAsia" w:cstheme="minorHAnsi"/>
          <w:lang w:eastAsia="zh-CN"/>
        </w:rPr>
        <w:t>:</w:t>
      </w:r>
    </w:p>
    <w:p w14:paraId="0F0B2D4A" w14:textId="77777777" w:rsidR="00AC5F4C" w:rsidRDefault="00AC5F4C" w:rsidP="00415DC9">
      <w:pPr>
        <w:spacing w:line="240" w:lineRule="auto"/>
        <w:ind w:left="360"/>
        <w:rPr>
          <w:rFonts w:eastAsiaTheme="minorEastAsia" w:cstheme="minorHAnsi"/>
          <w:lang w:eastAsia="zh-CN"/>
        </w:rPr>
      </w:pPr>
    </w:p>
    <w:p w14:paraId="2707310F" w14:textId="35F18F17" w:rsidR="00A01133" w:rsidRDefault="000E4BE1" w:rsidP="00415DC9">
      <w:pPr>
        <w:spacing w:line="240" w:lineRule="auto"/>
        <w:ind w:left="360"/>
        <w:rPr>
          <w:rFonts w:eastAsiaTheme="minorEastAsia" w:cstheme="minorHAnsi"/>
          <w:lang w:eastAsia="zh-CN"/>
        </w:rPr>
      </w:pPr>
      <w:r w:rsidRPr="000E4BE1">
        <w:drawing>
          <wp:inline distT="0" distB="0" distL="0" distR="0" wp14:anchorId="778BECC5" wp14:editId="23EA7E8E">
            <wp:extent cx="3917315" cy="4693285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469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13063" w14:textId="4617F319" w:rsidR="00482C97" w:rsidRDefault="00BF37EF" w:rsidP="00C63B09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lastRenderedPageBreak/>
        <w:t xml:space="preserve">But </w:t>
      </w:r>
      <w:r w:rsidR="00167005">
        <w:rPr>
          <w:rFonts w:eastAsiaTheme="minorEastAsia" w:cstheme="minorHAnsi"/>
          <w:lang w:eastAsia="zh-CN"/>
        </w:rPr>
        <w:t>by making the entire Collection Fund surplus/deficit payable to central government and ignoring it for the purposes of setting the tariff/top-up</w:t>
      </w:r>
      <w:r w:rsidR="004F5FBA">
        <w:rPr>
          <w:rFonts w:eastAsiaTheme="minorEastAsia" w:cstheme="minorHAnsi"/>
          <w:lang w:eastAsia="zh-CN"/>
        </w:rPr>
        <w:t xml:space="preserve">, </w:t>
      </w:r>
      <w:r w:rsidR="00E437A5">
        <w:rPr>
          <w:rFonts w:eastAsiaTheme="minorEastAsia" w:cstheme="minorHAnsi"/>
          <w:lang w:eastAsia="zh-CN"/>
        </w:rPr>
        <w:t>it</w:t>
      </w:r>
      <w:r w:rsidR="00E65F7F">
        <w:rPr>
          <w:rFonts w:eastAsiaTheme="minorEastAsia" w:cstheme="minorHAnsi"/>
          <w:lang w:eastAsia="zh-CN"/>
        </w:rPr>
        <w:t xml:space="preserve"> would be possible to dispense with the need for </w:t>
      </w:r>
      <w:r w:rsidR="00FD645A">
        <w:rPr>
          <w:rFonts w:eastAsiaTheme="minorEastAsia" w:cstheme="minorHAnsi"/>
          <w:lang w:eastAsia="zh-CN"/>
        </w:rPr>
        <w:t>authorities to estimate the previous year’s surplus/deficit</w:t>
      </w:r>
      <w:r w:rsidR="00E437A5">
        <w:rPr>
          <w:rFonts w:eastAsiaTheme="minorEastAsia" w:cstheme="minorHAnsi"/>
          <w:lang w:eastAsia="zh-CN"/>
        </w:rPr>
        <w:t xml:space="preserve">.  Hence, </w:t>
      </w:r>
      <w:r w:rsidR="00FD645A">
        <w:rPr>
          <w:rFonts w:eastAsiaTheme="minorEastAsia" w:cstheme="minorHAnsi"/>
          <w:lang w:eastAsia="zh-CN"/>
        </w:rPr>
        <w:t xml:space="preserve">part 4 of the NNDR1 </w:t>
      </w:r>
      <w:r w:rsidR="003C094E">
        <w:rPr>
          <w:rFonts w:eastAsiaTheme="minorEastAsia" w:cstheme="minorHAnsi"/>
          <w:lang w:eastAsia="zh-CN"/>
        </w:rPr>
        <w:t>c</w:t>
      </w:r>
      <w:r w:rsidR="00FD645A">
        <w:rPr>
          <w:rFonts w:eastAsiaTheme="minorEastAsia" w:cstheme="minorHAnsi"/>
          <w:lang w:eastAsia="zh-CN"/>
        </w:rPr>
        <w:t>ould be scrapped</w:t>
      </w:r>
      <w:r w:rsidR="003C094E">
        <w:rPr>
          <w:rFonts w:eastAsiaTheme="minorEastAsia" w:cstheme="minorHAnsi"/>
          <w:lang w:eastAsia="zh-CN"/>
        </w:rPr>
        <w:t xml:space="preserve">.  Instead, the actual surplus/deficit could be calculated </w:t>
      </w:r>
      <w:r w:rsidR="00482C97">
        <w:rPr>
          <w:rFonts w:eastAsiaTheme="minorEastAsia" w:cstheme="minorHAnsi"/>
          <w:lang w:eastAsia="zh-CN"/>
        </w:rPr>
        <w:t>a</w:t>
      </w:r>
      <w:r w:rsidR="004661D3">
        <w:rPr>
          <w:rFonts w:eastAsiaTheme="minorEastAsia" w:cstheme="minorHAnsi"/>
          <w:lang w:eastAsia="zh-CN"/>
        </w:rPr>
        <w:t xml:space="preserve">s part of the </w:t>
      </w:r>
      <w:r w:rsidR="00482C97">
        <w:rPr>
          <w:rFonts w:eastAsiaTheme="minorEastAsia" w:cstheme="minorHAnsi"/>
          <w:lang w:eastAsia="zh-CN"/>
        </w:rPr>
        <w:t xml:space="preserve">NNDR3 and a single payment made by/to central government – see paragraph </w:t>
      </w:r>
      <w:r w:rsidR="002A48BE">
        <w:rPr>
          <w:rFonts w:eastAsiaTheme="minorEastAsia" w:cstheme="minorHAnsi"/>
          <w:lang w:eastAsia="zh-CN"/>
        </w:rPr>
        <w:t>40</w:t>
      </w:r>
      <w:r w:rsidR="00482C97">
        <w:rPr>
          <w:rFonts w:eastAsiaTheme="minorEastAsia" w:cstheme="minorHAnsi"/>
          <w:lang w:eastAsia="zh-CN"/>
        </w:rPr>
        <w:t xml:space="preserve"> below.</w:t>
      </w:r>
    </w:p>
    <w:p w14:paraId="31ABE8B2" w14:textId="6A7EA03A" w:rsidR="00315564" w:rsidRDefault="008C09D2" w:rsidP="00834CF5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 xml:space="preserve">Regardless of whether </w:t>
      </w:r>
      <w:r w:rsidR="008A2167">
        <w:rPr>
          <w:rFonts w:eastAsiaTheme="minorEastAsia" w:cstheme="minorHAnsi"/>
          <w:lang w:eastAsia="zh-CN"/>
        </w:rPr>
        <w:t>Collection Fund surpluses/deficits are shared between local and central government, or not, the al</w:t>
      </w:r>
      <w:r w:rsidR="006B1C78">
        <w:rPr>
          <w:rFonts w:eastAsiaTheme="minorEastAsia" w:cstheme="minorHAnsi"/>
          <w:lang w:eastAsia="zh-CN"/>
        </w:rPr>
        <w:t xml:space="preserve">ternative arrangements are likely to complicate the accounting arrangements.  This is because </w:t>
      </w:r>
      <w:r w:rsidR="009C157F">
        <w:rPr>
          <w:rFonts w:eastAsiaTheme="minorEastAsia" w:cstheme="minorHAnsi"/>
          <w:lang w:eastAsia="zh-CN"/>
        </w:rPr>
        <w:t>any</w:t>
      </w:r>
      <w:r w:rsidR="000E5B7A">
        <w:rPr>
          <w:rFonts w:eastAsiaTheme="minorEastAsia" w:cstheme="minorHAnsi"/>
          <w:lang w:eastAsia="zh-CN"/>
        </w:rPr>
        <w:t xml:space="preserve"> Collection </w:t>
      </w:r>
      <w:r w:rsidR="009C157F">
        <w:rPr>
          <w:rFonts w:eastAsiaTheme="minorEastAsia" w:cstheme="minorHAnsi"/>
          <w:lang w:eastAsia="zh-CN"/>
        </w:rPr>
        <w:t>F</w:t>
      </w:r>
      <w:r w:rsidR="000E5B7A">
        <w:rPr>
          <w:rFonts w:eastAsiaTheme="minorEastAsia" w:cstheme="minorHAnsi"/>
          <w:lang w:eastAsia="zh-CN"/>
        </w:rPr>
        <w:t xml:space="preserve">und surplus/deficit </w:t>
      </w:r>
      <w:r w:rsidR="00DB4B5F">
        <w:rPr>
          <w:rFonts w:eastAsiaTheme="minorEastAsia" w:cstheme="minorHAnsi"/>
          <w:lang w:eastAsia="zh-CN"/>
        </w:rPr>
        <w:t xml:space="preserve">comprises, in part, </w:t>
      </w:r>
      <w:r w:rsidR="0069478A">
        <w:rPr>
          <w:rFonts w:eastAsiaTheme="minorEastAsia" w:cstheme="minorHAnsi"/>
          <w:lang w:eastAsia="zh-CN"/>
        </w:rPr>
        <w:t xml:space="preserve">of </w:t>
      </w:r>
      <w:r w:rsidR="00DB4B5F">
        <w:rPr>
          <w:rFonts w:eastAsiaTheme="minorEastAsia" w:cstheme="minorHAnsi"/>
          <w:lang w:eastAsia="zh-CN"/>
        </w:rPr>
        <w:t>the</w:t>
      </w:r>
      <w:r w:rsidR="000E5B7A">
        <w:rPr>
          <w:rFonts w:eastAsiaTheme="minorEastAsia" w:cstheme="minorHAnsi"/>
          <w:lang w:eastAsia="zh-CN"/>
        </w:rPr>
        <w:t xml:space="preserve"> </w:t>
      </w:r>
      <w:r w:rsidR="006B1C78">
        <w:rPr>
          <w:rFonts w:eastAsiaTheme="minorEastAsia" w:cstheme="minorHAnsi"/>
          <w:lang w:eastAsia="zh-CN"/>
        </w:rPr>
        <w:t xml:space="preserve"> “growth”, which </w:t>
      </w:r>
      <w:r w:rsidR="00DB4B5F">
        <w:rPr>
          <w:rFonts w:eastAsiaTheme="minorEastAsia" w:cstheme="minorHAnsi"/>
          <w:lang w:eastAsia="zh-CN"/>
        </w:rPr>
        <w:t xml:space="preserve">under the alternative model we are calculating </w:t>
      </w:r>
      <w:r w:rsidR="00B9292C">
        <w:rPr>
          <w:rFonts w:eastAsiaTheme="minorEastAsia" w:cstheme="minorHAnsi"/>
          <w:lang w:eastAsia="zh-CN"/>
        </w:rPr>
        <w:t xml:space="preserve">independently and paying to </w:t>
      </w:r>
      <w:r w:rsidR="00FE2A68">
        <w:rPr>
          <w:rFonts w:eastAsiaTheme="minorEastAsia" w:cstheme="minorHAnsi"/>
          <w:lang w:eastAsia="zh-CN"/>
        </w:rPr>
        <w:t xml:space="preserve">authorities </w:t>
      </w:r>
      <w:r w:rsidR="00835FD6">
        <w:rPr>
          <w:rFonts w:eastAsiaTheme="minorEastAsia" w:cstheme="minorHAnsi"/>
          <w:lang w:eastAsia="zh-CN"/>
        </w:rPr>
        <w:t xml:space="preserve">under </w:t>
      </w:r>
      <w:r w:rsidR="00FE2A68">
        <w:rPr>
          <w:rFonts w:eastAsiaTheme="minorEastAsia" w:cstheme="minorHAnsi"/>
          <w:lang w:eastAsia="zh-CN"/>
        </w:rPr>
        <w:t>the stage 2 calculation of tariffs/top-ups</w:t>
      </w:r>
      <w:r w:rsidR="00835FD6">
        <w:rPr>
          <w:rFonts w:eastAsiaTheme="minorEastAsia" w:cstheme="minorHAnsi"/>
          <w:lang w:eastAsia="zh-CN"/>
        </w:rPr>
        <w:t xml:space="preserve">.  </w:t>
      </w:r>
      <w:r w:rsidR="00C50274">
        <w:rPr>
          <w:rFonts w:eastAsiaTheme="minorEastAsia" w:cstheme="minorHAnsi"/>
          <w:lang w:eastAsia="zh-CN"/>
        </w:rPr>
        <w:t xml:space="preserve">We </w:t>
      </w:r>
      <w:r w:rsidR="00394BF8">
        <w:rPr>
          <w:rFonts w:eastAsiaTheme="minorEastAsia" w:cstheme="minorHAnsi"/>
          <w:lang w:eastAsia="zh-CN"/>
        </w:rPr>
        <w:t>and CIPFA will pr</w:t>
      </w:r>
      <w:r w:rsidR="000E74AC">
        <w:rPr>
          <w:rFonts w:eastAsiaTheme="minorEastAsia" w:cstheme="minorHAnsi"/>
          <w:lang w:eastAsia="zh-CN"/>
        </w:rPr>
        <w:t xml:space="preserve">esent </w:t>
      </w:r>
      <w:r w:rsidR="00394BF8">
        <w:rPr>
          <w:rFonts w:eastAsiaTheme="minorEastAsia" w:cstheme="minorHAnsi"/>
          <w:lang w:eastAsia="zh-CN"/>
        </w:rPr>
        <w:t xml:space="preserve">a </w:t>
      </w:r>
      <w:r w:rsidR="00424F8F">
        <w:rPr>
          <w:rFonts w:eastAsiaTheme="minorEastAsia" w:cstheme="minorHAnsi"/>
          <w:lang w:eastAsia="zh-CN"/>
        </w:rPr>
        <w:t>p</w:t>
      </w:r>
      <w:r w:rsidR="00394BF8">
        <w:rPr>
          <w:rFonts w:eastAsiaTheme="minorEastAsia" w:cstheme="minorHAnsi"/>
          <w:lang w:eastAsia="zh-CN"/>
        </w:rPr>
        <w:t xml:space="preserve">aper </w:t>
      </w:r>
      <w:r w:rsidR="000E74AC">
        <w:rPr>
          <w:rFonts w:eastAsiaTheme="minorEastAsia" w:cstheme="minorHAnsi"/>
          <w:lang w:eastAsia="zh-CN"/>
        </w:rPr>
        <w:t>setting out the issue</w:t>
      </w:r>
      <w:r w:rsidR="0009429D">
        <w:rPr>
          <w:rFonts w:eastAsiaTheme="minorEastAsia" w:cstheme="minorHAnsi"/>
          <w:lang w:eastAsia="zh-CN"/>
        </w:rPr>
        <w:t xml:space="preserve">s to </w:t>
      </w:r>
      <w:r w:rsidR="00394BF8">
        <w:rPr>
          <w:rFonts w:eastAsiaTheme="minorEastAsia" w:cstheme="minorHAnsi"/>
          <w:lang w:eastAsia="zh-CN"/>
        </w:rPr>
        <w:t>a future meeting of the working group.</w:t>
      </w:r>
    </w:p>
    <w:p w14:paraId="033BDC11" w14:textId="6A5BD87B" w:rsidR="00704708" w:rsidRPr="00FB0C12" w:rsidRDefault="00FB0C12" w:rsidP="00FB0C12">
      <w:pPr>
        <w:spacing w:line="240" w:lineRule="auto"/>
        <w:rPr>
          <w:rFonts w:eastAsiaTheme="minorEastAsia" w:cstheme="minorHAnsi"/>
          <w:b/>
          <w:u w:val="single"/>
          <w:lang w:eastAsia="zh-CN"/>
        </w:rPr>
      </w:pPr>
      <w:r w:rsidRPr="00FB0C12">
        <w:rPr>
          <w:rFonts w:eastAsiaTheme="minorEastAsia" w:cstheme="minorHAnsi"/>
          <w:b/>
          <w:u w:val="single"/>
          <w:lang w:eastAsia="zh-CN"/>
        </w:rPr>
        <w:t>Payments following submission of NNDR1s</w:t>
      </w:r>
    </w:p>
    <w:p w14:paraId="6B954126" w14:textId="547A058F" w:rsidR="00E96C43" w:rsidRDefault="0009429D" w:rsidP="00834CF5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>Under the current arrangements</w:t>
      </w:r>
      <w:r w:rsidR="00424F8F">
        <w:rPr>
          <w:rFonts w:eastAsiaTheme="minorEastAsia" w:cstheme="minorHAnsi"/>
          <w:lang w:eastAsia="zh-CN"/>
        </w:rPr>
        <w:t xml:space="preserve">, NNDR1s </w:t>
      </w:r>
      <w:r w:rsidR="00FF5477">
        <w:rPr>
          <w:rFonts w:eastAsiaTheme="minorEastAsia" w:cstheme="minorHAnsi"/>
          <w:lang w:eastAsia="zh-CN"/>
        </w:rPr>
        <w:t>are used to determine the amounts that are payable b</w:t>
      </w:r>
      <w:r w:rsidR="0017419B">
        <w:rPr>
          <w:rFonts w:eastAsiaTheme="minorEastAsia" w:cstheme="minorHAnsi"/>
          <w:lang w:eastAsia="zh-CN"/>
        </w:rPr>
        <w:t xml:space="preserve">y, or to </w:t>
      </w:r>
      <w:r w:rsidR="00FF5477">
        <w:rPr>
          <w:rFonts w:eastAsiaTheme="minorEastAsia" w:cstheme="minorHAnsi"/>
          <w:lang w:eastAsia="zh-CN"/>
        </w:rPr>
        <w:t xml:space="preserve">local </w:t>
      </w:r>
      <w:r w:rsidR="0017419B">
        <w:rPr>
          <w:rFonts w:eastAsiaTheme="minorEastAsia" w:cstheme="minorHAnsi"/>
          <w:lang w:eastAsia="zh-CN"/>
        </w:rPr>
        <w:t xml:space="preserve">authorities </w:t>
      </w:r>
      <w:r w:rsidR="00FF5477">
        <w:rPr>
          <w:rFonts w:eastAsiaTheme="minorEastAsia" w:cstheme="minorHAnsi"/>
          <w:lang w:eastAsia="zh-CN"/>
        </w:rPr>
        <w:t xml:space="preserve">in respect of </w:t>
      </w:r>
      <w:r w:rsidR="004C6E53">
        <w:rPr>
          <w:rFonts w:eastAsiaTheme="minorEastAsia" w:cstheme="minorHAnsi"/>
          <w:lang w:eastAsia="zh-CN"/>
        </w:rPr>
        <w:t xml:space="preserve">the “central share”, </w:t>
      </w:r>
      <w:r w:rsidR="00C1770D">
        <w:rPr>
          <w:rFonts w:eastAsiaTheme="minorEastAsia" w:cstheme="minorHAnsi"/>
          <w:lang w:eastAsia="zh-CN"/>
        </w:rPr>
        <w:t>“transitional protection payments”</w:t>
      </w:r>
      <w:r w:rsidR="006A6975">
        <w:rPr>
          <w:rFonts w:eastAsiaTheme="minorEastAsia" w:cstheme="minorHAnsi"/>
          <w:lang w:eastAsia="zh-CN"/>
        </w:rPr>
        <w:t xml:space="preserve">, </w:t>
      </w:r>
      <w:r w:rsidR="008E14DA">
        <w:rPr>
          <w:rFonts w:eastAsiaTheme="minorEastAsia" w:cstheme="minorHAnsi"/>
          <w:lang w:eastAsia="zh-CN"/>
        </w:rPr>
        <w:t>“</w:t>
      </w:r>
      <w:r w:rsidR="006A6975">
        <w:rPr>
          <w:rFonts w:eastAsiaTheme="minorEastAsia" w:cstheme="minorHAnsi"/>
          <w:lang w:eastAsia="zh-CN"/>
        </w:rPr>
        <w:t xml:space="preserve">Collection Fund </w:t>
      </w:r>
      <w:r w:rsidR="008E14DA">
        <w:rPr>
          <w:rFonts w:eastAsiaTheme="minorEastAsia" w:cstheme="minorHAnsi"/>
          <w:lang w:eastAsia="zh-CN"/>
        </w:rPr>
        <w:t xml:space="preserve">balances” </w:t>
      </w:r>
      <w:r w:rsidR="0017419B">
        <w:rPr>
          <w:rFonts w:eastAsiaTheme="minorEastAsia" w:cstheme="minorHAnsi"/>
          <w:lang w:eastAsia="zh-CN"/>
        </w:rPr>
        <w:t xml:space="preserve">and “s.31 </w:t>
      </w:r>
      <w:r w:rsidR="004651DD">
        <w:rPr>
          <w:rFonts w:eastAsiaTheme="minorEastAsia" w:cstheme="minorHAnsi"/>
          <w:lang w:eastAsia="zh-CN"/>
        </w:rPr>
        <w:t>grants</w:t>
      </w:r>
      <w:r w:rsidR="0017419B">
        <w:rPr>
          <w:rFonts w:eastAsiaTheme="minorEastAsia" w:cstheme="minorHAnsi"/>
          <w:lang w:eastAsia="zh-CN"/>
        </w:rPr>
        <w:t>”</w:t>
      </w:r>
      <w:r w:rsidR="004651DD">
        <w:rPr>
          <w:rFonts w:eastAsiaTheme="minorEastAsia" w:cstheme="minorHAnsi"/>
          <w:lang w:eastAsia="zh-CN"/>
        </w:rPr>
        <w:t>.  Together with the payments due to</w:t>
      </w:r>
      <w:r w:rsidR="006A556B">
        <w:rPr>
          <w:rFonts w:eastAsiaTheme="minorEastAsia" w:cstheme="minorHAnsi"/>
          <w:lang w:eastAsia="zh-CN"/>
        </w:rPr>
        <w:t>/from</w:t>
      </w:r>
      <w:r w:rsidR="004651DD">
        <w:rPr>
          <w:rFonts w:eastAsiaTheme="minorEastAsia" w:cstheme="minorHAnsi"/>
          <w:lang w:eastAsia="zh-CN"/>
        </w:rPr>
        <w:t xml:space="preserve"> </w:t>
      </w:r>
      <w:r w:rsidR="006A556B">
        <w:rPr>
          <w:rFonts w:eastAsiaTheme="minorEastAsia" w:cstheme="minorHAnsi"/>
          <w:lang w:eastAsia="zh-CN"/>
        </w:rPr>
        <w:t xml:space="preserve">authorities in respect of “tariffs/top-ups” and </w:t>
      </w:r>
      <w:r w:rsidR="006D1F71">
        <w:rPr>
          <w:rFonts w:eastAsiaTheme="minorEastAsia" w:cstheme="minorHAnsi"/>
          <w:lang w:eastAsia="zh-CN"/>
        </w:rPr>
        <w:t xml:space="preserve">“RSG”, as set out in the LGFR, the payments are </w:t>
      </w:r>
      <w:r w:rsidR="006100CB">
        <w:rPr>
          <w:rFonts w:eastAsiaTheme="minorEastAsia" w:cstheme="minorHAnsi"/>
          <w:lang w:eastAsia="zh-CN"/>
        </w:rPr>
        <w:t xml:space="preserve">notified to authorities in a payments schedule and made/collected in instalments throughout the financial year. </w:t>
      </w:r>
    </w:p>
    <w:p w14:paraId="363F92E9" w14:textId="70F14314" w:rsidR="00FB0C12" w:rsidRDefault="00E96C43" w:rsidP="00834CF5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 xml:space="preserve">Under the alternative arrangements, NNDR1s would </w:t>
      </w:r>
      <w:r w:rsidR="00164484">
        <w:rPr>
          <w:rFonts w:eastAsiaTheme="minorEastAsia" w:cstheme="minorHAnsi"/>
          <w:lang w:eastAsia="zh-CN"/>
        </w:rPr>
        <w:t>be used to calculate “central share” payments and “tariffs</w:t>
      </w:r>
      <w:r w:rsidR="00C1770D">
        <w:rPr>
          <w:rFonts w:eastAsiaTheme="minorEastAsia" w:cstheme="minorHAnsi"/>
          <w:lang w:eastAsia="zh-CN"/>
        </w:rPr>
        <w:t>/</w:t>
      </w:r>
      <w:r w:rsidR="00164484">
        <w:rPr>
          <w:rFonts w:eastAsiaTheme="minorEastAsia" w:cstheme="minorHAnsi"/>
          <w:lang w:eastAsia="zh-CN"/>
        </w:rPr>
        <w:t>top-ups”</w:t>
      </w:r>
      <w:r w:rsidR="00C31AA2">
        <w:rPr>
          <w:rFonts w:eastAsiaTheme="minorEastAsia" w:cstheme="minorHAnsi"/>
          <w:lang w:eastAsia="zh-CN"/>
        </w:rPr>
        <w:t xml:space="preserve">.  </w:t>
      </w:r>
      <w:r w:rsidR="000621A8">
        <w:rPr>
          <w:rFonts w:eastAsiaTheme="minorEastAsia" w:cstheme="minorHAnsi"/>
          <w:lang w:eastAsia="zh-CN"/>
        </w:rPr>
        <w:t xml:space="preserve">As discussed above, there would </w:t>
      </w:r>
      <w:proofErr w:type="spellStart"/>
      <w:r w:rsidR="000621A8">
        <w:rPr>
          <w:rFonts w:eastAsiaTheme="minorEastAsia" w:cstheme="minorHAnsi"/>
          <w:lang w:eastAsia="zh-CN"/>
        </w:rPr>
        <w:t>no</w:t>
      </w:r>
      <w:proofErr w:type="spellEnd"/>
      <w:r w:rsidR="000621A8">
        <w:rPr>
          <w:rFonts w:eastAsiaTheme="minorEastAsia" w:cstheme="minorHAnsi"/>
          <w:lang w:eastAsia="zh-CN"/>
        </w:rPr>
        <w:t xml:space="preserve"> longer be a need for</w:t>
      </w:r>
      <w:r w:rsidR="00B3274A">
        <w:rPr>
          <w:rFonts w:eastAsiaTheme="minorEastAsia" w:cstheme="minorHAnsi"/>
          <w:lang w:eastAsia="zh-CN"/>
        </w:rPr>
        <w:t xml:space="preserve"> “transitional protection payments” or </w:t>
      </w:r>
      <w:r w:rsidR="008E14DA">
        <w:rPr>
          <w:rFonts w:eastAsiaTheme="minorEastAsia" w:cstheme="minorHAnsi"/>
          <w:lang w:eastAsia="zh-CN"/>
        </w:rPr>
        <w:t>“</w:t>
      </w:r>
      <w:r w:rsidR="000621A8">
        <w:rPr>
          <w:rFonts w:eastAsiaTheme="minorEastAsia" w:cstheme="minorHAnsi"/>
          <w:lang w:eastAsia="zh-CN"/>
        </w:rPr>
        <w:t xml:space="preserve">s.31 </w:t>
      </w:r>
      <w:r w:rsidR="00B3274A">
        <w:rPr>
          <w:rFonts w:eastAsiaTheme="minorEastAsia" w:cstheme="minorHAnsi"/>
          <w:lang w:eastAsia="zh-CN"/>
        </w:rPr>
        <w:t>grants</w:t>
      </w:r>
      <w:r w:rsidR="008E14DA">
        <w:rPr>
          <w:rFonts w:eastAsiaTheme="minorEastAsia" w:cstheme="minorHAnsi"/>
          <w:lang w:eastAsia="zh-CN"/>
        </w:rPr>
        <w:t>”</w:t>
      </w:r>
      <w:r w:rsidR="00580BD1">
        <w:rPr>
          <w:rFonts w:eastAsiaTheme="minorEastAsia" w:cstheme="minorHAnsi"/>
          <w:lang w:eastAsia="zh-CN"/>
        </w:rPr>
        <w:t>; nor, necessarily for estimated Collection Fund surpluses/deficits</w:t>
      </w:r>
      <w:r w:rsidR="00B3274A">
        <w:rPr>
          <w:rFonts w:eastAsiaTheme="minorEastAsia" w:cstheme="minorHAnsi"/>
          <w:lang w:eastAsia="zh-CN"/>
        </w:rPr>
        <w:t xml:space="preserve">.  </w:t>
      </w:r>
      <w:r w:rsidR="008C54D6">
        <w:rPr>
          <w:rFonts w:eastAsiaTheme="minorEastAsia" w:cstheme="minorHAnsi"/>
          <w:lang w:eastAsia="zh-CN"/>
        </w:rPr>
        <w:t xml:space="preserve">RSG, we anticipate would be rolled-in to the business rates retention scheme and </w:t>
      </w:r>
      <w:r w:rsidR="0070251C">
        <w:rPr>
          <w:rFonts w:eastAsiaTheme="minorEastAsia" w:cstheme="minorHAnsi"/>
          <w:lang w:eastAsia="zh-CN"/>
        </w:rPr>
        <w:t xml:space="preserve">would be dealt with through the tariff and top-up calculation.  As such, the alternative model could rationalise the number of payments </w:t>
      </w:r>
      <w:r w:rsidR="00267753">
        <w:rPr>
          <w:rFonts w:eastAsiaTheme="minorEastAsia" w:cstheme="minorHAnsi"/>
          <w:lang w:eastAsia="zh-CN"/>
        </w:rPr>
        <w:t>being made to authorities.</w:t>
      </w:r>
    </w:p>
    <w:p w14:paraId="738BBE88" w14:textId="0C044C0B" w:rsidR="000C04EA" w:rsidRPr="00F92AE4" w:rsidRDefault="00460E8D" w:rsidP="00460E8D">
      <w:pPr>
        <w:rPr>
          <w:rFonts w:cstheme="minorHAnsi"/>
          <w:b/>
          <w:u w:val="single"/>
        </w:rPr>
      </w:pPr>
      <w:r w:rsidRPr="00F92AE4">
        <w:rPr>
          <w:rFonts w:cstheme="minorHAnsi"/>
          <w:b/>
          <w:u w:val="single"/>
        </w:rPr>
        <w:t>NNDR3</w:t>
      </w:r>
    </w:p>
    <w:p w14:paraId="2F457F60" w14:textId="6A80EB5E" w:rsidR="00460E8D" w:rsidRDefault="004300E7" w:rsidP="00834CF5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>Under the alternative model</w:t>
      </w:r>
      <w:r w:rsidR="00F844F0">
        <w:rPr>
          <w:rFonts w:eastAsiaTheme="minorEastAsia" w:cstheme="minorHAnsi"/>
          <w:lang w:eastAsia="zh-CN"/>
        </w:rPr>
        <w:t xml:space="preserve">, the </w:t>
      </w:r>
      <w:r w:rsidR="005605ED">
        <w:rPr>
          <w:rFonts w:eastAsiaTheme="minorEastAsia" w:cstheme="minorHAnsi"/>
          <w:lang w:eastAsia="zh-CN"/>
        </w:rPr>
        <w:t xml:space="preserve">timing of NNDR3s </w:t>
      </w:r>
      <w:r w:rsidR="00D73E14">
        <w:rPr>
          <w:rFonts w:eastAsiaTheme="minorEastAsia" w:cstheme="minorHAnsi"/>
          <w:lang w:eastAsia="zh-CN"/>
        </w:rPr>
        <w:t>w</w:t>
      </w:r>
      <w:r w:rsidR="005605ED">
        <w:rPr>
          <w:rFonts w:eastAsiaTheme="minorEastAsia" w:cstheme="minorHAnsi"/>
          <w:lang w:eastAsia="zh-CN"/>
        </w:rPr>
        <w:t xml:space="preserve">ould remain unchanged.  NNDR3s would be published in </w:t>
      </w:r>
      <w:r w:rsidR="006E654A">
        <w:rPr>
          <w:rFonts w:eastAsiaTheme="minorEastAsia" w:cstheme="minorHAnsi"/>
          <w:lang w:eastAsia="zh-CN"/>
        </w:rPr>
        <w:t>mid-March, for return provisionally by the end of April, in order to allow authorities to use the figures in their draft accounts.</w:t>
      </w:r>
      <w:r w:rsidR="00D85C91">
        <w:rPr>
          <w:rFonts w:eastAsiaTheme="minorEastAsia" w:cstheme="minorHAnsi"/>
          <w:lang w:eastAsia="zh-CN"/>
        </w:rPr>
        <w:t xml:space="preserve">  </w:t>
      </w:r>
      <w:r w:rsidR="00C30DB8">
        <w:rPr>
          <w:rFonts w:eastAsiaTheme="minorEastAsia" w:cstheme="minorHAnsi"/>
          <w:lang w:eastAsia="zh-CN"/>
        </w:rPr>
        <w:t>In the same way as now, f</w:t>
      </w:r>
      <w:r w:rsidR="00D85C91">
        <w:rPr>
          <w:rFonts w:eastAsiaTheme="minorEastAsia" w:cstheme="minorHAnsi"/>
          <w:lang w:eastAsia="zh-CN"/>
        </w:rPr>
        <w:t>inal NNDR3s would be returned by end of July</w:t>
      </w:r>
      <w:r w:rsidR="00F4099C">
        <w:rPr>
          <w:rFonts w:eastAsiaTheme="minorEastAsia" w:cstheme="minorHAnsi"/>
          <w:lang w:eastAsia="zh-CN"/>
        </w:rPr>
        <w:t xml:space="preserve"> </w:t>
      </w:r>
      <w:r w:rsidR="00D73E14">
        <w:rPr>
          <w:rFonts w:eastAsiaTheme="minorEastAsia" w:cstheme="minorHAnsi"/>
          <w:lang w:eastAsia="zh-CN"/>
        </w:rPr>
        <w:t>after local authority accounts had been signed-off by audit</w:t>
      </w:r>
      <w:r w:rsidR="00C77ADE">
        <w:rPr>
          <w:rFonts w:eastAsiaTheme="minorEastAsia" w:cstheme="minorHAnsi"/>
          <w:lang w:eastAsia="zh-CN"/>
        </w:rPr>
        <w:t>ors</w:t>
      </w:r>
      <w:r w:rsidR="00746DD7">
        <w:rPr>
          <w:rFonts w:eastAsiaTheme="minorEastAsia" w:cstheme="minorHAnsi"/>
          <w:lang w:eastAsia="zh-CN"/>
        </w:rPr>
        <w:t>.  S</w:t>
      </w:r>
      <w:r w:rsidR="00C77ADE">
        <w:rPr>
          <w:rFonts w:eastAsiaTheme="minorEastAsia" w:cstheme="minorHAnsi"/>
          <w:lang w:eastAsia="zh-CN"/>
        </w:rPr>
        <w:t xml:space="preserve">.151 officers would be required to certify that the final NNDR3s were correct and consistent with </w:t>
      </w:r>
      <w:r w:rsidR="00F4099C">
        <w:rPr>
          <w:rFonts w:eastAsiaTheme="minorEastAsia" w:cstheme="minorHAnsi"/>
          <w:lang w:eastAsia="zh-CN"/>
        </w:rPr>
        <w:t>local authority accounts.</w:t>
      </w:r>
    </w:p>
    <w:p w14:paraId="78AEAB05" w14:textId="0865FA5D" w:rsidR="005530A3" w:rsidRDefault="00D013CE" w:rsidP="00834CF5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 xml:space="preserve">The content of </w:t>
      </w:r>
      <w:r w:rsidR="0010639C">
        <w:rPr>
          <w:rFonts w:eastAsiaTheme="minorEastAsia" w:cstheme="minorHAnsi"/>
          <w:lang w:eastAsia="zh-CN"/>
        </w:rPr>
        <w:t xml:space="preserve">NNDR3s would remain largely the same as </w:t>
      </w:r>
      <w:r w:rsidR="00187EB3">
        <w:rPr>
          <w:rFonts w:eastAsiaTheme="minorEastAsia" w:cstheme="minorHAnsi"/>
          <w:lang w:eastAsia="zh-CN"/>
        </w:rPr>
        <w:t xml:space="preserve">now.  </w:t>
      </w:r>
      <w:r w:rsidR="00107E1A">
        <w:rPr>
          <w:rFonts w:eastAsiaTheme="minorEastAsia" w:cstheme="minorHAnsi"/>
          <w:lang w:eastAsia="zh-CN"/>
        </w:rPr>
        <w:t>As discussed in previous papers, i</w:t>
      </w:r>
      <w:r w:rsidR="00786ABF">
        <w:rPr>
          <w:rFonts w:eastAsiaTheme="minorEastAsia" w:cstheme="minorHAnsi"/>
          <w:lang w:eastAsia="zh-CN"/>
        </w:rPr>
        <w:t xml:space="preserve">n part 3 we </w:t>
      </w:r>
      <w:r w:rsidR="006D5C8E">
        <w:rPr>
          <w:rFonts w:eastAsiaTheme="minorEastAsia" w:cstheme="minorHAnsi"/>
          <w:lang w:eastAsia="zh-CN"/>
        </w:rPr>
        <w:t>m</w:t>
      </w:r>
      <w:r w:rsidR="00773EAA">
        <w:rPr>
          <w:rFonts w:eastAsiaTheme="minorEastAsia" w:cstheme="minorHAnsi"/>
          <w:lang w:eastAsia="zh-CN"/>
        </w:rPr>
        <w:t xml:space="preserve">ight </w:t>
      </w:r>
      <w:r w:rsidR="00786ABF">
        <w:rPr>
          <w:rFonts w:eastAsiaTheme="minorEastAsia" w:cstheme="minorHAnsi"/>
          <w:lang w:eastAsia="zh-CN"/>
        </w:rPr>
        <w:t xml:space="preserve">need to </w:t>
      </w:r>
      <w:r w:rsidR="002F09D7">
        <w:rPr>
          <w:rFonts w:eastAsiaTheme="minorEastAsia" w:cstheme="minorHAnsi"/>
          <w:lang w:eastAsia="zh-CN"/>
        </w:rPr>
        <w:t xml:space="preserve">make changes to the </w:t>
      </w:r>
      <w:r w:rsidR="00107E1A">
        <w:rPr>
          <w:rFonts w:eastAsiaTheme="minorEastAsia" w:cstheme="minorHAnsi"/>
          <w:lang w:eastAsia="zh-CN"/>
        </w:rPr>
        <w:t xml:space="preserve">way </w:t>
      </w:r>
      <w:r w:rsidR="00E117FD">
        <w:rPr>
          <w:rFonts w:eastAsiaTheme="minorEastAsia" w:cstheme="minorHAnsi"/>
          <w:lang w:eastAsia="zh-CN"/>
        </w:rPr>
        <w:t xml:space="preserve">in which </w:t>
      </w:r>
      <w:r w:rsidR="00107E1A">
        <w:rPr>
          <w:rFonts w:eastAsiaTheme="minorEastAsia" w:cstheme="minorHAnsi"/>
          <w:lang w:eastAsia="zh-CN"/>
        </w:rPr>
        <w:t xml:space="preserve">prior-year adjustments </w:t>
      </w:r>
      <w:r w:rsidR="00AB7D7F">
        <w:rPr>
          <w:rFonts w:eastAsiaTheme="minorEastAsia" w:cstheme="minorHAnsi"/>
          <w:lang w:eastAsia="zh-CN"/>
        </w:rPr>
        <w:t xml:space="preserve">are </w:t>
      </w:r>
      <w:r w:rsidR="00107E1A">
        <w:rPr>
          <w:rFonts w:eastAsiaTheme="minorEastAsia" w:cstheme="minorHAnsi"/>
          <w:lang w:eastAsia="zh-CN"/>
        </w:rPr>
        <w:t>recorded</w:t>
      </w:r>
      <w:r w:rsidR="00AB7D7F">
        <w:rPr>
          <w:rFonts w:eastAsiaTheme="minorEastAsia" w:cstheme="minorHAnsi"/>
          <w:lang w:eastAsia="zh-CN"/>
        </w:rPr>
        <w:t xml:space="preserve">.  Depending on </w:t>
      </w:r>
      <w:r w:rsidR="006C6D06">
        <w:rPr>
          <w:rFonts w:eastAsiaTheme="minorEastAsia" w:cstheme="minorHAnsi"/>
          <w:lang w:eastAsia="zh-CN"/>
        </w:rPr>
        <w:t xml:space="preserve">how </w:t>
      </w:r>
      <w:r w:rsidR="00F174AD">
        <w:rPr>
          <w:rFonts w:eastAsiaTheme="minorEastAsia" w:cstheme="minorHAnsi"/>
          <w:lang w:eastAsia="zh-CN"/>
        </w:rPr>
        <w:t xml:space="preserve">we measure growth for the purposes of the Part 2 calculation of tariffs and top-ups, we might need to include </w:t>
      </w:r>
      <w:r w:rsidR="00BE411E">
        <w:rPr>
          <w:rFonts w:eastAsiaTheme="minorEastAsia" w:cstheme="minorHAnsi"/>
          <w:lang w:eastAsia="zh-CN"/>
        </w:rPr>
        <w:t xml:space="preserve">a prior-year adjustment </w:t>
      </w:r>
      <w:r w:rsidR="007B7F13">
        <w:rPr>
          <w:rFonts w:eastAsiaTheme="minorEastAsia" w:cstheme="minorHAnsi"/>
          <w:lang w:eastAsia="zh-CN"/>
        </w:rPr>
        <w:t>figure for “gross rates payable”</w:t>
      </w:r>
      <w:r w:rsidR="008E6277">
        <w:rPr>
          <w:rFonts w:eastAsiaTheme="minorEastAsia" w:cstheme="minorHAnsi"/>
          <w:lang w:eastAsia="zh-CN"/>
        </w:rPr>
        <w:t>;</w:t>
      </w:r>
      <w:r w:rsidR="007B7F13">
        <w:rPr>
          <w:rFonts w:eastAsiaTheme="minorEastAsia" w:cstheme="minorHAnsi"/>
          <w:lang w:eastAsia="zh-CN"/>
        </w:rPr>
        <w:t xml:space="preserve"> and </w:t>
      </w:r>
      <w:r w:rsidR="00BD3298">
        <w:rPr>
          <w:rFonts w:eastAsiaTheme="minorEastAsia" w:cstheme="minorHAnsi"/>
          <w:lang w:eastAsia="zh-CN"/>
        </w:rPr>
        <w:t xml:space="preserve">breakdown </w:t>
      </w:r>
      <w:r w:rsidR="007B7F13">
        <w:rPr>
          <w:rFonts w:eastAsiaTheme="minorEastAsia" w:cstheme="minorHAnsi"/>
          <w:lang w:eastAsia="zh-CN"/>
        </w:rPr>
        <w:t xml:space="preserve">every prior-year adjustment figure </w:t>
      </w:r>
      <w:r w:rsidR="00BC3BE3">
        <w:rPr>
          <w:rFonts w:eastAsiaTheme="minorEastAsia" w:cstheme="minorHAnsi"/>
          <w:lang w:eastAsia="zh-CN"/>
        </w:rPr>
        <w:t xml:space="preserve">to show </w:t>
      </w:r>
      <w:r w:rsidR="001100D1">
        <w:rPr>
          <w:rFonts w:eastAsiaTheme="minorEastAsia" w:cstheme="minorHAnsi"/>
          <w:lang w:eastAsia="zh-CN"/>
        </w:rPr>
        <w:t xml:space="preserve">a </w:t>
      </w:r>
      <w:r w:rsidR="00C9394D">
        <w:rPr>
          <w:rFonts w:eastAsiaTheme="minorEastAsia" w:cstheme="minorHAnsi"/>
          <w:lang w:eastAsia="zh-CN"/>
        </w:rPr>
        <w:t xml:space="preserve">value </w:t>
      </w:r>
      <w:r w:rsidR="00FF0B12">
        <w:rPr>
          <w:rFonts w:eastAsiaTheme="minorEastAsia" w:cstheme="minorHAnsi"/>
          <w:lang w:eastAsia="zh-CN"/>
        </w:rPr>
        <w:t xml:space="preserve">for </w:t>
      </w:r>
      <w:r w:rsidR="002E51D6">
        <w:rPr>
          <w:rFonts w:eastAsiaTheme="minorEastAsia" w:cstheme="minorHAnsi"/>
          <w:lang w:eastAsia="zh-CN"/>
        </w:rPr>
        <w:t>individual year</w:t>
      </w:r>
      <w:r w:rsidR="0026368A">
        <w:rPr>
          <w:rFonts w:eastAsiaTheme="minorEastAsia" w:cstheme="minorHAnsi"/>
          <w:lang w:eastAsia="zh-CN"/>
        </w:rPr>
        <w:t xml:space="preserve">s.  In theory, the form would need to </w:t>
      </w:r>
      <w:r w:rsidR="000A4085">
        <w:rPr>
          <w:rFonts w:eastAsiaTheme="minorEastAsia" w:cstheme="minorHAnsi"/>
          <w:lang w:eastAsia="zh-CN"/>
        </w:rPr>
        <w:t xml:space="preserve">continue to breakdown the figure </w:t>
      </w:r>
      <w:r w:rsidR="00FD08F7">
        <w:rPr>
          <w:rFonts w:eastAsiaTheme="minorEastAsia" w:cstheme="minorHAnsi"/>
          <w:lang w:eastAsia="zh-CN"/>
        </w:rPr>
        <w:t xml:space="preserve">for particular </w:t>
      </w:r>
      <w:r w:rsidR="000A4085">
        <w:rPr>
          <w:rFonts w:eastAsiaTheme="minorEastAsia" w:cstheme="minorHAnsi"/>
          <w:lang w:eastAsia="zh-CN"/>
        </w:rPr>
        <w:t xml:space="preserve">individual years </w:t>
      </w:r>
      <w:r w:rsidR="00FD08F7">
        <w:rPr>
          <w:rFonts w:eastAsiaTheme="minorEastAsia" w:cstheme="minorHAnsi"/>
          <w:lang w:eastAsia="zh-CN"/>
        </w:rPr>
        <w:t xml:space="preserve">until all the list changes that could affect that year have been </w:t>
      </w:r>
      <w:r w:rsidR="00165581">
        <w:rPr>
          <w:rFonts w:eastAsiaTheme="minorEastAsia" w:cstheme="minorHAnsi"/>
          <w:lang w:eastAsia="zh-CN"/>
        </w:rPr>
        <w:t xml:space="preserve">made.  This could complicate the format of the NNDR3 considerably.  </w:t>
      </w:r>
    </w:p>
    <w:p w14:paraId="30FCD163" w14:textId="33CF1403" w:rsidR="00141B08" w:rsidRDefault="005530A3" w:rsidP="00834CF5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 xml:space="preserve">As indicated in paragraph </w:t>
      </w:r>
      <w:r w:rsidR="001F2686">
        <w:rPr>
          <w:rFonts w:eastAsiaTheme="minorEastAsia" w:cstheme="minorHAnsi"/>
          <w:lang w:eastAsia="zh-CN"/>
        </w:rPr>
        <w:t>34 above</w:t>
      </w:r>
      <w:r w:rsidR="002C1129">
        <w:rPr>
          <w:rFonts w:eastAsiaTheme="minorEastAsia" w:cstheme="minorHAnsi"/>
          <w:lang w:eastAsia="zh-CN"/>
        </w:rPr>
        <w:t xml:space="preserve">, we might also </w:t>
      </w:r>
      <w:r w:rsidR="008F146B">
        <w:rPr>
          <w:rFonts w:eastAsiaTheme="minorEastAsia" w:cstheme="minorHAnsi"/>
          <w:lang w:eastAsia="zh-CN"/>
        </w:rPr>
        <w:t xml:space="preserve">want the NNDR3 to show, for convenience, the </w:t>
      </w:r>
      <w:r w:rsidR="00123628">
        <w:rPr>
          <w:rFonts w:eastAsiaTheme="minorEastAsia" w:cstheme="minorHAnsi"/>
          <w:lang w:eastAsia="zh-CN"/>
        </w:rPr>
        <w:t>actual surplus</w:t>
      </w:r>
      <w:r w:rsidR="00ED5904">
        <w:rPr>
          <w:rFonts w:eastAsiaTheme="minorEastAsia" w:cstheme="minorHAnsi"/>
          <w:lang w:eastAsia="zh-CN"/>
        </w:rPr>
        <w:t>/</w:t>
      </w:r>
      <w:r w:rsidR="00123628">
        <w:rPr>
          <w:rFonts w:eastAsiaTheme="minorEastAsia" w:cstheme="minorHAnsi"/>
          <w:lang w:eastAsia="zh-CN"/>
        </w:rPr>
        <w:t xml:space="preserve">deficit on the Collection Fund.  This figure should simply be </w:t>
      </w:r>
      <w:r w:rsidR="00B8482C">
        <w:rPr>
          <w:rFonts w:eastAsiaTheme="minorEastAsia" w:cstheme="minorHAnsi"/>
          <w:lang w:eastAsia="zh-CN"/>
        </w:rPr>
        <w:t xml:space="preserve">the difference between the non-domestic rating income recorded on the NNDR1 and the </w:t>
      </w:r>
      <w:r w:rsidR="002B5501">
        <w:rPr>
          <w:rFonts w:eastAsiaTheme="minorEastAsia" w:cstheme="minorHAnsi"/>
          <w:lang w:eastAsia="zh-CN"/>
        </w:rPr>
        <w:t xml:space="preserve">non-domestic rating income recorded on the NNDR3.  </w:t>
      </w:r>
      <w:r w:rsidR="00910D27">
        <w:rPr>
          <w:rFonts w:eastAsiaTheme="minorEastAsia" w:cstheme="minorHAnsi"/>
          <w:lang w:eastAsia="zh-CN"/>
        </w:rPr>
        <w:t>O</w:t>
      </w:r>
      <w:r w:rsidR="002B5501">
        <w:rPr>
          <w:rFonts w:eastAsiaTheme="minorEastAsia" w:cstheme="minorHAnsi"/>
          <w:lang w:eastAsia="zh-CN"/>
        </w:rPr>
        <w:t>ther changes in f</w:t>
      </w:r>
      <w:r w:rsidR="00EF6ED8">
        <w:rPr>
          <w:rFonts w:eastAsiaTheme="minorEastAsia" w:cstheme="minorHAnsi"/>
          <w:lang w:eastAsia="zh-CN"/>
        </w:rPr>
        <w:t>igures between NNDR1</w:t>
      </w:r>
      <w:r w:rsidR="00910D27">
        <w:rPr>
          <w:rFonts w:eastAsiaTheme="minorEastAsia" w:cstheme="minorHAnsi"/>
          <w:lang w:eastAsia="zh-CN"/>
        </w:rPr>
        <w:t>s</w:t>
      </w:r>
      <w:r w:rsidR="00EF6ED8">
        <w:rPr>
          <w:rFonts w:eastAsiaTheme="minorEastAsia" w:cstheme="minorHAnsi"/>
          <w:lang w:eastAsia="zh-CN"/>
        </w:rPr>
        <w:t xml:space="preserve"> and NNDR3</w:t>
      </w:r>
      <w:r w:rsidR="00910D27">
        <w:rPr>
          <w:rFonts w:eastAsiaTheme="minorEastAsia" w:cstheme="minorHAnsi"/>
          <w:lang w:eastAsia="zh-CN"/>
        </w:rPr>
        <w:t>s</w:t>
      </w:r>
      <w:r w:rsidR="00EF6ED8">
        <w:rPr>
          <w:rFonts w:eastAsiaTheme="minorEastAsia" w:cstheme="minorHAnsi"/>
          <w:lang w:eastAsia="zh-CN"/>
        </w:rPr>
        <w:t xml:space="preserve"> </w:t>
      </w:r>
      <w:r w:rsidR="00910D27">
        <w:rPr>
          <w:rFonts w:eastAsiaTheme="minorEastAsia" w:cstheme="minorHAnsi"/>
          <w:lang w:eastAsia="zh-CN"/>
        </w:rPr>
        <w:t xml:space="preserve">– </w:t>
      </w:r>
      <w:proofErr w:type="spellStart"/>
      <w:r w:rsidR="00910D27">
        <w:rPr>
          <w:rFonts w:eastAsiaTheme="minorEastAsia" w:cstheme="minorHAnsi"/>
          <w:lang w:eastAsia="zh-CN"/>
        </w:rPr>
        <w:t>eg</w:t>
      </w:r>
      <w:proofErr w:type="spellEnd"/>
      <w:r w:rsidR="00910D27">
        <w:rPr>
          <w:rFonts w:eastAsiaTheme="minorEastAsia" w:cstheme="minorHAnsi"/>
          <w:lang w:eastAsia="zh-CN"/>
        </w:rPr>
        <w:t xml:space="preserve"> for Cost of Collection, or disregarded amounts would</w:t>
      </w:r>
      <w:r w:rsidR="0066381A">
        <w:rPr>
          <w:rFonts w:eastAsiaTheme="minorEastAsia" w:cstheme="minorHAnsi"/>
          <w:lang w:eastAsia="zh-CN"/>
        </w:rPr>
        <w:t xml:space="preserve"> be reconciled following the submission of NND</w:t>
      </w:r>
      <w:r w:rsidR="00071384">
        <w:rPr>
          <w:rFonts w:eastAsiaTheme="minorEastAsia" w:cstheme="minorHAnsi"/>
          <w:lang w:eastAsia="zh-CN"/>
        </w:rPr>
        <w:t>R</w:t>
      </w:r>
      <w:r w:rsidR="0066381A">
        <w:rPr>
          <w:rFonts w:eastAsiaTheme="minorEastAsia" w:cstheme="minorHAnsi"/>
          <w:lang w:eastAsia="zh-CN"/>
        </w:rPr>
        <w:t>3s</w:t>
      </w:r>
      <w:r w:rsidR="00141B08">
        <w:rPr>
          <w:rFonts w:eastAsiaTheme="minorEastAsia" w:cstheme="minorHAnsi"/>
          <w:lang w:eastAsia="zh-CN"/>
        </w:rPr>
        <w:t>, in the sam</w:t>
      </w:r>
      <w:r w:rsidR="00B85E4D">
        <w:rPr>
          <w:rFonts w:eastAsiaTheme="minorEastAsia" w:cstheme="minorHAnsi"/>
          <w:lang w:eastAsia="zh-CN"/>
        </w:rPr>
        <w:t>e</w:t>
      </w:r>
      <w:r w:rsidR="00141B08">
        <w:rPr>
          <w:rFonts w:eastAsiaTheme="minorEastAsia" w:cstheme="minorHAnsi"/>
          <w:lang w:eastAsia="zh-CN"/>
        </w:rPr>
        <w:t xml:space="preserve"> way as now (see paragraph </w:t>
      </w:r>
      <w:r w:rsidR="00ED5904">
        <w:rPr>
          <w:rFonts w:eastAsiaTheme="minorEastAsia" w:cstheme="minorHAnsi"/>
          <w:lang w:eastAsia="zh-CN"/>
        </w:rPr>
        <w:t>43</w:t>
      </w:r>
      <w:r w:rsidR="00141B08">
        <w:rPr>
          <w:rFonts w:eastAsiaTheme="minorEastAsia" w:cstheme="minorHAnsi"/>
          <w:lang w:eastAsia="zh-CN"/>
        </w:rPr>
        <w:t xml:space="preserve"> below).</w:t>
      </w:r>
    </w:p>
    <w:p w14:paraId="00A62B76" w14:textId="77777777" w:rsidR="00ED5904" w:rsidRDefault="00ED5904" w:rsidP="00B85E4D">
      <w:pPr>
        <w:spacing w:line="240" w:lineRule="auto"/>
        <w:rPr>
          <w:rFonts w:eastAsiaTheme="minorEastAsia" w:cstheme="minorHAnsi"/>
          <w:b/>
          <w:u w:val="single"/>
          <w:lang w:eastAsia="zh-CN"/>
        </w:rPr>
      </w:pPr>
    </w:p>
    <w:p w14:paraId="3215AD7A" w14:textId="0B9C278E" w:rsidR="00B85E4D" w:rsidRPr="00B85E4D" w:rsidRDefault="00B85E4D" w:rsidP="00B85E4D">
      <w:pPr>
        <w:spacing w:line="240" w:lineRule="auto"/>
        <w:rPr>
          <w:rFonts w:eastAsiaTheme="minorEastAsia" w:cstheme="minorHAnsi"/>
          <w:b/>
          <w:u w:val="single"/>
          <w:lang w:eastAsia="zh-CN"/>
        </w:rPr>
      </w:pPr>
      <w:r w:rsidRPr="00B85E4D">
        <w:rPr>
          <w:rFonts w:eastAsiaTheme="minorEastAsia" w:cstheme="minorHAnsi"/>
          <w:b/>
          <w:u w:val="single"/>
          <w:lang w:eastAsia="zh-CN"/>
        </w:rPr>
        <w:lastRenderedPageBreak/>
        <w:t>Reconciliation Payments</w:t>
      </w:r>
    </w:p>
    <w:p w14:paraId="0EB22043" w14:textId="02D0BF04" w:rsidR="00E83F5B" w:rsidRDefault="00123628" w:rsidP="00834CF5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 xml:space="preserve"> </w:t>
      </w:r>
      <w:r w:rsidR="00291799">
        <w:rPr>
          <w:rFonts w:eastAsiaTheme="minorEastAsia" w:cstheme="minorHAnsi"/>
          <w:lang w:eastAsia="zh-CN"/>
        </w:rPr>
        <w:t xml:space="preserve">Under the existing system, changes </w:t>
      </w:r>
      <w:r w:rsidR="002253BA">
        <w:rPr>
          <w:rFonts w:eastAsiaTheme="minorEastAsia" w:cstheme="minorHAnsi"/>
          <w:lang w:eastAsia="zh-CN"/>
        </w:rPr>
        <w:t xml:space="preserve">in “non-domestic rating income” between </w:t>
      </w:r>
      <w:r w:rsidR="00291799">
        <w:rPr>
          <w:rFonts w:eastAsiaTheme="minorEastAsia" w:cstheme="minorHAnsi"/>
          <w:lang w:eastAsia="zh-CN"/>
        </w:rPr>
        <w:t xml:space="preserve">NNDR1s and NNDR3s </w:t>
      </w:r>
      <w:r w:rsidR="002253BA">
        <w:rPr>
          <w:rFonts w:eastAsiaTheme="minorEastAsia" w:cstheme="minorHAnsi"/>
          <w:lang w:eastAsia="zh-CN"/>
        </w:rPr>
        <w:t>do not result in a payment between central and local government</w:t>
      </w:r>
      <w:r w:rsidR="008F225E">
        <w:rPr>
          <w:rFonts w:eastAsiaTheme="minorEastAsia" w:cstheme="minorHAnsi"/>
          <w:lang w:eastAsia="zh-CN"/>
        </w:rPr>
        <w:t xml:space="preserve"> following the submission of NNDR3s</w:t>
      </w:r>
      <w:r w:rsidR="002253BA">
        <w:rPr>
          <w:rFonts w:eastAsiaTheme="minorEastAsia" w:cstheme="minorHAnsi"/>
          <w:lang w:eastAsia="zh-CN"/>
        </w:rPr>
        <w:t>.  Instead the</w:t>
      </w:r>
      <w:r w:rsidR="002A241C">
        <w:rPr>
          <w:rFonts w:eastAsiaTheme="minorEastAsia" w:cstheme="minorHAnsi"/>
          <w:lang w:eastAsia="zh-CN"/>
        </w:rPr>
        <w:t xml:space="preserve"> difference produces a </w:t>
      </w:r>
      <w:r w:rsidR="002253BA">
        <w:rPr>
          <w:rFonts w:eastAsiaTheme="minorEastAsia" w:cstheme="minorHAnsi"/>
          <w:lang w:eastAsia="zh-CN"/>
        </w:rPr>
        <w:t>a surplus/deficit on</w:t>
      </w:r>
      <w:r w:rsidR="00B47114">
        <w:rPr>
          <w:rFonts w:eastAsiaTheme="minorEastAsia" w:cstheme="minorHAnsi"/>
          <w:lang w:eastAsia="zh-CN"/>
        </w:rPr>
        <w:t xml:space="preserve"> the</w:t>
      </w:r>
      <w:r w:rsidR="002253BA">
        <w:rPr>
          <w:rFonts w:eastAsiaTheme="minorEastAsia" w:cstheme="minorHAnsi"/>
          <w:lang w:eastAsia="zh-CN"/>
        </w:rPr>
        <w:t xml:space="preserve"> Collection Fun</w:t>
      </w:r>
      <w:r w:rsidR="00B47114">
        <w:rPr>
          <w:rFonts w:eastAsiaTheme="minorEastAsia" w:cstheme="minorHAnsi"/>
          <w:lang w:eastAsia="zh-CN"/>
        </w:rPr>
        <w:t xml:space="preserve">d </w:t>
      </w:r>
      <w:r w:rsidR="002A241C">
        <w:rPr>
          <w:rFonts w:eastAsiaTheme="minorEastAsia" w:cstheme="minorHAnsi"/>
          <w:lang w:eastAsia="zh-CN"/>
        </w:rPr>
        <w:t xml:space="preserve">which is dealt with </w:t>
      </w:r>
      <w:r w:rsidR="00E83F5B">
        <w:rPr>
          <w:rFonts w:eastAsiaTheme="minorEastAsia" w:cstheme="minorHAnsi"/>
          <w:lang w:eastAsia="zh-CN"/>
        </w:rPr>
        <w:t>as described in parag</w:t>
      </w:r>
      <w:r w:rsidR="00624FD8">
        <w:rPr>
          <w:rFonts w:eastAsiaTheme="minorEastAsia" w:cstheme="minorHAnsi"/>
          <w:lang w:eastAsia="zh-CN"/>
        </w:rPr>
        <w:t>r</w:t>
      </w:r>
      <w:r w:rsidR="00E83F5B">
        <w:rPr>
          <w:rFonts w:eastAsiaTheme="minorEastAsia" w:cstheme="minorHAnsi"/>
          <w:lang w:eastAsia="zh-CN"/>
        </w:rPr>
        <w:t>aph</w:t>
      </w:r>
      <w:r w:rsidR="0083551C">
        <w:rPr>
          <w:rFonts w:eastAsiaTheme="minorEastAsia" w:cstheme="minorHAnsi"/>
          <w:lang w:eastAsia="zh-CN"/>
        </w:rPr>
        <w:t xml:space="preserve"> 30</w:t>
      </w:r>
      <w:r w:rsidR="00E83F5B">
        <w:rPr>
          <w:rFonts w:eastAsiaTheme="minorEastAsia" w:cstheme="minorHAnsi"/>
          <w:lang w:eastAsia="zh-CN"/>
        </w:rPr>
        <w:t xml:space="preserve"> above.</w:t>
      </w:r>
    </w:p>
    <w:p w14:paraId="02660965" w14:textId="77777777" w:rsidR="00A441D4" w:rsidRDefault="00E83F5B" w:rsidP="00834CF5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>Other changes between NNDR</w:t>
      </w:r>
      <w:r w:rsidR="00624FD8">
        <w:rPr>
          <w:rFonts w:eastAsiaTheme="minorEastAsia" w:cstheme="minorHAnsi"/>
          <w:lang w:eastAsia="zh-CN"/>
        </w:rPr>
        <w:t xml:space="preserve">1 and NNDR3  - for example for the amounts </w:t>
      </w:r>
      <w:r w:rsidR="002D79CF">
        <w:rPr>
          <w:rFonts w:eastAsiaTheme="minorEastAsia" w:cstheme="minorHAnsi"/>
          <w:lang w:eastAsia="zh-CN"/>
        </w:rPr>
        <w:t xml:space="preserve">retained by authorities for EZs, or deducted from central share for </w:t>
      </w:r>
      <w:r w:rsidR="00523EFA">
        <w:rPr>
          <w:rFonts w:eastAsiaTheme="minorEastAsia" w:cstheme="minorHAnsi"/>
          <w:lang w:eastAsia="zh-CN"/>
        </w:rPr>
        <w:t>Case A and Case B relief, are reconciled following the submission of the NNDR3</w:t>
      </w:r>
      <w:r w:rsidR="00A441D4">
        <w:rPr>
          <w:rFonts w:eastAsiaTheme="minorEastAsia" w:cstheme="minorHAnsi"/>
          <w:lang w:eastAsia="zh-CN"/>
        </w:rPr>
        <w:t>.</w:t>
      </w:r>
    </w:p>
    <w:p w14:paraId="6ED25A00" w14:textId="1E12E2A6" w:rsidR="00D013CE" w:rsidRDefault="00A441D4" w:rsidP="00834CF5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 xml:space="preserve">Under the alternative arrangements, we would probably want to continue to reconcile </w:t>
      </w:r>
      <w:r w:rsidR="00F92A54">
        <w:rPr>
          <w:rFonts w:eastAsiaTheme="minorEastAsia" w:cstheme="minorHAnsi"/>
          <w:lang w:eastAsia="zh-CN"/>
        </w:rPr>
        <w:t>these amounts following the submission of NNDR3s; and as set out in paragraph</w:t>
      </w:r>
      <w:r w:rsidR="009E335E">
        <w:rPr>
          <w:rFonts w:eastAsiaTheme="minorEastAsia" w:cstheme="minorHAnsi"/>
          <w:lang w:eastAsia="zh-CN"/>
        </w:rPr>
        <w:t>s 32 - 34</w:t>
      </w:r>
      <w:r w:rsidR="00F92A54">
        <w:rPr>
          <w:rFonts w:eastAsiaTheme="minorEastAsia" w:cstheme="minorHAnsi"/>
          <w:lang w:eastAsia="zh-CN"/>
        </w:rPr>
        <w:t xml:space="preserve"> above, could even </w:t>
      </w:r>
      <w:r w:rsidR="00274F83">
        <w:rPr>
          <w:rFonts w:eastAsiaTheme="minorEastAsia" w:cstheme="minorHAnsi"/>
          <w:lang w:eastAsia="zh-CN"/>
        </w:rPr>
        <w:t xml:space="preserve">reconcile the Collection Fund balance at NNDR3 stage as well. </w:t>
      </w:r>
    </w:p>
    <w:p w14:paraId="68685A5A" w14:textId="6975B25F" w:rsidR="00274F83" w:rsidRPr="00274F83" w:rsidRDefault="00274F83" w:rsidP="00274F83">
      <w:pPr>
        <w:spacing w:line="240" w:lineRule="auto"/>
        <w:rPr>
          <w:rFonts w:eastAsiaTheme="minorEastAsia" w:cstheme="minorHAnsi"/>
          <w:b/>
          <w:u w:val="single"/>
          <w:lang w:eastAsia="zh-CN"/>
        </w:rPr>
      </w:pPr>
      <w:r w:rsidRPr="00274F83">
        <w:rPr>
          <w:rFonts w:eastAsiaTheme="minorEastAsia" w:cstheme="minorHAnsi"/>
          <w:b/>
          <w:u w:val="single"/>
          <w:lang w:eastAsia="zh-CN"/>
        </w:rPr>
        <w:t>Dealing with Revaluations</w:t>
      </w:r>
    </w:p>
    <w:p w14:paraId="7291CA7E" w14:textId="310CB90F" w:rsidR="00265921" w:rsidRDefault="00267753" w:rsidP="00834CF5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 xml:space="preserve">Under the current system, where tariffs and top-ups are </w:t>
      </w:r>
      <w:r w:rsidR="00B37E16">
        <w:rPr>
          <w:rFonts w:eastAsiaTheme="minorEastAsia" w:cstheme="minorHAnsi"/>
          <w:lang w:eastAsia="zh-CN"/>
        </w:rPr>
        <w:t>“</w:t>
      </w:r>
      <w:r>
        <w:rPr>
          <w:rFonts w:eastAsiaTheme="minorEastAsia" w:cstheme="minorHAnsi"/>
          <w:lang w:eastAsia="zh-CN"/>
        </w:rPr>
        <w:t>fixed</w:t>
      </w:r>
      <w:r w:rsidR="00B37E16">
        <w:rPr>
          <w:rFonts w:eastAsiaTheme="minorEastAsia" w:cstheme="minorHAnsi"/>
          <w:lang w:eastAsia="zh-CN"/>
        </w:rPr>
        <w:t xml:space="preserve">”, a Revaluation requires that </w:t>
      </w:r>
      <w:r w:rsidR="007D34D8">
        <w:rPr>
          <w:rFonts w:eastAsiaTheme="minorEastAsia" w:cstheme="minorHAnsi"/>
          <w:lang w:eastAsia="zh-CN"/>
        </w:rPr>
        <w:t xml:space="preserve">we adjust tariffs and top-ups </w:t>
      </w:r>
      <w:r w:rsidR="005E3EC1">
        <w:rPr>
          <w:rFonts w:eastAsiaTheme="minorEastAsia" w:cstheme="minorHAnsi"/>
          <w:lang w:eastAsia="zh-CN"/>
        </w:rPr>
        <w:t>immediately following the Revaluation</w:t>
      </w:r>
      <w:r w:rsidR="00265921">
        <w:rPr>
          <w:rFonts w:eastAsiaTheme="minorEastAsia" w:cstheme="minorHAnsi"/>
          <w:lang w:eastAsia="zh-CN"/>
        </w:rPr>
        <w:t xml:space="preserve"> </w:t>
      </w:r>
      <w:r w:rsidR="007D34D8">
        <w:rPr>
          <w:rFonts w:eastAsiaTheme="minorEastAsia" w:cstheme="minorHAnsi"/>
          <w:lang w:eastAsia="zh-CN"/>
        </w:rPr>
        <w:t xml:space="preserve">to ensure, as far as possible, that </w:t>
      </w:r>
      <w:r w:rsidR="005E3EC1">
        <w:rPr>
          <w:rFonts w:eastAsiaTheme="minorEastAsia" w:cstheme="minorHAnsi"/>
          <w:lang w:eastAsia="zh-CN"/>
        </w:rPr>
        <w:t xml:space="preserve">authorities have the same income from business rates as they would have done </w:t>
      </w:r>
      <w:r w:rsidR="00265921">
        <w:rPr>
          <w:rFonts w:eastAsiaTheme="minorEastAsia" w:cstheme="minorHAnsi"/>
          <w:lang w:eastAsia="zh-CN"/>
        </w:rPr>
        <w:t>if the Revaluation</w:t>
      </w:r>
      <w:r w:rsidR="00FF1DF1">
        <w:rPr>
          <w:rFonts w:eastAsiaTheme="minorEastAsia" w:cstheme="minorHAnsi"/>
          <w:lang w:eastAsia="zh-CN"/>
        </w:rPr>
        <w:t xml:space="preserve"> </w:t>
      </w:r>
      <w:r w:rsidR="00265921">
        <w:rPr>
          <w:rFonts w:eastAsiaTheme="minorEastAsia" w:cstheme="minorHAnsi"/>
          <w:lang w:eastAsia="zh-CN"/>
        </w:rPr>
        <w:t>had not taken place.</w:t>
      </w:r>
    </w:p>
    <w:p w14:paraId="668A505D" w14:textId="08880B7F" w:rsidR="00274F83" w:rsidRDefault="00265921" w:rsidP="00834CF5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 xml:space="preserve">The adjustment calculation is </w:t>
      </w:r>
      <w:r w:rsidR="00B25B2A">
        <w:rPr>
          <w:rFonts w:eastAsiaTheme="minorEastAsia" w:cstheme="minorHAnsi"/>
          <w:lang w:eastAsia="zh-CN"/>
        </w:rPr>
        <w:t xml:space="preserve">complex.  Moreover, because of the availability of data, </w:t>
      </w:r>
      <w:r w:rsidR="00115180">
        <w:rPr>
          <w:rFonts w:eastAsiaTheme="minorEastAsia" w:cstheme="minorHAnsi"/>
          <w:lang w:eastAsia="zh-CN"/>
        </w:rPr>
        <w:t>at the last Revaluation</w:t>
      </w:r>
      <w:r w:rsidR="00AA5B4F">
        <w:rPr>
          <w:rFonts w:eastAsiaTheme="minorEastAsia" w:cstheme="minorHAnsi"/>
          <w:lang w:eastAsia="zh-CN"/>
        </w:rPr>
        <w:t xml:space="preserve"> in 2017</w:t>
      </w:r>
      <w:r w:rsidR="00115180">
        <w:rPr>
          <w:rFonts w:eastAsiaTheme="minorEastAsia" w:cstheme="minorHAnsi"/>
          <w:lang w:eastAsia="zh-CN"/>
        </w:rPr>
        <w:t xml:space="preserve">, we had to set tariffs and top-ups </w:t>
      </w:r>
      <w:r w:rsidR="00AA5B4F">
        <w:rPr>
          <w:rFonts w:eastAsiaTheme="minorEastAsia" w:cstheme="minorHAnsi"/>
          <w:lang w:eastAsia="zh-CN"/>
        </w:rPr>
        <w:t xml:space="preserve">for </w:t>
      </w:r>
      <w:r w:rsidR="00B25B2A">
        <w:rPr>
          <w:rFonts w:eastAsiaTheme="minorEastAsia" w:cstheme="minorHAnsi"/>
          <w:lang w:eastAsia="zh-CN"/>
        </w:rPr>
        <w:t>2017</w:t>
      </w:r>
      <w:r w:rsidR="00115180">
        <w:rPr>
          <w:rFonts w:eastAsiaTheme="minorEastAsia" w:cstheme="minorHAnsi"/>
          <w:lang w:eastAsia="zh-CN"/>
        </w:rPr>
        <w:t>-18 and then further adjust them in 2018-</w:t>
      </w:r>
      <w:r w:rsidR="00852E38">
        <w:rPr>
          <w:rFonts w:eastAsiaTheme="minorEastAsia" w:cstheme="minorHAnsi"/>
          <w:lang w:eastAsia="zh-CN"/>
        </w:rPr>
        <w:t xml:space="preserve">19 to reflect data changes between the </w:t>
      </w:r>
      <w:r w:rsidR="00833387">
        <w:rPr>
          <w:rFonts w:eastAsiaTheme="minorEastAsia" w:cstheme="minorHAnsi"/>
          <w:lang w:eastAsia="zh-CN"/>
        </w:rPr>
        <w:t xml:space="preserve">time of the </w:t>
      </w:r>
      <w:r w:rsidR="00852E38">
        <w:rPr>
          <w:rFonts w:eastAsiaTheme="minorEastAsia" w:cstheme="minorHAnsi"/>
          <w:lang w:eastAsia="zh-CN"/>
        </w:rPr>
        <w:t xml:space="preserve">2017-18 Settlement and </w:t>
      </w:r>
      <w:r w:rsidR="00833387">
        <w:rPr>
          <w:rFonts w:eastAsiaTheme="minorEastAsia" w:cstheme="minorHAnsi"/>
          <w:lang w:eastAsia="zh-CN"/>
        </w:rPr>
        <w:t>the first day of the rating list (</w:t>
      </w:r>
      <w:r w:rsidR="00C55307">
        <w:rPr>
          <w:rFonts w:eastAsiaTheme="minorEastAsia" w:cstheme="minorHAnsi"/>
          <w:lang w:eastAsia="zh-CN"/>
        </w:rPr>
        <w:t>1 April 2017</w:t>
      </w:r>
      <w:r w:rsidR="00833387">
        <w:rPr>
          <w:rFonts w:eastAsiaTheme="minorEastAsia" w:cstheme="minorHAnsi"/>
          <w:lang w:eastAsia="zh-CN"/>
        </w:rPr>
        <w:t>)</w:t>
      </w:r>
      <w:r w:rsidR="00C55307">
        <w:rPr>
          <w:rFonts w:eastAsiaTheme="minorEastAsia" w:cstheme="minorHAnsi"/>
          <w:lang w:eastAsia="zh-CN"/>
        </w:rPr>
        <w:t>.  This resulted in considerable admini</w:t>
      </w:r>
      <w:r w:rsidR="00FF1DF1">
        <w:rPr>
          <w:rFonts w:eastAsiaTheme="minorEastAsia" w:cstheme="minorHAnsi"/>
          <w:lang w:eastAsia="zh-CN"/>
        </w:rPr>
        <w:t>st</w:t>
      </w:r>
      <w:r w:rsidR="00C55307">
        <w:rPr>
          <w:rFonts w:eastAsiaTheme="minorEastAsia" w:cstheme="minorHAnsi"/>
          <w:lang w:eastAsia="zh-CN"/>
        </w:rPr>
        <w:t>rative complexity.</w:t>
      </w:r>
      <w:r w:rsidR="00833387">
        <w:rPr>
          <w:rFonts w:eastAsiaTheme="minorEastAsia" w:cstheme="minorHAnsi"/>
          <w:lang w:eastAsia="zh-CN"/>
        </w:rPr>
        <w:t xml:space="preserve"> </w:t>
      </w:r>
    </w:p>
    <w:p w14:paraId="6C4D36A3" w14:textId="7DB83776" w:rsidR="00C55307" w:rsidRDefault="00C55307" w:rsidP="00834CF5">
      <w:pPr>
        <w:numPr>
          <w:ilvl w:val="0"/>
          <w:numId w:val="2"/>
        </w:numPr>
        <w:spacing w:line="240" w:lineRule="auto"/>
        <w:rPr>
          <w:rFonts w:eastAsiaTheme="minorEastAsia" w:cstheme="minorHAnsi"/>
          <w:lang w:eastAsia="zh-CN"/>
        </w:rPr>
      </w:pPr>
      <w:r>
        <w:rPr>
          <w:rFonts w:eastAsiaTheme="minorEastAsia" w:cstheme="minorHAnsi"/>
          <w:lang w:eastAsia="zh-CN"/>
        </w:rPr>
        <w:t xml:space="preserve">Under the alternative </w:t>
      </w:r>
      <w:r w:rsidR="008577AE">
        <w:rPr>
          <w:rFonts w:eastAsiaTheme="minorEastAsia" w:cstheme="minorHAnsi"/>
          <w:lang w:eastAsia="zh-CN"/>
        </w:rPr>
        <w:t xml:space="preserve">model, because tariffs and top-ups are adjusted </w:t>
      </w:r>
      <w:r w:rsidR="00FF1DF1">
        <w:rPr>
          <w:rFonts w:eastAsiaTheme="minorEastAsia" w:cstheme="minorHAnsi"/>
          <w:lang w:eastAsia="zh-CN"/>
        </w:rPr>
        <w:t xml:space="preserve">each year to reflect the most recent NNDR1 forecast of non-domestic rating income, we would not need to do anything special following a </w:t>
      </w:r>
      <w:r w:rsidR="001B5E2E">
        <w:rPr>
          <w:rFonts w:eastAsiaTheme="minorEastAsia" w:cstheme="minorHAnsi"/>
          <w:lang w:eastAsia="zh-CN"/>
        </w:rPr>
        <w:t>R</w:t>
      </w:r>
      <w:r w:rsidR="00FF1DF1">
        <w:rPr>
          <w:rFonts w:eastAsiaTheme="minorEastAsia" w:cstheme="minorHAnsi"/>
          <w:lang w:eastAsia="zh-CN"/>
        </w:rPr>
        <w:t>evaluation</w:t>
      </w:r>
      <w:r w:rsidR="001B5E2E">
        <w:rPr>
          <w:rFonts w:eastAsiaTheme="minorEastAsia" w:cstheme="minorHAnsi"/>
          <w:lang w:eastAsia="zh-CN"/>
        </w:rPr>
        <w:t>.  The stage 1 calcu</w:t>
      </w:r>
      <w:r w:rsidR="008D5C0C">
        <w:rPr>
          <w:rFonts w:eastAsiaTheme="minorEastAsia" w:cstheme="minorHAnsi"/>
          <w:lang w:eastAsia="zh-CN"/>
        </w:rPr>
        <w:t>l</w:t>
      </w:r>
      <w:r w:rsidR="001B5E2E">
        <w:rPr>
          <w:rFonts w:eastAsiaTheme="minorEastAsia" w:cstheme="minorHAnsi"/>
          <w:lang w:eastAsia="zh-CN"/>
        </w:rPr>
        <w:t>ation of tariffs and top-ups would automatically take account of the impact of the Revaluation</w:t>
      </w:r>
      <w:r w:rsidR="00884F23">
        <w:rPr>
          <w:rFonts w:eastAsiaTheme="minorEastAsia" w:cstheme="minorHAnsi"/>
          <w:lang w:eastAsia="zh-CN"/>
        </w:rPr>
        <w:t xml:space="preserve"> and ensure that, regardless of how income had changed following the Revaluation, the authority</w:t>
      </w:r>
      <w:r w:rsidR="00D551B8">
        <w:rPr>
          <w:rFonts w:eastAsiaTheme="minorEastAsia" w:cstheme="minorHAnsi"/>
          <w:lang w:eastAsia="zh-CN"/>
        </w:rPr>
        <w:t xml:space="preserve">’s tariff/top-up would guarantee them </w:t>
      </w:r>
      <w:r w:rsidR="00CF4696">
        <w:rPr>
          <w:rFonts w:eastAsiaTheme="minorEastAsia" w:cstheme="minorHAnsi"/>
          <w:lang w:eastAsia="zh-CN"/>
        </w:rPr>
        <w:t xml:space="preserve">the </w:t>
      </w:r>
      <w:r w:rsidR="00D551B8">
        <w:rPr>
          <w:rFonts w:eastAsiaTheme="minorEastAsia" w:cstheme="minorHAnsi"/>
          <w:lang w:eastAsia="zh-CN"/>
        </w:rPr>
        <w:t>equivalent o</w:t>
      </w:r>
      <w:r w:rsidR="000A04DE">
        <w:rPr>
          <w:rFonts w:eastAsiaTheme="minorEastAsia" w:cstheme="minorHAnsi"/>
          <w:lang w:eastAsia="zh-CN"/>
        </w:rPr>
        <w:t>f</w:t>
      </w:r>
      <w:r w:rsidR="00D551B8">
        <w:rPr>
          <w:rFonts w:eastAsiaTheme="minorEastAsia" w:cstheme="minorHAnsi"/>
          <w:lang w:eastAsia="zh-CN"/>
        </w:rPr>
        <w:t xml:space="preserve"> their baseline funding level.</w:t>
      </w:r>
    </w:p>
    <w:p w14:paraId="3D9AEAD9" w14:textId="1405F6D0" w:rsidR="005E6F1E" w:rsidRDefault="008D5C0C" w:rsidP="0015044A">
      <w:pPr>
        <w:numPr>
          <w:ilvl w:val="0"/>
          <w:numId w:val="2"/>
        </w:numPr>
        <w:spacing w:line="240" w:lineRule="auto"/>
      </w:pPr>
      <w:r>
        <w:rPr>
          <w:rFonts w:eastAsiaTheme="minorEastAsia" w:cstheme="minorHAnsi"/>
          <w:lang w:eastAsia="zh-CN"/>
        </w:rPr>
        <w:t>For the purpose of the Stage 2 calcu</w:t>
      </w:r>
      <w:r w:rsidR="001443D2">
        <w:rPr>
          <w:rFonts w:eastAsiaTheme="minorEastAsia" w:cstheme="minorHAnsi"/>
          <w:lang w:eastAsia="zh-CN"/>
        </w:rPr>
        <w:t>l</w:t>
      </w:r>
      <w:r>
        <w:rPr>
          <w:rFonts w:eastAsiaTheme="minorEastAsia" w:cstheme="minorHAnsi"/>
          <w:lang w:eastAsia="zh-CN"/>
        </w:rPr>
        <w:t xml:space="preserve">ation for growth, we would, as described in previous </w:t>
      </w:r>
      <w:r w:rsidR="001443D2">
        <w:rPr>
          <w:rFonts w:eastAsiaTheme="minorEastAsia" w:cstheme="minorHAnsi"/>
          <w:lang w:eastAsia="zh-CN"/>
        </w:rPr>
        <w:t xml:space="preserve">papers, </w:t>
      </w:r>
      <w:r w:rsidR="00EA6D94">
        <w:rPr>
          <w:rFonts w:eastAsiaTheme="minorEastAsia" w:cstheme="minorHAnsi"/>
          <w:lang w:eastAsia="zh-CN"/>
        </w:rPr>
        <w:t xml:space="preserve">need </w:t>
      </w:r>
      <w:r w:rsidR="001443D2">
        <w:rPr>
          <w:rFonts w:eastAsiaTheme="minorEastAsia" w:cstheme="minorHAnsi"/>
          <w:lang w:eastAsia="zh-CN"/>
        </w:rPr>
        <w:t xml:space="preserve">to reset the growth baseline at each Revaluation.  </w:t>
      </w:r>
      <w:r w:rsidR="00272922">
        <w:rPr>
          <w:rFonts w:eastAsiaTheme="minorEastAsia" w:cstheme="minorHAnsi"/>
          <w:lang w:eastAsia="zh-CN"/>
        </w:rPr>
        <w:t xml:space="preserve">This </w:t>
      </w:r>
      <w:r w:rsidR="00502CDD">
        <w:rPr>
          <w:rFonts w:eastAsiaTheme="minorEastAsia" w:cstheme="minorHAnsi"/>
          <w:lang w:eastAsia="zh-CN"/>
        </w:rPr>
        <w:t xml:space="preserve">does </w:t>
      </w:r>
      <w:r w:rsidR="00272922">
        <w:rPr>
          <w:rFonts w:eastAsiaTheme="minorEastAsia" w:cstheme="minorHAnsi"/>
          <w:lang w:eastAsia="zh-CN"/>
        </w:rPr>
        <w:t xml:space="preserve">not necessarily mean that authorities would have </w:t>
      </w:r>
      <w:r w:rsidR="00502CDD">
        <w:rPr>
          <w:rFonts w:eastAsiaTheme="minorEastAsia" w:cstheme="minorHAnsi"/>
          <w:lang w:eastAsia="zh-CN"/>
        </w:rPr>
        <w:t xml:space="preserve">only </w:t>
      </w:r>
      <w:r w:rsidR="00272922">
        <w:rPr>
          <w:rFonts w:eastAsiaTheme="minorEastAsia" w:cstheme="minorHAnsi"/>
          <w:lang w:eastAsia="zh-CN"/>
        </w:rPr>
        <w:t>three years growth</w:t>
      </w:r>
      <w:r w:rsidR="00502CDD">
        <w:rPr>
          <w:rFonts w:eastAsiaTheme="minorEastAsia" w:cstheme="minorHAnsi"/>
          <w:lang w:eastAsia="zh-CN"/>
        </w:rPr>
        <w:t xml:space="preserve"> under the alternative arrang</w:t>
      </w:r>
      <w:r w:rsidR="00F45039">
        <w:rPr>
          <w:rFonts w:eastAsiaTheme="minorEastAsia" w:cstheme="minorHAnsi"/>
          <w:lang w:eastAsia="zh-CN"/>
        </w:rPr>
        <w:t xml:space="preserve">ements.  </w:t>
      </w:r>
      <w:r w:rsidR="00412150">
        <w:rPr>
          <w:rFonts w:eastAsiaTheme="minorEastAsia" w:cstheme="minorHAnsi"/>
          <w:lang w:eastAsia="zh-CN"/>
        </w:rPr>
        <w:t>As described in previous papers, it would be possible</w:t>
      </w:r>
      <w:r w:rsidR="00637AAF">
        <w:rPr>
          <w:rFonts w:eastAsiaTheme="minorEastAsia" w:cstheme="minorHAnsi"/>
          <w:lang w:eastAsia="zh-CN"/>
        </w:rPr>
        <w:t>, depending on</w:t>
      </w:r>
      <w:r w:rsidR="002A5326">
        <w:rPr>
          <w:rFonts w:eastAsiaTheme="minorEastAsia" w:cstheme="minorHAnsi"/>
          <w:lang w:eastAsia="zh-CN"/>
        </w:rPr>
        <w:t xml:space="preserve"> </w:t>
      </w:r>
      <w:bookmarkStart w:id="0" w:name="_GoBack"/>
      <w:bookmarkEnd w:id="0"/>
      <w:r w:rsidR="002A5326">
        <w:rPr>
          <w:rFonts w:eastAsiaTheme="minorEastAsia" w:cstheme="minorHAnsi"/>
          <w:lang w:eastAsia="zh-CN"/>
        </w:rPr>
        <w:t>decisions about</w:t>
      </w:r>
      <w:r w:rsidR="00637AAF">
        <w:rPr>
          <w:rFonts w:eastAsiaTheme="minorEastAsia" w:cstheme="minorHAnsi"/>
          <w:lang w:eastAsia="zh-CN"/>
        </w:rPr>
        <w:t xml:space="preserve"> the length</w:t>
      </w:r>
      <w:r w:rsidR="002A5326">
        <w:rPr>
          <w:rFonts w:eastAsiaTheme="minorEastAsia" w:cstheme="minorHAnsi"/>
          <w:lang w:eastAsia="zh-CN"/>
        </w:rPr>
        <w:t xml:space="preserve"> of time</w:t>
      </w:r>
      <w:r w:rsidR="00637AAF">
        <w:rPr>
          <w:rFonts w:eastAsiaTheme="minorEastAsia" w:cstheme="minorHAnsi"/>
          <w:lang w:eastAsia="zh-CN"/>
        </w:rPr>
        <w:t xml:space="preserve"> between resets, to continue to build into the </w:t>
      </w:r>
      <w:r w:rsidR="00B16971">
        <w:rPr>
          <w:rFonts w:eastAsiaTheme="minorEastAsia" w:cstheme="minorHAnsi"/>
          <w:lang w:eastAsia="zh-CN"/>
        </w:rPr>
        <w:t>stage 2 calcu</w:t>
      </w:r>
      <w:r w:rsidR="0015044A">
        <w:rPr>
          <w:rFonts w:eastAsiaTheme="minorEastAsia" w:cstheme="minorHAnsi"/>
          <w:lang w:eastAsia="zh-CN"/>
        </w:rPr>
        <w:t>la</w:t>
      </w:r>
      <w:r w:rsidR="00B16971">
        <w:rPr>
          <w:rFonts w:eastAsiaTheme="minorEastAsia" w:cstheme="minorHAnsi"/>
          <w:lang w:eastAsia="zh-CN"/>
        </w:rPr>
        <w:t xml:space="preserve">tion, the growth earned </w:t>
      </w:r>
      <w:r w:rsidR="0015044A">
        <w:rPr>
          <w:rFonts w:eastAsiaTheme="minorEastAsia" w:cstheme="minorHAnsi"/>
          <w:lang w:eastAsia="zh-CN"/>
        </w:rPr>
        <w:t xml:space="preserve">on </w:t>
      </w:r>
      <w:r w:rsidR="00B16971">
        <w:rPr>
          <w:rFonts w:eastAsiaTheme="minorEastAsia" w:cstheme="minorHAnsi"/>
          <w:lang w:eastAsia="zh-CN"/>
        </w:rPr>
        <w:t xml:space="preserve">a previous </w:t>
      </w:r>
      <w:r w:rsidR="0015044A">
        <w:rPr>
          <w:rFonts w:eastAsiaTheme="minorEastAsia" w:cstheme="minorHAnsi"/>
          <w:lang w:eastAsia="zh-CN"/>
        </w:rPr>
        <w:t xml:space="preserve">rating </w:t>
      </w:r>
      <w:r w:rsidR="00B16971">
        <w:rPr>
          <w:rFonts w:eastAsiaTheme="minorEastAsia" w:cstheme="minorHAnsi"/>
          <w:lang w:eastAsia="zh-CN"/>
        </w:rPr>
        <w:t>list.</w:t>
      </w:r>
      <w:r w:rsidR="0015044A">
        <w:t xml:space="preserve"> </w:t>
      </w:r>
    </w:p>
    <w:sectPr w:rsidR="005E6F1E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7D7AC" w14:textId="77777777" w:rsidR="0065570F" w:rsidRDefault="0065570F" w:rsidP="00397205">
      <w:pPr>
        <w:spacing w:after="0" w:line="240" w:lineRule="auto"/>
      </w:pPr>
      <w:r>
        <w:separator/>
      </w:r>
    </w:p>
  </w:endnote>
  <w:endnote w:type="continuationSeparator" w:id="0">
    <w:p w14:paraId="1C29A5DA" w14:textId="77777777" w:rsidR="0065570F" w:rsidRDefault="0065570F" w:rsidP="0039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0977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CB287" w14:textId="4EA8E79F" w:rsidR="00CD0189" w:rsidRDefault="00CD01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AC78EE" w14:textId="77777777" w:rsidR="00CD0189" w:rsidRDefault="00CD0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D0B7B" w14:textId="77777777" w:rsidR="0065570F" w:rsidRDefault="0065570F" w:rsidP="00397205">
      <w:pPr>
        <w:spacing w:after="0" w:line="240" w:lineRule="auto"/>
      </w:pPr>
      <w:r>
        <w:separator/>
      </w:r>
    </w:p>
  </w:footnote>
  <w:footnote w:type="continuationSeparator" w:id="0">
    <w:p w14:paraId="10C081A6" w14:textId="77777777" w:rsidR="0065570F" w:rsidRDefault="0065570F" w:rsidP="00397205">
      <w:pPr>
        <w:spacing w:after="0" w:line="240" w:lineRule="auto"/>
      </w:pPr>
      <w:r>
        <w:continuationSeparator/>
      </w:r>
    </w:p>
  </w:footnote>
  <w:footnote w:id="1">
    <w:p w14:paraId="1E5E2249" w14:textId="77777777" w:rsidR="00397205" w:rsidRDefault="003972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95A53">
        <w:t xml:space="preserve">Paragraph 12 of Schedule 7B to </w:t>
      </w:r>
      <w:r>
        <w:t>the Local Government Act 1988</w:t>
      </w:r>
    </w:p>
  </w:footnote>
  <w:footnote w:id="2">
    <w:p w14:paraId="1C560D82" w14:textId="77777777" w:rsidR="00D95A53" w:rsidRDefault="00D95A53">
      <w:pPr>
        <w:pStyle w:val="FootnoteText"/>
      </w:pPr>
      <w:r>
        <w:rPr>
          <w:rStyle w:val="FootnoteReference"/>
        </w:rPr>
        <w:footnoteRef/>
      </w:r>
      <w:r>
        <w:t xml:space="preserve"> Paragraph 13 of Schedule 7B to the Local Government Act 1988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4C31"/>
    <w:multiLevelType w:val="hybridMultilevel"/>
    <w:tmpl w:val="835005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143066"/>
    <w:multiLevelType w:val="hybridMultilevel"/>
    <w:tmpl w:val="F4DE6DCE"/>
    <w:lvl w:ilvl="0" w:tplc="C792D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9DE"/>
    <w:multiLevelType w:val="hybridMultilevel"/>
    <w:tmpl w:val="84F8A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5F"/>
    <w:rsid w:val="00023A23"/>
    <w:rsid w:val="000407D2"/>
    <w:rsid w:val="000621A8"/>
    <w:rsid w:val="00071384"/>
    <w:rsid w:val="0007153E"/>
    <w:rsid w:val="00077438"/>
    <w:rsid w:val="00084BA2"/>
    <w:rsid w:val="0009429D"/>
    <w:rsid w:val="00094E43"/>
    <w:rsid w:val="000A04DE"/>
    <w:rsid w:val="000A4085"/>
    <w:rsid w:val="000B325E"/>
    <w:rsid w:val="000B5F5F"/>
    <w:rsid w:val="000C04EA"/>
    <w:rsid w:val="000C6959"/>
    <w:rsid w:val="000E4BE1"/>
    <w:rsid w:val="000E5B7A"/>
    <w:rsid w:val="000E74AC"/>
    <w:rsid w:val="000F67B1"/>
    <w:rsid w:val="000F7808"/>
    <w:rsid w:val="001004C9"/>
    <w:rsid w:val="00100E9E"/>
    <w:rsid w:val="0010639C"/>
    <w:rsid w:val="00106B35"/>
    <w:rsid w:val="00107E1A"/>
    <w:rsid w:val="001100D1"/>
    <w:rsid w:val="00115180"/>
    <w:rsid w:val="00120574"/>
    <w:rsid w:val="00121679"/>
    <w:rsid w:val="00121E48"/>
    <w:rsid w:val="00123628"/>
    <w:rsid w:val="00123B94"/>
    <w:rsid w:val="00126B9E"/>
    <w:rsid w:val="0013604F"/>
    <w:rsid w:val="00141B08"/>
    <w:rsid w:val="001443D2"/>
    <w:rsid w:val="0015044A"/>
    <w:rsid w:val="001546CF"/>
    <w:rsid w:val="00164484"/>
    <w:rsid w:val="00165581"/>
    <w:rsid w:val="00167005"/>
    <w:rsid w:val="0017419B"/>
    <w:rsid w:val="00182E10"/>
    <w:rsid w:val="00183C07"/>
    <w:rsid w:val="00187EB3"/>
    <w:rsid w:val="0019064D"/>
    <w:rsid w:val="001A327F"/>
    <w:rsid w:val="001A3E0C"/>
    <w:rsid w:val="001A477C"/>
    <w:rsid w:val="001A59A0"/>
    <w:rsid w:val="001B3A8F"/>
    <w:rsid w:val="001B4E54"/>
    <w:rsid w:val="001B597B"/>
    <w:rsid w:val="001B5E2E"/>
    <w:rsid w:val="001C0B1B"/>
    <w:rsid w:val="001C6082"/>
    <w:rsid w:val="001C6499"/>
    <w:rsid w:val="001D5B1D"/>
    <w:rsid w:val="001E17C3"/>
    <w:rsid w:val="001E479B"/>
    <w:rsid w:val="001F1B0A"/>
    <w:rsid w:val="001F2686"/>
    <w:rsid w:val="002057A3"/>
    <w:rsid w:val="002057A4"/>
    <w:rsid w:val="002143CC"/>
    <w:rsid w:val="002253BA"/>
    <w:rsid w:val="00227EDA"/>
    <w:rsid w:val="00231B00"/>
    <w:rsid w:val="00237627"/>
    <w:rsid w:val="00237C91"/>
    <w:rsid w:val="00247904"/>
    <w:rsid w:val="002528AA"/>
    <w:rsid w:val="002531D2"/>
    <w:rsid w:val="0025329F"/>
    <w:rsid w:val="0026368A"/>
    <w:rsid w:val="00265921"/>
    <w:rsid w:val="00267753"/>
    <w:rsid w:val="00272922"/>
    <w:rsid w:val="00274F83"/>
    <w:rsid w:val="002772F1"/>
    <w:rsid w:val="00284D27"/>
    <w:rsid w:val="00291799"/>
    <w:rsid w:val="002A0F06"/>
    <w:rsid w:val="002A241C"/>
    <w:rsid w:val="002A48BE"/>
    <w:rsid w:val="002A5326"/>
    <w:rsid w:val="002B2449"/>
    <w:rsid w:val="002B5501"/>
    <w:rsid w:val="002C1129"/>
    <w:rsid w:val="002D1EF1"/>
    <w:rsid w:val="002D6395"/>
    <w:rsid w:val="002D79CF"/>
    <w:rsid w:val="002E51D6"/>
    <w:rsid w:val="002F09D7"/>
    <w:rsid w:val="002F3026"/>
    <w:rsid w:val="002F376E"/>
    <w:rsid w:val="002F395C"/>
    <w:rsid w:val="00315564"/>
    <w:rsid w:val="00347926"/>
    <w:rsid w:val="0035162F"/>
    <w:rsid w:val="0036097E"/>
    <w:rsid w:val="003620B4"/>
    <w:rsid w:val="003627C4"/>
    <w:rsid w:val="0036690F"/>
    <w:rsid w:val="00367073"/>
    <w:rsid w:val="003714A4"/>
    <w:rsid w:val="00374F85"/>
    <w:rsid w:val="00381E74"/>
    <w:rsid w:val="00394BF8"/>
    <w:rsid w:val="003963BC"/>
    <w:rsid w:val="00396E9E"/>
    <w:rsid w:val="00397205"/>
    <w:rsid w:val="003B5EDB"/>
    <w:rsid w:val="003C094E"/>
    <w:rsid w:val="003C6761"/>
    <w:rsid w:val="003D1DC5"/>
    <w:rsid w:val="003E154D"/>
    <w:rsid w:val="003F1777"/>
    <w:rsid w:val="00401175"/>
    <w:rsid w:val="0040198B"/>
    <w:rsid w:val="004039B0"/>
    <w:rsid w:val="00412150"/>
    <w:rsid w:val="00415DC9"/>
    <w:rsid w:val="00424F8F"/>
    <w:rsid w:val="00427960"/>
    <w:rsid w:val="004300E7"/>
    <w:rsid w:val="00432F4F"/>
    <w:rsid w:val="004405E5"/>
    <w:rsid w:val="0045529F"/>
    <w:rsid w:val="00460E8D"/>
    <w:rsid w:val="00461DA7"/>
    <w:rsid w:val="004635E3"/>
    <w:rsid w:val="004651DD"/>
    <w:rsid w:val="004659ED"/>
    <w:rsid w:val="004661D3"/>
    <w:rsid w:val="0046731A"/>
    <w:rsid w:val="00471337"/>
    <w:rsid w:val="00481DA6"/>
    <w:rsid w:val="00482C97"/>
    <w:rsid w:val="00483F88"/>
    <w:rsid w:val="00484C83"/>
    <w:rsid w:val="00496AC9"/>
    <w:rsid w:val="004B7FBD"/>
    <w:rsid w:val="004C6E53"/>
    <w:rsid w:val="004C7F31"/>
    <w:rsid w:val="004D516A"/>
    <w:rsid w:val="004E3F11"/>
    <w:rsid w:val="004F5FBA"/>
    <w:rsid w:val="004F61A7"/>
    <w:rsid w:val="00502CDD"/>
    <w:rsid w:val="00503A1B"/>
    <w:rsid w:val="00512D2D"/>
    <w:rsid w:val="005170CB"/>
    <w:rsid w:val="00523EFA"/>
    <w:rsid w:val="00526B59"/>
    <w:rsid w:val="0053399A"/>
    <w:rsid w:val="0053426D"/>
    <w:rsid w:val="005358D9"/>
    <w:rsid w:val="0053700E"/>
    <w:rsid w:val="005402A0"/>
    <w:rsid w:val="005530A3"/>
    <w:rsid w:val="005562A7"/>
    <w:rsid w:val="005605ED"/>
    <w:rsid w:val="00575141"/>
    <w:rsid w:val="00576F54"/>
    <w:rsid w:val="00580BD1"/>
    <w:rsid w:val="00597E6F"/>
    <w:rsid w:val="005A1F1C"/>
    <w:rsid w:val="005B311D"/>
    <w:rsid w:val="005B327A"/>
    <w:rsid w:val="005B5263"/>
    <w:rsid w:val="005C0FB1"/>
    <w:rsid w:val="005C47E8"/>
    <w:rsid w:val="005C5735"/>
    <w:rsid w:val="005C663D"/>
    <w:rsid w:val="005D6D09"/>
    <w:rsid w:val="005E3EC1"/>
    <w:rsid w:val="005E426F"/>
    <w:rsid w:val="005E6F1E"/>
    <w:rsid w:val="005E7F3C"/>
    <w:rsid w:val="006024B5"/>
    <w:rsid w:val="0060698C"/>
    <w:rsid w:val="006100CB"/>
    <w:rsid w:val="00620D4B"/>
    <w:rsid w:val="00624378"/>
    <w:rsid w:val="00624FD8"/>
    <w:rsid w:val="00625BA8"/>
    <w:rsid w:val="00627D6D"/>
    <w:rsid w:val="00637AAF"/>
    <w:rsid w:val="0065016F"/>
    <w:rsid w:val="006546DC"/>
    <w:rsid w:val="0065570F"/>
    <w:rsid w:val="0065758C"/>
    <w:rsid w:val="0066381A"/>
    <w:rsid w:val="00671220"/>
    <w:rsid w:val="0067690E"/>
    <w:rsid w:val="006801B0"/>
    <w:rsid w:val="00684812"/>
    <w:rsid w:val="00687020"/>
    <w:rsid w:val="0069478A"/>
    <w:rsid w:val="006A337E"/>
    <w:rsid w:val="006A556B"/>
    <w:rsid w:val="006A6975"/>
    <w:rsid w:val="006B1C78"/>
    <w:rsid w:val="006B3473"/>
    <w:rsid w:val="006B4CD3"/>
    <w:rsid w:val="006B4E34"/>
    <w:rsid w:val="006C5BF1"/>
    <w:rsid w:val="006C6D06"/>
    <w:rsid w:val="006D1F71"/>
    <w:rsid w:val="006D3857"/>
    <w:rsid w:val="006D5C8E"/>
    <w:rsid w:val="006E1B84"/>
    <w:rsid w:val="006E4442"/>
    <w:rsid w:val="006E5A74"/>
    <w:rsid w:val="006E654A"/>
    <w:rsid w:val="006F1438"/>
    <w:rsid w:val="006F42B0"/>
    <w:rsid w:val="0070251C"/>
    <w:rsid w:val="0070362B"/>
    <w:rsid w:val="00704708"/>
    <w:rsid w:val="00716B9C"/>
    <w:rsid w:val="00717F1C"/>
    <w:rsid w:val="0073080B"/>
    <w:rsid w:val="00733A89"/>
    <w:rsid w:val="007371A1"/>
    <w:rsid w:val="00746277"/>
    <w:rsid w:val="00746DD7"/>
    <w:rsid w:val="00747B23"/>
    <w:rsid w:val="0075278D"/>
    <w:rsid w:val="007623F6"/>
    <w:rsid w:val="00773EAA"/>
    <w:rsid w:val="00786ABF"/>
    <w:rsid w:val="00792D03"/>
    <w:rsid w:val="007A1B26"/>
    <w:rsid w:val="007B347D"/>
    <w:rsid w:val="007B37C3"/>
    <w:rsid w:val="007B60DF"/>
    <w:rsid w:val="007B7F13"/>
    <w:rsid w:val="007C1645"/>
    <w:rsid w:val="007D0E6E"/>
    <w:rsid w:val="007D23F4"/>
    <w:rsid w:val="007D34D8"/>
    <w:rsid w:val="007E277D"/>
    <w:rsid w:val="0081621D"/>
    <w:rsid w:val="00816E45"/>
    <w:rsid w:val="00821C08"/>
    <w:rsid w:val="0082430E"/>
    <w:rsid w:val="008259B2"/>
    <w:rsid w:val="00833387"/>
    <w:rsid w:val="00834CF5"/>
    <w:rsid w:val="0083551C"/>
    <w:rsid w:val="00835FD6"/>
    <w:rsid w:val="00836A30"/>
    <w:rsid w:val="00846711"/>
    <w:rsid w:val="00851A96"/>
    <w:rsid w:val="00852E38"/>
    <w:rsid w:val="008577AE"/>
    <w:rsid w:val="00860B2B"/>
    <w:rsid w:val="00880290"/>
    <w:rsid w:val="008823C4"/>
    <w:rsid w:val="008841D2"/>
    <w:rsid w:val="00884F23"/>
    <w:rsid w:val="00887031"/>
    <w:rsid w:val="00887E22"/>
    <w:rsid w:val="008A206D"/>
    <w:rsid w:val="008A2167"/>
    <w:rsid w:val="008A4369"/>
    <w:rsid w:val="008B11C4"/>
    <w:rsid w:val="008B25C4"/>
    <w:rsid w:val="008B2FFE"/>
    <w:rsid w:val="008B48B0"/>
    <w:rsid w:val="008C09D2"/>
    <w:rsid w:val="008C54D6"/>
    <w:rsid w:val="008C6D05"/>
    <w:rsid w:val="008D5C0C"/>
    <w:rsid w:val="008D71B2"/>
    <w:rsid w:val="008E14DA"/>
    <w:rsid w:val="008E6277"/>
    <w:rsid w:val="008F146B"/>
    <w:rsid w:val="008F225E"/>
    <w:rsid w:val="008F570C"/>
    <w:rsid w:val="00910544"/>
    <w:rsid w:val="00910D27"/>
    <w:rsid w:val="00917AD1"/>
    <w:rsid w:val="009352E6"/>
    <w:rsid w:val="00935351"/>
    <w:rsid w:val="00941ADC"/>
    <w:rsid w:val="00953C08"/>
    <w:rsid w:val="00956036"/>
    <w:rsid w:val="00956CA4"/>
    <w:rsid w:val="00963EEF"/>
    <w:rsid w:val="00966DA2"/>
    <w:rsid w:val="00967B64"/>
    <w:rsid w:val="0097378E"/>
    <w:rsid w:val="00974181"/>
    <w:rsid w:val="00977BAD"/>
    <w:rsid w:val="009822DA"/>
    <w:rsid w:val="00984F58"/>
    <w:rsid w:val="009874CD"/>
    <w:rsid w:val="00997AC3"/>
    <w:rsid w:val="009A3203"/>
    <w:rsid w:val="009B4924"/>
    <w:rsid w:val="009C157F"/>
    <w:rsid w:val="009C6183"/>
    <w:rsid w:val="009E335E"/>
    <w:rsid w:val="00A01133"/>
    <w:rsid w:val="00A016F6"/>
    <w:rsid w:val="00A01C84"/>
    <w:rsid w:val="00A02B81"/>
    <w:rsid w:val="00A175A0"/>
    <w:rsid w:val="00A2397A"/>
    <w:rsid w:val="00A339E0"/>
    <w:rsid w:val="00A406A5"/>
    <w:rsid w:val="00A414D9"/>
    <w:rsid w:val="00A42445"/>
    <w:rsid w:val="00A441D4"/>
    <w:rsid w:val="00A45E35"/>
    <w:rsid w:val="00A478FA"/>
    <w:rsid w:val="00A5669D"/>
    <w:rsid w:val="00A57921"/>
    <w:rsid w:val="00A7575A"/>
    <w:rsid w:val="00AA4011"/>
    <w:rsid w:val="00AA4EE2"/>
    <w:rsid w:val="00AA5063"/>
    <w:rsid w:val="00AA5B4F"/>
    <w:rsid w:val="00AA5CFA"/>
    <w:rsid w:val="00AB0719"/>
    <w:rsid w:val="00AB7D7F"/>
    <w:rsid w:val="00AC4396"/>
    <w:rsid w:val="00AC5F4C"/>
    <w:rsid w:val="00AC692F"/>
    <w:rsid w:val="00AD15CE"/>
    <w:rsid w:val="00AE380E"/>
    <w:rsid w:val="00B01CE8"/>
    <w:rsid w:val="00B16971"/>
    <w:rsid w:val="00B2134E"/>
    <w:rsid w:val="00B25B2A"/>
    <w:rsid w:val="00B302F7"/>
    <w:rsid w:val="00B3274A"/>
    <w:rsid w:val="00B337B7"/>
    <w:rsid w:val="00B34B49"/>
    <w:rsid w:val="00B3775B"/>
    <w:rsid w:val="00B37E16"/>
    <w:rsid w:val="00B43031"/>
    <w:rsid w:val="00B439EF"/>
    <w:rsid w:val="00B47114"/>
    <w:rsid w:val="00B54160"/>
    <w:rsid w:val="00B67D71"/>
    <w:rsid w:val="00B81221"/>
    <w:rsid w:val="00B823B9"/>
    <w:rsid w:val="00B8482C"/>
    <w:rsid w:val="00B85E4D"/>
    <w:rsid w:val="00B87333"/>
    <w:rsid w:val="00B87792"/>
    <w:rsid w:val="00B9292C"/>
    <w:rsid w:val="00B97361"/>
    <w:rsid w:val="00BA30DD"/>
    <w:rsid w:val="00BA3F60"/>
    <w:rsid w:val="00BC33D7"/>
    <w:rsid w:val="00BC3BE3"/>
    <w:rsid w:val="00BD0CD7"/>
    <w:rsid w:val="00BD3298"/>
    <w:rsid w:val="00BD494A"/>
    <w:rsid w:val="00BD651C"/>
    <w:rsid w:val="00BD7021"/>
    <w:rsid w:val="00BE411E"/>
    <w:rsid w:val="00BF37EF"/>
    <w:rsid w:val="00C15189"/>
    <w:rsid w:val="00C159D3"/>
    <w:rsid w:val="00C1770D"/>
    <w:rsid w:val="00C228C3"/>
    <w:rsid w:val="00C30DB8"/>
    <w:rsid w:val="00C31AA2"/>
    <w:rsid w:val="00C36A0C"/>
    <w:rsid w:val="00C443CC"/>
    <w:rsid w:val="00C50274"/>
    <w:rsid w:val="00C55307"/>
    <w:rsid w:val="00C57DCC"/>
    <w:rsid w:val="00C63479"/>
    <w:rsid w:val="00C63B09"/>
    <w:rsid w:val="00C711D8"/>
    <w:rsid w:val="00C77ADE"/>
    <w:rsid w:val="00C80695"/>
    <w:rsid w:val="00C84B7D"/>
    <w:rsid w:val="00C8771D"/>
    <w:rsid w:val="00C87943"/>
    <w:rsid w:val="00C9394D"/>
    <w:rsid w:val="00CB14DD"/>
    <w:rsid w:val="00CB60F3"/>
    <w:rsid w:val="00CC085E"/>
    <w:rsid w:val="00CC0A33"/>
    <w:rsid w:val="00CD0189"/>
    <w:rsid w:val="00CD0FF6"/>
    <w:rsid w:val="00CD4FDA"/>
    <w:rsid w:val="00CF45BF"/>
    <w:rsid w:val="00CF4696"/>
    <w:rsid w:val="00D013CE"/>
    <w:rsid w:val="00D02E84"/>
    <w:rsid w:val="00D448B3"/>
    <w:rsid w:val="00D45A8B"/>
    <w:rsid w:val="00D54E2B"/>
    <w:rsid w:val="00D551B8"/>
    <w:rsid w:val="00D61824"/>
    <w:rsid w:val="00D73E14"/>
    <w:rsid w:val="00D77AB6"/>
    <w:rsid w:val="00D842D9"/>
    <w:rsid w:val="00D849ED"/>
    <w:rsid w:val="00D85C91"/>
    <w:rsid w:val="00D90362"/>
    <w:rsid w:val="00D93040"/>
    <w:rsid w:val="00D93E8C"/>
    <w:rsid w:val="00D95A53"/>
    <w:rsid w:val="00DA5B57"/>
    <w:rsid w:val="00DA653A"/>
    <w:rsid w:val="00DB4B5F"/>
    <w:rsid w:val="00DC3123"/>
    <w:rsid w:val="00DD03BC"/>
    <w:rsid w:val="00DE1250"/>
    <w:rsid w:val="00DE31A9"/>
    <w:rsid w:val="00DE3575"/>
    <w:rsid w:val="00DE46BF"/>
    <w:rsid w:val="00E117FD"/>
    <w:rsid w:val="00E12022"/>
    <w:rsid w:val="00E153EA"/>
    <w:rsid w:val="00E207DA"/>
    <w:rsid w:val="00E30843"/>
    <w:rsid w:val="00E35567"/>
    <w:rsid w:val="00E437A5"/>
    <w:rsid w:val="00E56DC5"/>
    <w:rsid w:val="00E63E3D"/>
    <w:rsid w:val="00E65F7F"/>
    <w:rsid w:val="00E71BAD"/>
    <w:rsid w:val="00E81342"/>
    <w:rsid w:val="00E83F5B"/>
    <w:rsid w:val="00E90697"/>
    <w:rsid w:val="00E919EC"/>
    <w:rsid w:val="00E96C43"/>
    <w:rsid w:val="00EA498B"/>
    <w:rsid w:val="00EA5982"/>
    <w:rsid w:val="00EA6D94"/>
    <w:rsid w:val="00EA6F27"/>
    <w:rsid w:val="00ED36EA"/>
    <w:rsid w:val="00ED5904"/>
    <w:rsid w:val="00EE5521"/>
    <w:rsid w:val="00EF1152"/>
    <w:rsid w:val="00EF16E1"/>
    <w:rsid w:val="00EF6ED8"/>
    <w:rsid w:val="00F174AD"/>
    <w:rsid w:val="00F203B8"/>
    <w:rsid w:val="00F349A4"/>
    <w:rsid w:val="00F3573D"/>
    <w:rsid w:val="00F36AC2"/>
    <w:rsid w:val="00F4099C"/>
    <w:rsid w:val="00F45039"/>
    <w:rsid w:val="00F51199"/>
    <w:rsid w:val="00F5200F"/>
    <w:rsid w:val="00F63504"/>
    <w:rsid w:val="00F654B0"/>
    <w:rsid w:val="00F8439F"/>
    <w:rsid w:val="00F844F0"/>
    <w:rsid w:val="00F86207"/>
    <w:rsid w:val="00F92A54"/>
    <w:rsid w:val="00F92AE4"/>
    <w:rsid w:val="00F933BF"/>
    <w:rsid w:val="00F94164"/>
    <w:rsid w:val="00FB0C12"/>
    <w:rsid w:val="00FD08F7"/>
    <w:rsid w:val="00FD645A"/>
    <w:rsid w:val="00FE2A68"/>
    <w:rsid w:val="00FE2DD9"/>
    <w:rsid w:val="00FF0B12"/>
    <w:rsid w:val="00FF1DF1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438F"/>
  <w15:chartTrackingRefBased/>
  <w15:docId w15:val="{85DC6BD7-A489-4CA4-B419-ABCCC261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F5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72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2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72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0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89"/>
  </w:style>
  <w:style w:type="paragraph" w:styleId="Footer">
    <w:name w:val="footer"/>
    <w:basedOn w:val="Normal"/>
    <w:link w:val="FooterChar"/>
    <w:uiPriority w:val="99"/>
    <w:unhideWhenUsed/>
    <w:rsid w:val="00CD0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BF9F0EEF9024B851798905602A73B" ma:contentTypeVersion="6" ma:contentTypeDescription="Create a new document." ma:contentTypeScope="" ma:versionID="70cf5bd56d1b8e624c615aa71ef76e42">
  <xsd:schema xmlns:xsd="http://www.w3.org/2001/XMLSchema" xmlns:xs="http://www.w3.org/2001/XMLSchema" xmlns:p="http://schemas.microsoft.com/office/2006/metadata/properties" xmlns:ns2="52907788-3c74-4840-b653-af3aea5e5f4b" xmlns:ns3="49dd332d-6948-448e-8342-709605274695" targetNamespace="http://schemas.microsoft.com/office/2006/metadata/properties" ma:root="true" ma:fieldsID="05a13da75061842a9b05cac8a14e4ca7" ns2:_="" ns3:_="">
    <xsd:import namespace="52907788-3c74-4840-b653-af3aea5e5f4b"/>
    <xsd:import namespace="49dd332d-6948-448e-8342-709605274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07788-3c74-4840-b653-af3aea5e5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d332d-6948-448e-8342-709605274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6D7D2-F5EA-4AC1-8FBB-B66B6DBB3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07788-3c74-4840-b653-af3aea5e5f4b"/>
    <ds:schemaRef ds:uri="49dd332d-6948-448e-8342-709605274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B5DAA-3647-4E60-A3F7-E84B49830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231CB-AFBD-4789-890C-5AD274516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101B64-9D28-4FC7-93DB-0923512F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MHCLG</Company>
  <LinksUpToDate>false</LinksUpToDate>
  <CharactersWithSpaces>17458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Barnett</dc:creator>
  <cp:keywords/>
  <dc:description/>
  <cp:lastModifiedBy>Mark Barnett</cp:lastModifiedBy>
  <cp:revision>453</cp:revision>
  <dcterms:created xsi:type="dcterms:W3CDTF">2019-06-12T08:28:00Z</dcterms:created>
  <dcterms:modified xsi:type="dcterms:W3CDTF">2019-06-18T15:12:00Z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0x0101008EFBF9F0EEF9024B851798905602A73B</vt:lpwstr>
  </property>
</Properties>
</file>