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F3A1A" w14:textId="77777777" w:rsidR="00FB0254" w:rsidRPr="007C6446" w:rsidRDefault="00A46FBD">
      <w:pPr>
        <w:rPr>
          <w:rFonts w:ascii="Arial" w:hAnsi="Arial" w:cs="Arial"/>
          <w:b/>
        </w:rPr>
      </w:pPr>
      <w:r w:rsidRPr="007C6446">
        <w:rPr>
          <w:rFonts w:ascii="Arial" w:hAnsi="Arial" w:cs="Arial"/>
          <w:b/>
        </w:rPr>
        <w:t>Business Rates Steering Group – January 2018</w:t>
      </w:r>
    </w:p>
    <w:p w14:paraId="40B4FA0C" w14:textId="77777777" w:rsidR="00A46FBD" w:rsidRDefault="00A46FBD">
      <w:pPr>
        <w:rPr>
          <w:rFonts w:ascii="Arial" w:hAnsi="Arial" w:cs="Arial"/>
        </w:rPr>
      </w:pPr>
    </w:p>
    <w:p w14:paraId="79E968E9" w14:textId="2F44D345" w:rsidR="00A46FBD" w:rsidRPr="007C6446" w:rsidRDefault="007C6446">
      <w:pPr>
        <w:rPr>
          <w:rFonts w:ascii="Arial" w:hAnsi="Arial" w:cs="Arial"/>
          <w:b/>
        </w:rPr>
      </w:pPr>
      <w:r>
        <w:rPr>
          <w:rFonts w:ascii="Arial" w:hAnsi="Arial" w:cs="Arial"/>
          <w:b/>
        </w:rPr>
        <w:t xml:space="preserve">100 per cent </w:t>
      </w:r>
      <w:r w:rsidR="00A46FBD" w:rsidRPr="007C6446">
        <w:rPr>
          <w:rFonts w:ascii="Arial" w:hAnsi="Arial" w:cs="Arial"/>
          <w:b/>
        </w:rPr>
        <w:t>Pilots</w:t>
      </w:r>
      <w:r w:rsidR="00DD1340">
        <w:rPr>
          <w:rFonts w:ascii="Arial" w:hAnsi="Arial" w:cs="Arial"/>
          <w:b/>
        </w:rPr>
        <w:t xml:space="preserve"> for 2018/19</w:t>
      </w:r>
    </w:p>
    <w:p w14:paraId="050B82DD" w14:textId="77777777" w:rsidR="008D0DAD" w:rsidRDefault="00757DDF" w:rsidP="008D0DAD">
      <w:pPr>
        <w:pStyle w:val="ListParagraph"/>
        <w:numPr>
          <w:ilvl w:val="0"/>
          <w:numId w:val="1"/>
        </w:numPr>
        <w:ind w:left="357" w:hanging="357"/>
        <w:contextualSpacing w:val="0"/>
        <w:rPr>
          <w:rFonts w:ascii="Arial" w:hAnsi="Arial" w:cs="Arial"/>
        </w:rPr>
      </w:pPr>
      <w:r>
        <w:rPr>
          <w:rFonts w:ascii="Arial" w:hAnsi="Arial" w:cs="Arial"/>
        </w:rPr>
        <w:t>10 additional 100% business rates retention pilots were announced in the Loca</w:t>
      </w:r>
      <w:r w:rsidR="008D0DAD">
        <w:rPr>
          <w:rFonts w:ascii="Arial" w:hAnsi="Arial" w:cs="Arial"/>
        </w:rPr>
        <w:t>l Government Finance Settlement (see appendix for detailed list).  They were 24 applications. The 2017-18 business rates pilots are continuing and, as announced in the budget, London will be a 100% business rates pilot.</w:t>
      </w:r>
    </w:p>
    <w:p w14:paraId="23D44A36" w14:textId="6FE14EA2" w:rsidR="007C6446" w:rsidRDefault="008D0DAD" w:rsidP="008D0DAD">
      <w:pPr>
        <w:pStyle w:val="ListParagraph"/>
        <w:numPr>
          <w:ilvl w:val="0"/>
          <w:numId w:val="1"/>
        </w:numPr>
        <w:ind w:left="357" w:hanging="357"/>
        <w:contextualSpacing w:val="0"/>
        <w:rPr>
          <w:rFonts w:ascii="Arial" w:hAnsi="Arial" w:cs="Arial"/>
        </w:rPr>
      </w:pPr>
      <w:r>
        <w:rPr>
          <w:rFonts w:ascii="Arial" w:hAnsi="Arial" w:cs="Arial"/>
        </w:rPr>
        <w:t>This means that in 2018/19 150 authorities will be part of a 100% business rates pilot.</w:t>
      </w:r>
    </w:p>
    <w:p w14:paraId="6E0CB742" w14:textId="76E38C25" w:rsidR="008D0DAD" w:rsidRDefault="00757DDF" w:rsidP="008D0DAD">
      <w:pPr>
        <w:pStyle w:val="ListParagraph"/>
        <w:numPr>
          <w:ilvl w:val="0"/>
          <w:numId w:val="1"/>
        </w:numPr>
        <w:ind w:left="357" w:hanging="357"/>
        <w:contextualSpacing w:val="0"/>
        <w:rPr>
          <w:rFonts w:ascii="Arial" w:hAnsi="Arial" w:cs="Arial"/>
        </w:rPr>
      </w:pPr>
      <w:r>
        <w:rPr>
          <w:rFonts w:ascii="Arial" w:hAnsi="Arial" w:cs="Arial"/>
        </w:rPr>
        <w:t xml:space="preserve"> </w:t>
      </w:r>
      <w:r w:rsidR="007C6446">
        <w:rPr>
          <w:rFonts w:ascii="Arial" w:hAnsi="Arial" w:cs="Arial"/>
        </w:rPr>
        <w:t xml:space="preserve">The </w:t>
      </w:r>
      <w:r w:rsidR="00DD1340">
        <w:rPr>
          <w:rFonts w:ascii="Arial" w:hAnsi="Arial" w:cs="Arial"/>
        </w:rPr>
        <w:t>2018/19 pilot</w:t>
      </w:r>
      <w:r w:rsidR="007C6446">
        <w:rPr>
          <w:rFonts w:ascii="Arial" w:hAnsi="Arial" w:cs="Arial"/>
        </w:rPr>
        <w:t xml:space="preserve"> authorities will forego Revenue Support Grant and (if applicable</w:t>
      </w:r>
      <w:r w:rsidR="00E26547">
        <w:rPr>
          <w:rFonts w:ascii="Arial" w:hAnsi="Arial" w:cs="Arial"/>
        </w:rPr>
        <w:t>) Rural</w:t>
      </w:r>
      <w:r w:rsidR="009554AC">
        <w:rPr>
          <w:rFonts w:ascii="Arial" w:hAnsi="Arial" w:cs="Arial"/>
        </w:rPr>
        <w:t xml:space="preserve"> Services Delivery Grant. Their top-ups or tariffs will be adjusted.  This</w:t>
      </w:r>
      <w:r w:rsidR="009554AC" w:rsidRPr="009554AC">
        <w:rPr>
          <w:rFonts w:ascii="Arial" w:hAnsi="Arial" w:cs="Arial"/>
        </w:rPr>
        <w:t xml:space="preserve"> ensures that the pilots are cost neutral by ensuring that the value of the additional retained business rates is matched by the value of the grants foregone, plus the change in tariffs and top-ups. As such, there is no impact on the resources available to other authorities through the Settlement, or outside it. The additional growth retained by authorities would, in the absence of the pilots, have been due to central Government.</w:t>
      </w:r>
    </w:p>
    <w:p w14:paraId="629CDC18" w14:textId="40BC0433" w:rsidR="00C7588D" w:rsidRDefault="00C7588D" w:rsidP="008D0DAD">
      <w:pPr>
        <w:pStyle w:val="ListParagraph"/>
        <w:numPr>
          <w:ilvl w:val="0"/>
          <w:numId w:val="1"/>
        </w:numPr>
        <w:ind w:left="357" w:hanging="357"/>
        <w:contextualSpacing w:val="0"/>
        <w:rPr>
          <w:rFonts w:ascii="Arial" w:hAnsi="Arial" w:cs="Arial"/>
        </w:rPr>
      </w:pPr>
      <w:r>
        <w:rPr>
          <w:rFonts w:ascii="Arial" w:hAnsi="Arial" w:cs="Arial"/>
        </w:rPr>
        <w:t>No other grants have been included in the 2018/19 pilots, in contrast to the 2017/18 pilots.</w:t>
      </w:r>
    </w:p>
    <w:p w14:paraId="07F9EAF4" w14:textId="461BA048" w:rsidR="00C7588D" w:rsidRDefault="00DD1340" w:rsidP="008D0DAD">
      <w:pPr>
        <w:pStyle w:val="ListParagraph"/>
        <w:numPr>
          <w:ilvl w:val="0"/>
          <w:numId w:val="1"/>
        </w:numPr>
        <w:ind w:left="357" w:hanging="357"/>
        <w:contextualSpacing w:val="0"/>
        <w:rPr>
          <w:rFonts w:ascii="Arial" w:hAnsi="Arial" w:cs="Arial"/>
        </w:rPr>
      </w:pPr>
      <w:r>
        <w:rPr>
          <w:rFonts w:ascii="Arial" w:hAnsi="Arial" w:cs="Arial"/>
        </w:rPr>
        <w:t>Within the pilot areas, different tier splits have been agreed.  These are detailed in the appendix.  In terms of 2 tier split they range from 70% for Surrey and 30% for districts to 20% for Suffolk and 80% for districts.</w:t>
      </w:r>
    </w:p>
    <w:p w14:paraId="55F92F75" w14:textId="181BEA52" w:rsidR="00287FB3" w:rsidRDefault="00287FB3" w:rsidP="008D0DAD">
      <w:pPr>
        <w:pStyle w:val="ListParagraph"/>
        <w:numPr>
          <w:ilvl w:val="0"/>
          <w:numId w:val="1"/>
        </w:numPr>
        <w:ind w:left="357" w:hanging="357"/>
        <w:contextualSpacing w:val="0"/>
        <w:rPr>
          <w:rFonts w:ascii="Arial" w:hAnsi="Arial" w:cs="Arial"/>
        </w:rPr>
      </w:pPr>
      <w:r>
        <w:rPr>
          <w:rFonts w:ascii="Arial" w:hAnsi="Arial" w:cs="Arial"/>
        </w:rPr>
        <w:t>The Steering Group will receive regular reports on the progress of both the 2017/18 and 2018/19 pilots.</w:t>
      </w:r>
    </w:p>
    <w:p w14:paraId="5DEDBD19" w14:textId="77777777" w:rsidR="00C7588D" w:rsidRDefault="00C7588D" w:rsidP="00C7588D">
      <w:pPr>
        <w:rPr>
          <w:rFonts w:ascii="Arial" w:hAnsi="Arial" w:cs="Arial"/>
        </w:rPr>
      </w:pPr>
      <w:r>
        <w:rPr>
          <w:rFonts w:ascii="Arial" w:hAnsi="Arial" w:cs="Arial"/>
        </w:rPr>
        <w:br w:type="page"/>
      </w:r>
    </w:p>
    <w:p w14:paraId="4EBCA3D6" w14:textId="77777777" w:rsidR="006B0F40" w:rsidRDefault="006B0F40" w:rsidP="00C7588D">
      <w:pPr>
        <w:rPr>
          <w:rFonts w:ascii="Arial" w:hAnsi="Arial" w:cs="Arial"/>
        </w:rPr>
      </w:pPr>
    </w:p>
    <w:p w14:paraId="48F5B22D" w14:textId="0B0046E9" w:rsidR="00FB0254" w:rsidRPr="00C7588D" w:rsidRDefault="00C7588D" w:rsidP="00C7588D">
      <w:pPr>
        <w:rPr>
          <w:rFonts w:ascii="Arial" w:hAnsi="Arial" w:cs="Arial"/>
        </w:rPr>
      </w:pPr>
      <w:r>
        <w:rPr>
          <w:rFonts w:ascii="Arial" w:hAnsi="Arial" w:cs="Arial"/>
        </w:rPr>
        <w:t>Appendix 1:  2018/19 Pilots</w:t>
      </w:r>
      <w:r w:rsidR="00DD1340">
        <w:rPr>
          <w:rFonts w:ascii="Arial" w:hAnsi="Arial" w:cs="Arial"/>
        </w:rPr>
        <w:t xml:space="preserve">, </w:t>
      </w:r>
      <w:r>
        <w:rPr>
          <w:rFonts w:ascii="Arial" w:hAnsi="Arial" w:cs="Arial"/>
        </w:rPr>
        <w:t>constituent authorities</w:t>
      </w:r>
      <w:r w:rsidR="00DD1340">
        <w:rPr>
          <w:rFonts w:ascii="Arial" w:hAnsi="Arial" w:cs="Arial"/>
        </w:rPr>
        <w:t xml:space="preserve"> and tier splits</w:t>
      </w:r>
      <w:r w:rsidR="00757DDF" w:rsidRPr="00C7588D">
        <w:rPr>
          <w:rFonts w:ascii="Arial" w:hAnsi="Arial" w:cs="Arial"/>
        </w:rPr>
        <w:t>:</w:t>
      </w:r>
    </w:p>
    <w:tbl>
      <w:tblPr>
        <w:tblStyle w:val="TableGrid"/>
        <w:tblW w:w="11057" w:type="dxa"/>
        <w:tblInd w:w="-743" w:type="dxa"/>
        <w:tblLayout w:type="fixed"/>
        <w:tblLook w:val="04A0" w:firstRow="1" w:lastRow="0" w:firstColumn="1" w:lastColumn="0" w:noHBand="0" w:noVBand="1"/>
      </w:tblPr>
      <w:tblGrid>
        <w:gridCol w:w="1702"/>
        <w:gridCol w:w="3260"/>
        <w:gridCol w:w="4253"/>
        <w:gridCol w:w="1842"/>
      </w:tblGrid>
      <w:tr w:rsidR="007E3AF5" w:rsidRPr="00757DDF" w14:paraId="686E3ECF" w14:textId="0DA36C1A" w:rsidTr="007E3AF5">
        <w:trPr>
          <w:cantSplit/>
          <w:trHeight w:val="10"/>
          <w:tblHeader/>
        </w:trPr>
        <w:tc>
          <w:tcPr>
            <w:tcW w:w="1702" w:type="dxa"/>
            <w:noWrap/>
            <w:hideMark/>
          </w:tcPr>
          <w:p w14:paraId="04AACCFB" w14:textId="77777777" w:rsidR="007E60C8" w:rsidRPr="00757DDF" w:rsidRDefault="007E60C8">
            <w:pPr>
              <w:rPr>
                <w:rFonts w:ascii="Arial" w:hAnsi="Arial" w:cs="Arial"/>
              </w:rPr>
            </w:pPr>
            <w:r w:rsidRPr="00757DDF">
              <w:rPr>
                <w:rFonts w:ascii="Arial" w:hAnsi="Arial" w:cs="Arial"/>
              </w:rPr>
              <w:t>Name</w:t>
            </w:r>
          </w:p>
        </w:tc>
        <w:tc>
          <w:tcPr>
            <w:tcW w:w="3260" w:type="dxa"/>
            <w:noWrap/>
            <w:hideMark/>
          </w:tcPr>
          <w:p w14:paraId="27865B6D" w14:textId="77777777" w:rsidR="007E60C8" w:rsidRPr="00757DDF" w:rsidRDefault="007E60C8">
            <w:pPr>
              <w:rPr>
                <w:rFonts w:ascii="Arial" w:hAnsi="Arial" w:cs="Arial"/>
              </w:rPr>
            </w:pPr>
            <w:r w:rsidRPr="00757DDF">
              <w:rPr>
                <w:rFonts w:ascii="Arial" w:hAnsi="Arial" w:cs="Arial"/>
              </w:rPr>
              <w:t>Constituent authorities</w:t>
            </w:r>
          </w:p>
        </w:tc>
        <w:tc>
          <w:tcPr>
            <w:tcW w:w="4253" w:type="dxa"/>
          </w:tcPr>
          <w:p w14:paraId="0965B41E" w14:textId="776FD224" w:rsidR="007E60C8" w:rsidRDefault="007E60C8">
            <w:pPr>
              <w:rPr>
                <w:rFonts w:ascii="Arial" w:hAnsi="Arial" w:cs="Arial"/>
              </w:rPr>
            </w:pPr>
            <w:r w:rsidRPr="007E60C8">
              <w:rPr>
                <w:rFonts w:ascii="Arial" w:hAnsi="Arial" w:cs="Arial"/>
              </w:rPr>
              <w:t>Basis of distribution</w:t>
            </w:r>
          </w:p>
        </w:tc>
        <w:tc>
          <w:tcPr>
            <w:tcW w:w="1842" w:type="dxa"/>
          </w:tcPr>
          <w:p w14:paraId="5176EBEC" w14:textId="553C67C4" w:rsidR="007E60C8" w:rsidRPr="00757DDF" w:rsidRDefault="007E60C8">
            <w:pPr>
              <w:rPr>
                <w:rFonts w:ascii="Arial" w:hAnsi="Arial" w:cs="Arial"/>
              </w:rPr>
            </w:pPr>
            <w:r>
              <w:rPr>
                <w:rFonts w:ascii="Arial" w:hAnsi="Arial" w:cs="Arial"/>
              </w:rPr>
              <w:t>Tier split</w:t>
            </w:r>
          </w:p>
        </w:tc>
      </w:tr>
      <w:tr w:rsidR="007E3AF5" w:rsidRPr="00757DDF" w14:paraId="47E984CD" w14:textId="46DFF275" w:rsidTr="007E3AF5">
        <w:trPr>
          <w:trHeight w:val="37"/>
        </w:trPr>
        <w:tc>
          <w:tcPr>
            <w:tcW w:w="1702" w:type="dxa"/>
            <w:noWrap/>
            <w:hideMark/>
          </w:tcPr>
          <w:p w14:paraId="686C7FB6" w14:textId="77777777" w:rsidR="007E60C8" w:rsidRPr="00316FD2" w:rsidRDefault="007E60C8">
            <w:pPr>
              <w:rPr>
                <w:rFonts w:ascii="Arial" w:hAnsi="Arial" w:cs="Arial"/>
                <w:sz w:val="20"/>
                <w:szCs w:val="20"/>
              </w:rPr>
            </w:pPr>
            <w:r w:rsidRPr="00316FD2">
              <w:rPr>
                <w:rFonts w:ascii="Arial" w:hAnsi="Arial" w:cs="Arial"/>
                <w:sz w:val="20"/>
                <w:szCs w:val="20"/>
              </w:rPr>
              <w:t>Berkshire</w:t>
            </w:r>
          </w:p>
        </w:tc>
        <w:tc>
          <w:tcPr>
            <w:tcW w:w="3260" w:type="dxa"/>
            <w:hideMark/>
          </w:tcPr>
          <w:p w14:paraId="256C5444" w14:textId="77777777" w:rsidR="007E60C8" w:rsidRPr="00316FD2" w:rsidRDefault="007E60C8">
            <w:pPr>
              <w:rPr>
                <w:rFonts w:ascii="Arial" w:hAnsi="Arial" w:cs="Arial"/>
                <w:sz w:val="20"/>
                <w:szCs w:val="20"/>
              </w:rPr>
            </w:pPr>
            <w:r w:rsidRPr="00316FD2">
              <w:rPr>
                <w:rFonts w:ascii="Arial" w:hAnsi="Arial" w:cs="Arial"/>
                <w:sz w:val="20"/>
                <w:szCs w:val="20"/>
              </w:rPr>
              <w:t>Bracknell Forest Council, Reading Borough Council, Slough Borough Council, West Berkshire Council, Royal Borough of Windsor &amp; Maidenhead, Wokingham Borough Council</w:t>
            </w:r>
          </w:p>
        </w:tc>
        <w:tc>
          <w:tcPr>
            <w:tcW w:w="4253" w:type="dxa"/>
          </w:tcPr>
          <w:p w14:paraId="41F4A1FE" w14:textId="107BF27A" w:rsidR="007E60C8" w:rsidRPr="00244505" w:rsidRDefault="00244505">
            <w:pPr>
              <w:rPr>
                <w:rFonts w:ascii="Arial" w:hAnsi="Arial" w:cs="Arial"/>
                <w:color w:val="FF0000"/>
                <w:sz w:val="20"/>
                <w:szCs w:val="20"/>
              </w:rPr>
            </w:pPr>
            <w:r w:rsidRPr="00244505">
              <w:rPr>
                <w:rFonts w:ascii="Arial" w:hAnsi="Arial" w:cs="Arial"/>
                <w:sz w:val="20"/>
                <w:szCs w:val="20"/>
              </w:rPr>
              <w:t>Individual authorities guaranteed the income they would have received from 50% rates retention. Of the remaining "gains", £25m (estimated to be 70%) will be allocated to a Strategic Investment Fund, and the remaining balance allocated to individual authorities pro rata to the growth achieved by individual authorities. Decisions about the use of the Strategic Investment Fund will be made by the LEP.</w:t>
            </w:r>
          </w:p>
        </w:tc>
        <w:tc>
          <w:tcPr>
            <w:tcW w:w="1842" w:type="dxa"/>
          </w:tcPr>
          <w:p w14:paraId="18655DA7" w14:textId="27A140C0" w:rsidR="007E60C8" w:rsidRPr="00244505" w:rsidRDefault="007E60C8">
            <w:pPr>
              <w:rPr>
                <w:rFonts w:ascii="Arial" w:hAnsi="Arial" w:cs="Arial"/>
                <w:sz w:val="20"/>
                <w:szCs w:val="20"/>
              </w:rPr>
            </w:pPr>
            <w:r w:rsidRPr="00244505">
              <w:rPr>
                <w:rFonts w:ascii="Arial" w:hAnsi="Arial" w:cs="Arial"/>
                <w:sz w:val="20"/>
                <w:szCs w:val="20"/>
              </w:rPr>
              <w:t>99% for all authorities</w:t>
            </w:r>
            <w:r w:rsidR="003028CA" w:rsidRPr="00244505">
              <w:rPr>
                <w:rFonts w:ascii="Arial" w:hAnsi="Arial" w:cs="Arial"/>
                <w:sz w:val="20"/>
                <w:szCs w:val="20"/>
              </w:rPr>
              <w:t>, 1% for FRS</w:t>
            </w:r>
          </w:p>
        </w:tc>
      </w:tr>
      <w:tr w:rsidR="00401F51" w:rsidRPr="00757DDF" w14:paraId="08E9E1F6" w14:textId="7A30D828" w:rsidTr="007E3AF5">
        <w:trPr>
          <w:trHeight w:val="65"/>
        </w:trPr>
        <w:tc>
          <w:tcPr>
            <w:tcW w:w="1702" w:type="dxa"/>
            <w:noWrap/>
            <w:hideMark/>
          </w:tcPr>
          <w:p w14:paraId="64988CFA" w14:textId="77777777" w:rsidR="00401F51" w:rsidRPr="00316FD2" w:rsidRDefault="00401F51">
            <w:pPr>
              <w:rPr>
                <w:rFonts w:ascii="Arial" w:hAnsi="Arial" w:cs="Arial"/>
                <w:sz w:val="20"/>
                <w:szCs w:val="20"/>
              </w:rPr>
            </w:pPr>
            <w:r w:rsidRPr="00316FD2">
              <w:rPr>
                <w:rFonts w:ascii="Arial" w:hAnsi="Arial" w:cs="Arial"/>
                <w:sz w:val="20"/>
                <w:szCs w:val="20"/>
              </w:rPr>
              <w:t>Derbyshire</w:t>
            </w:r>
          </w:p>
        </w:tc>
        <w:tc>
          <w:tcPr>
            <w:tcW w:w="3260" w:type="dxa"/>
            <w:hideMark/>
          </w:tcPr>
          <w:p w14:paraId="4B655139" w14:textId="3C068AB8" w:rsidR="00401F51" w:rsidRPr="00316FD2" w:rsidRDefault="00401F51">
            <w:pPr>
              <w:rPr>
                <w:rFonts w:ascii="Arial" w:hAnsi="Arial" w:cs="Arial"/>
                <w:sz w:val="20"/>
                <w:szCs w:val="20"/>
              </w:rPr>
            </w:pPr>
            <w:r w:rsidRPr="00316FD2">
              <w:rPr>
                <w:rFonts w:ascii="Arial" w:hAnsi="Arial" w:cs="Arial"/>
                <w:sz w:val="20"/>
                <w:szCs w:val="20"/>
              </w:rPr>
              <w:t xml:space="preserve">Amber Valley </w:t>
            </w:r>
            <w:r>
              <w:rPr>
                <w:rFonts w:ascii="Arial" w:hAnsi="Arial" w:cs="Arial"/>
                <w:sz w:val="20"/>
                <w:szCs w:val="20"/>
              </w:rPr>
              <w:t>B</w:t>
            </w:r>
            <w:r w:rsidRPr="00316FD2">
              <w:rPr>
                <w:rFonts w:ascii="Arial" w:hAnsi="Arial" w:cs="Arial"/>
                <w:sz w:val="20"/>
                <w:szCs w:val="20"/>
              </w:rPr>
              <w:t xml:space="preserve">orough </w:t>
            </w:r>
            <w:r>
              <w:rPr>
                <w:rFonts w:ascii="Arial" w:hAnsi="Arial" w:cs="Arial"/>
                <w:sz w:val="20"/>
                <w:szCs w:val="20"/>
              </w:rPr>
              <w:t>C</w:t>
            </w:r>
            <w:r w:rsidRPr="00316FD2">
              <w:rPr>
                <w:rFonts w:ascii="Arial" w:hAnsi="Arial" w:cs="Arial"/>
                <w:sz w:val="20"/>
                <w:szCs w:val="20"/>
              </w:rPr>
              <w:t xml:space="preserve">ouncil, Bolsover District Council, Chesterfield borough </w:t>
            </w:r>
            <w:r>
              <w:rPr>
                <w:rFonts w:ascii="Arial" w:hAnsi="Arial" w:cs="Arial"/>
                <w:sz w:val="20"/>
                <w:szCs w:val="20"/>
              </w:rPr>
              <w:t>C</w:t>
            </w:r>
            <w:r w:rsidRPr="00316FD2">
              <w:rPr>
                <w:rFonts w:ascii="Arial" w:hAnsi="Arial" w:cs="Arial"/>
                <w:sz w:val="20"/>
                <w:szCs w:val="20"/>
              </w:rPr>
              <w:t xml:space="preserve">ouncil, Derby </w:t>
            </w:r>
            <w:r>
              <w:rPr>
                <w:rFonts w:ascii="Arial" w:hAnsi="Arial" w:cs="Arial"/>
                <w:sz w:val="20"/>
                <w:szCs w:val="20"/>
              </w:rPr>
              <w:t>C</w:t>
            </w:r>
            <w:r w:rsidRPr="00316FD2">
              <w:rPr>
                <w:rFonts w:ascii="Arial" w:hAnsi="Arial" w:cs="Arial"/>
                <w:sz w:val="20"/>
                <w:szCs w:val="20"/>
              </w:rPr>
              <w:t xml:space="preserve">ity </w:t>
            </w:r>
            <w:r>
              <w:rPr>
                <w:rFonts w:ascii="Arial" w:hAnsi="Arial" w:cs="Arial"/>
                <w:sz w:val="20"/>
                <w:szCs w:val="20"/>
              </w:rPr>
              <w:t>C</w:t>
            </w:r>
            <w:r w:rsidRPr="00316FD2">
              <w:rPr>
                <w:rFonts w:ascii="Arial" w:hAnsi="Arial" w:cs="Arial"/>
                <w:sz w:val="20"/>
                <w:szCs w:val="20"/>
              </w:rPr>
              <w:t xml:space="preserve">ouncil, Derbyshire </w:t>
            </w:r>
            <w:r>
              <w:rPr>
                <w:rFonts w:ascii="Arial" w:hAnsi="Arial" w:cs="Arial"/>
                <w:sz w:val="20"/>
                <w:szCs w:val="20"/>
              </w:rPr>
              <w:t>C</w:t>
            </w:r>
            <w:r w:rsidRPr="00316FD2">
              <w:rPr>
                <w:rFonts w:ascii="Arial" w:hAnsi="Arial" w:cs="Arial"/>
                <w:sz w:val="20"/>
                <w:szCs w:val="20"/>
              </w:rPr>
              <w:t xml:space="preserve">ounty </w:t>
            </w:r>
            <w:r>
              <w:rPr>
                <w:rFonts w:ascii="Arial" w:hAnsi="Arial" w:cs="Arial"/>
                <w:sz w:val="20"/>
                <w:szCs w:val="20"/>
              </w:rPr>
              <w:t>C</w:t>
            </w:r>
            <w:r w:rsidRPr="00316FD2">
              <w:rPr>
                <w:rFonts w:ascii="Arial" w:hAnsi="Arial" w:cs="Arial"/>
                <w:sz w:val="20"/>
                <w:szCs w:val="20"/>
              </w:rPr>
              <w:t xml:space="preserve">ouncil, Derbyshire Dales District </w:t>
            </w:r>
            <w:r>
              <w:rPr>
                <w:rFonts w:ascii="Arial" w:hAnsi="Arial" w:cs="Arial"/>
                <w:sz w:val="20"/>
                <w:szCs w:val="20"/>
              </w:rPr>
              <w:t>C</w:t>
            </w:r>
            <w:r w:rsidRPr="00316FD2">
              <w:rPr>
                <w:rFonts w:ascii="Arial" w:hAnsi="Arial" w:cs="Arial"/>
                <w:sz w:val="20"/>
                <w:szCs w:val="20"/>
              </w:rPr>
              <w:t>ouncil, Erewash Borough Council, High Peak Borough Council, North East Derbyshire District Council, South Derbyshire District Council, Derbyshire Fire &amp; Rescue Service</w:t>
            </w:r>
          </w:p>
        </w:tc>
        <w:tc>
          <w:tcPr>
            <w:tcW w:w="4253" w:type="dxa"/>
          </w:tcPr>
          <w:p w14:paraId="647AFA64" w14:textId="6C7276B1" w:rsidR="00401F51" w:rsidRPr="00E61573" w:rsidRDefault="00401F51" w:rsidP="00BB3E54">
            <w:pPr>
              <w:rPr>
                <w:rFonts w:ascii="Arial" w:hAnsi="Arial" w:cs="Arial"/>
                <w:sz w:val="20"/>
                <w:szCs w:val="20"/>
              </w:rPr>
            </w:pPr>
            <w:r w:rsidRPr="00E61573">
              <w:rPr>
                <w:rFonts w:ascii="Arial" w:hAnsi="Arial" w:cs="Arial"/>
                <w:sz w:val="20"/>
                <w:szCs w:val="20"/>
              </w:rPr>
              <w:t>Each individual authority, where resources allow, will receive the same level of funding they would have received had they acted under the 50% scheme. For the County Council and the Districts, this would include any pool dividend from the existing Derbyshire Business Rates Pool.</w:t>
            </w:r>
          </w:p>
          <w:p w14:paraId="5CE4B37B" w14:textId="77777777" w:rsidR="00401F51" w:rsidRPr="00E61573" w:rsidRDefault="00401F51" w:rsidP="00BB3E54">
            <w:pPr>
              <w:rPr>
                <w:rFonts w:ascii="Arial" w:hAnsi="Arial" w:cs="Arial"/>
                <w:sz w:val="20"/>
                <w:szCs w:val="20"/>
              </w:rPr>
            </w:pPr>
          </w:p>
          <w:p w14:paraId="7021CB20" w14:textId="7E404913" w:rsidR="00401F51" w:rsidRPr="00E61573" w:rsidRDefault="00401F51" w:rsidP="00BB3E54">
            <w:pPr>
              <w:rPr>
                <w:rFonts w:ascii="Arial" w:hAnsi="Arial" w:cs="Arial"/>
                <w:sz w:val="20"/>
                <w:szCs w:val="20"/>
              </w:rPr>
            </w:pPr>
            <w:r w:rsidRPr="00E61573">
              <w:rPr>
                <w:rFonts w:ascii="Arial" w:hAnsi="Arial" w:cs="Arial"/>
                <w:sz w:val="20"/>
                <w:szCs w:val="20"/>
              </w:rPr>
              <w:t xml:space="preserve">Any additional gain will be distributed between members of the Pool and a separate ring-fenced pot which is to support economic growth across the County.  Any such gain will be apportioned 70% between authorities and 30% for the economic growth pot. </w:t>
            </w:r>
          </w:p>
          <w:p w14:paraId="0269EF9A" w14:textId="034069F3" w:rsidR="00401F51" w:rsidRPr="00E61573" w:rsidRDefault="00401F51" w:rsidP="00BB3E54">
            <w:pPr>
              <w:rPr>
                <w:rFonts w:ascii="Arial" w:hAnsi="Arial" w:cs="Arial"/>
                <w:sz w:val="20"/>
                <w:szCs w:val="20"/>
              </w:rPr>
            </w:pPr>
            <w:r w:rsidRPr="00E61573">
              <w:rPr>
                <w:rFonts w:ascii="Arial" w:hAnsi="Arial" w:cs="Arial"/>
                <w:sz w:val="20"/>
                <w:szCs w:val="20"/>
              </w:rPr>
              <w:t xml:space="preserve">The Derbyshire Authorities Joint Committee for Economic Prosperity will approve funding allocations from the growth pot.     </w:t>
            </w:r>
          </w:p>
          <w:p w14:paraId="592D2F1F" w14:textId="77777777" w:rsidR="00401F51" w:rsidRPr="00E61573" w:rsidRDefault="00401F51" w:rsidP="00BB3E54">
            <w:pPr>
              <w:rPr>
                <w:rFonts w:ascii="Arial" w:hAnsi="Arial" w:cs="Arial"/>
                <w:sz w:val="20"/>
                <w:szCs w:val="20"/>
              </w:rPr>
            </w:pPr>
          </w:p>
          <w:p w14:paraId="35198F8F" w14:textId="77777777" w:rsidR="00401F51" w:rsidRPr="00E61573" w:rsidRDefault="00401F51" w:rsidP="00BB3E54">
            <w:pPr>
              <w:rPr>
                <w:rFonts w:ascii="Arial" w:hAnsi="Arial" w:cs="Arial"/>
              </w:rPr>
            </w:pPr>
            <w:r w:rsidRPr="00E61573">
              <w:rPr>
                <w:rFonts w:ascii="Arial" w:hAnsi="Arial" w:cs="Arial"/>
                <w:sz w:val="20"/>
                <w:szCs w:val="20"/>
              </w:rPr>
              <w:t>Gains distributed between members of the Pool will be apportioned based upon the methodology set out in the Memorandum of Understanding</w:t>
            </w:r>
            <w:r w:rsidRPr="00E61573">
              <w:rPr>
                <w:rFonts w:ascii="Arial" w:hAnsi="Arial" w:cs="Arial"/>
              </w:rPr>
              <w:t>.</w:t>
            </w:r>
          </w:p>
          <w:p w14:paraId="3B83242C" w14:textId="620492A7" w:rsidR="00401F51" w:rsidRPr="00BC3224" w:rsidDel="002D1A31" w:rsidRDefault="00401F51" w:rsidP="007E60C8">
            <w:pPr>
              <w:rPr>
                <w:rFonts w:ascii="Arial" w:hAnsi="Arial" w:cs="Arial"/>
                <w:sz w:val="20"/>
                <w:szCs w:val="20"/>
              </w:rPr>
            </w:pPr>
          </w:p>
        </w:tc>
        <w:tc>
          <w:tcPr>
            <w:tcW w:w="1842" w:type="dxa"/>
          </w:tcPr>
          <w:p w14:paraId="3EE160DB" w14:textId="4AA2A487" w:rsidR="00401F51" w:rsidRPr="00BC3224" w:rsidRDefault="00401F51" w:rsidP="007E3AF5">
            <w:pPr>
              <w:rPr>
                <w:rFonts w:ascii="Arial" w:hAnsi="Arial" w:cs="Arial"/>
                <w:sz w:val="20"/>
                <w:szCs w:val="20"/>
              </w:rPr>
            </w:pPr>
            <w:r w:rsidRPr="00D52F39">
              <w:rPr>
                <w:rFonts w:ascii="Arial" w:hAnsi="Arial" w:cs="Arial"/>
                <w:sz w:val="20"/>
                <w:szCs w:val="20"/>
              </w:rPr>
              <w:t xml:space="preserve">49% for Derbyshire CC, 50% for districts. </w:t>
            </w:r>
            <w:r w:rsidRPr="00316FD2">
              <w:rPr>
                <w:rFonts w:ascii="Arial" w:hAnsi="Arial" w:cs="Arial"/>
                <w:sz w:val="20"/>
                <w:szCs w:val="20"/>
              </w:rPr>
              <w:t>99% for Derby City, 1% for FRS</w:t>
            </w:r>
          </w:p>
        </w:tc>
      </w:tr>
      <w:tr w:rsidR="007E3AF5" w:rsidRPr="00757DDF" w14:paraId="47204FBE" w14:textId="0D865BF5" w:rsidTr="007E3AF5">
        <w:trPr>
          <w:trHeight w:val="58"/>
        </w:trPr>
        <w:tc>
          <w:tcPr>
            <w:tcW w:w="1702" w:type="dxa"/>
            <w:noWrap/>
            <w:hideMark/>
          </w:tcPr>
          <w:p w14:paraId="0F8E3D36" w14:textId="77777777" w:rsidR="007E60C8" w:rsidRPr="00316FD2" w:rsidRDefault="007E60C8">
            <w:pPr>
              <w:rPr>
                <w:rFonts w:ascii="Arial" w:hAnsi="Arial" w:cs="Arial"/>
                <w:sz w:val="20"/>
                <w:szCs w:val="20"/>
              </w:rPr>
            </w:pPr>
            <w:r w:rsidRPr="00316FD2">
              <w:rPr>
                <w:rFonts w:ascii="Arial" w:hAnsi="Arial" w:cs="Arial"/>
                <w:sz w:val="20"/>
                <w:szCs w:val="20"/>
              </w:rPr>
              <w:t>Devon</w:t>
            </w:r>
          </w:p>
        </w:tc>
        <w:tc>
          <w:tcPr>
            <w:tcW w:w="3260" w:type="dxa"/>
            <w:hideMark/>
          </w:tcPr>
          <w:p w14:paraId="5ECF05D9" w14:textId="157D0E9B" w:rsidR="007E60C8" w:rsidRPr="00316FD2" w:rsidRDefault="007E60C8">
            <w:pPr>
              <w:rPr>
                <w:rFonts w:ascii="Arial" w:hAnsi="Arial" w:cs="Arial"/>
                <w:sz w:val="20"/>
                <w:szCs w:val="20"/>
              </w:rPr>
            </w:pPr>
            <w:r w:rsidRPr="00316FD2">
              <w:rPr>
                <w:rFonts w:ascii="Arial" w:hAnsi="Arial" w:cs="Arial"/>
                <w:sz w:val="20"/>
                <w:szCs w:val="20"/>
              </w:rPr>
              <w:t>Devon County Council, East Devon District Council, Exeter City Council, Mid Devon District Council, North Devon District Council, Plymouth City Council, South Hams District Council, Teignbridge District Council, Torbay Council, Torridge District Council, West Devon Borough Council</w:t>
            </w:r>
          </w:p>
        </w:tc>
        <w:tc>
          <w:tcPr>
            <w:tcW w:w="4253" w:type="dxa"/>
          </w:tcPr>
          <w:p w14:paraId="6ED61FE7" w14:textId="60341388" w:rsidR="007E60C8" w:rsidRPr="00BC3224" w:rsidRDefault="00BC3224">
            <w:pPr>
              <w:rPr>
                <w:rFonts w:ascii="Arial" w:hAnsi="Arial" w:cs="Arial"/>
                <w:sz w:val="20"/>
                <w:szCs w:val="20"/>
              </w:rPr>
            </w:pPr>
            <w:r w:rsidRPr="00BC3224">
              <w:rPr>
                <w:rFonts w:ascii="Arial" w:hAnsi="Arial" w:cs="Arial"/>
                <w:sz w:val="20"/>
                <w:szCs w:val="20"/>
              </w:rPr>
              <w:t>Local business rates growth will be split as follows: 40% district, 60% county and 99% unitary.  However, all authorities, providing there are sufficient resources, are guaranteed the higher of (</w:t>
            </w:r>
            <w:proofErr w:type="spellStart"/>
            <w:r w:rsidRPr="00BC3224">
              <w:rPr>
                <w:rFonts w:ascii="Arial" w:hAnsi="Arial" w:cs="Arial"/>
                <w:sz w:val="20"/>
                <w:szCs w:val="20"/>
              </w:rPr>
              <w:t>i</w:t>
            </w:r>
            <w:proofErr w:type="spellEnd"/>
            <w:r w:rsidRPr="00BC3224">
              <w:rPr>
                <w:rFonts w:ascii="Arial" w:hAnsi="Arial" w:cs="Arial"/>
                <w:sz w:val="20"/>
                <w:szCs w:val="20"/>
              </w:rPr>
              <w:t>) the amount that would have been received under the existing Devon pooling arrangements or (ii) a fixed amount above Baseline Need (£0.5m for Districts and £1.5m for the county and unitary authorities).”</w:t>
            </w:r>
          </w:p>
        </w:tc>
        <w:tc>
          <w:tcPr>
            <w:tcW w:w="1842" w:type="dxa"/>
          </w:tcPr>
          <w:p w14:paraId="76828AA3" w14:textId="1C2DD9D6" w:rsidR="007E60C8" w:rsidRPr="00BC3224" w:rsidRDefault="007E60C8">
            <w:pPr>
              <w:rPr>
                <w:rFonts w:ascii="Arial" w:hAnsi="Arial" w:cs="Arial"/>
                <w:sz w:val="20"/>
                <w:szCs w:val="20"/>
              </w:rPr>
            </w:pPr>
            <w:r w:rsidRPr="00BC3224">
              <w:rPr>
                <w:rFonts w:ascii="Arial" w:hAnsi="Arial" w:cs="Arial"/>
                <w:sz w:val="20"/>
                <w:szCs w:val="20"/>
              </w:rPr>
              <w:t>59% for Devon, 40% for districts, 99% for Plymouth and Torbay</w:t>
            </w:r>
            <w:r w:rsidR="007E3AF5" w:rsidRPr="00BC3224">
              <w:rPr>
                <w:rFonts w:ascii="Arial" w:hAnsi="Arial" w:cs="Arial"/>
                <w:sz w:val="20"/>
                <w:szCs w:val="20"/>
              </w:rPr>
              <w:t>, 1% for FRS</w:t>
            </w:r>
          </w:p>
        </w:tc>
      </w:tr>
      <w:tr w:rsidR="007E3AF5" w:rsidRPr="00757DDF" w14:paraId="3D66A0BE" w14:textId="6D49514E" w:rsidTr="007E3AF5">
        <w:trPr>
          <w:trHeight w:val="45"/>
        </w:trPr>
        <w:tc>
          <w:tcPr>
            <w:tcW w:w="1702" w:type="dxa"/>
            <w:noWrap/>
            <w:hideMark/>
          </w:tcPr>
          <w:p w14:paraId="3D9FF3CE" w14:textId="77777777" w:rsidR="007E60C8" w:rsidRPr="00316FD2" w:rsidRDefault="007E60C8">
            <w:pPr>
              <w:rPr>
                <w:rFonts w:ascii="Arial" w:hAnsi="Arial" w:cs="Arial"/>
                <w:sz w:val="20"/>
                <w:szCs w:val="20"/>
              </w:rPr>
            </w:pPr>
            <w:r w:rsidRPr="00316FD2">
              <w:rPr>
                <w:rFonts w:ascii="Arial" w:hAnsi="Arial" w:cs="Arial"/>
                <w:sz w:val="20"/>
                <w:szCs w:val="20"/>
              </w:rPr>
              <w:t>Gloucestershire</w:t>
            </w:r>
          </w:p>
        </w:tc>
        <w:tc>
          <w:tcPr>
            <w:tcW w:w="3260" w:type="dxa"/>
            <w:hideMark/>
          </w:tcPr>
          <w:p w14:paraId="3C590020" w14:textId="77777777" w:rsidR="007E60C8" w:rsidRPr="00316FD2" w:rsidRDefault="007E60C8">
            <w:pPr>
              <w:rPr>
                <w:rFonts w:ascii="Arial" w:hAnsi="Arial" w:cs="Arial"/>
                <w:sz w:val="20"/>
                <w:szCs w:val="20"/>
              </w:rPr>
            </w:pPr>
            <w:r w:rsidRPr="00316FD2">
              <w:rPr>
                <w:rFonts w:ascii="Arial" w:hAnsi="Arial" w:cs="Arial"/>
                <w:sz w:val="20"/>
                <w:szCs w:val="20"/>
              </w:rPr>
              <w:t>Cheltenham Borough Council, Cotswold District Council, Forest of Dean District Council, Gloucester City Council, Stroud District Council, Tewkesbury Borough Council, Gloucestershire County Council</w:t>
            </w:r>
          </w:p>
        </w:tc>
        <w:tc>
          <w:tcPr>
            <w:tcW w:w="4253" w:type="dxa"/>
          </w:tcPr>
          <w:p w14:paraId="45919983" w14:textId="0910A5CD" w:rsidR="007E60C8" w:rsidRPr="008C4392" w:rsidRDefault="008C4392">
            <w:pPr>
              <w:rPr>
                <w:rFonts w:ascii="Arial" w:hAnsi="Arial" w:cs="Arial"/>
                <w:sz w:val="20"/>
                <w:szCs w:val="20"/>
              </w:rPr>
            </w:pPr>
            <w:r w:rsidRPr="008C4392">
              <w:rPr>
                <w:rFonts w:ascii="Arial" w:hAnsi="Arial" w:cs="Arial"/>
                <w:sz w:val="20"/>
                <w:szCs w:val="20"/>
              </w:rPr>
              <w:t xml:space="preserve">Individual authorities guaranteed the income they would have received from 50% rates retention and protecting the pre-existing Gloucestershire business rates pool distribution. Of the remaining "gain", 20% to go to Strategic Economic Development Fund (SEDF), 30% to district councils, 50% to the County Council. SEDF used to support growth. Fund managed by the </w:t>
            </w:r>
            <w:proofErr w:type="spellStart"/>
            <w:r w:rsidRPr="008C4392">
              <w:rPr>
                <w:rFonts w:ascii="Arial" w:hAnsi="Arial" w:cs="Arial"/>
                <w:sz w:val="20"/>
                <w:szCs w:val="20"/>
              </w:rPr>
              <w:t>Glos</w:t>
            </w:r>
            <w:proofErr w:type="spellEnd"/>
            <w:r w:rsidRPr="008C4392">
              <w:rPr>
                <w:rFonts w:ascii="Arial" w:hAnsi="Arial" w:cs="Arial"/>
                <w:sz w:val="20"/>
                <w:szCs w:val="20"/>
              </w:rPr>
              <w:t xml:space="preserve"> Economic Growth Joint Committee comprising of the councils and the local LEP</w:t>
            </w:r>
          </w:p>
        </w:tc>
        <w:tc>
          <w:tcPr>
            <w:tcW w:w="1842" w:type="dxa"/>
          </w:tcPr>
          <w:p w14:paraId="30C10A82" w14:textId="2792CB65" w:rsidR="007E60C8" w:rsidRPr="008C4392" w:rsidRDefault="007E60C8">
            <w:pPr>
              <w:rPr>
                <w:rFonts w:ascii="Arial" w:hAnsi="Arial" w:cs="Arial"/>
                <w:sz w:val="20"/>
                <w:szCs w:val="20"/>
              </w:rPr>
            </w:pPr>
            <w:r w:rsidRPr="008C4392">
              <w:rPr>
                <w:rFonts w:ascii="Arial" w:hAnsi="Arial" w:cs="Arial"/>
                <w:sz w:val="20"/>
                <w:szCs w:val="20"/>
              </w:rPr>
              <w:t xml:space="preserve">50% for </w:t>
            </w:r>
            <w:proofErr w:type="spellStart"/>
            <w:r w:rsidRPr="008C4392">
              <w:rPr>
                <w:rFonts w:ascii="Arial" w:hAnsi="Arial" w:cs="Arial"/>
                <w:sz w:val="20"/>
                <w:szCs w:val="20"/>
              </w:rPr>
              <w:t>Gloucs</w:t>
            </w:r>
            <w:proofErr w:type="spellEnd"/>
            <w:r w:rsidRPr="008C4392">
              <w:rPr>
                <w:rFonts w:ascii="Arial" w:hAnsi="Arial" w:cs="Arial"/>
                <w:sz w:val="20"/>
                <w:szCs w:val="20"/>
              </w:rPr>
              <w:t xml:space="preserve"> CC, 50% for districts</w:t>
            </w:r>
          </w:p>
        </w:tc>
      </w:tr>
      <w:tr w:rsidR="00622090" w:rsidRPr="00757DDF" w14:paraId="5FC0B226" w14:textId="225375B0" w:rsidTr="007E3AF5">
        <w:trPr>
          <w:trHeight w:val="82"/>
        </w:trPr>
        <w:tc>
          <w:tcPr>
            <w:tcW w:w="1702" w:type="dxa"/>
            <w:noWrap/>
            <w:hideMark/>
          </w:tcPr>
          <w:p w14:paraId="2531800D" w14:textId="77777777" w:rsidR="00622090" w:rsidRPr="00316FD2" w:rsidRDefault="00622090">
            <w:pPr>
              <w:rPr>
                <w:rFonts w:ascii="Arial" w:hAnsi="Arial" w:cs="Arial"/>
                <w:sz w:val="20"/>
                <w:szCs w:val="20"/>
              </w:rPr>
            </w:pPr>
            <w:r w:rsidRPr="00316FD2">
              <w:rPr>
                <w:rFonts w:ascii="Arial" w:hAnsi="Arial" w:cs="Arial"/>
                <w:sz w:val="20"/>
                <w:szCs w:val="20"/>
              </w:rPr>
              <w:t>Kent and Medway</w:t>
            </w:r>
          </w:p>
        </w:tc>
        <w:tc>
          <w:tcPr>
            <w:tcW w:w="3260" w:type="dxa"/>
            <w:hideMark/>
          </w:tcPr>
          <w:p w14:paraId="770A4331" w14:textId="2D40B127" w:rsidR="00622090" w:rsidRPr="00316FD2" w:rsidRDefault="00622090">
            <w:pPr>
              <w:rPr>
                <w:rFonts w:ascii="Arial" w:hAnsi="Arial" w:cs="Arial"/>
                <w:sz w:val="20"/>
                <w:szCs w:val="20"/>
              </w:rPr>
            </w:pPr>
            <w:r w:rsidRPr="00316FD2">
              <w:rPr>
                <w:rFonts w:ascii="Arial" w:hAnsi="Arial" w:cs="Arial"/>
                <w:sz w:val="20"/>
                <w:szCs w:val="20"/>
              </w:rPr>
              <w:t xml:space="preserve">Maidstone Borough Council, Kent </w:t>
            </w:r>
            <w:r>
              <w:rPr>
                <w:rFonts w:ascii="Arial" w:hAnsi="Arial" w:cs="Arial"/>
                <w:sz w:val="20"/>
                <w:szCs w:val="20"/>
              </w:rPr>
              <w:t>C</w:t>
            </w:r>
            <w:r w:rsidRPr="00316FD2">
              <w:rPr>
                <w:rFonts w:ascii="Arial" w:hAnsi="Arial" w:cs="Arial"/>
                <w:sz w:val="20"/>
                <w:szCs w:val="20"/>
              </w:rPr>
              <w:t xml:space="preserve">ounty </w:t>
            </w:r>
            <w:r>
              <w:rPr>
                <w:rFonts w:ascii="Arial" w:hAnsi="Arial" w:cs="Arial"/>
                <w:sz w:val="20"/>
                <w:szCs w:val="20"/>
              </w:rPr>
              <w:t>C</w:t>
            </w:r>
            <w:r w:rsidRPr="00316FD2">
              <w:rPr>
                <w:rFonts w:ascii="Arial" w:hAnsi="Arial" w:cs="Arial"/>
                <w:sz w:val="20"/>
                <w:szCs w:val="20"/>
              </w:rPr>
              <w:t>ouncil, Medway Unitary Authority, Ashford Borough Council, Canterbury City Council, Dartford Borough Council, Dover District Council, Gravesham Borough Council, Sevenoaks District Council, Shepway</w:t>
            </w:r>
            <w:r>
              <w:rPr>
                <w:rFonts w:ascii="Arial" w:hAnsi="Arial" w:cs="Arial"/>
                <w:sz w:val="20"/>
                <w:szCs w:val="20"/>
              </w:rPr>
              <w:t xml:space="preserve"> District Council</w:t>
            </w:r>
            <w:r w:rsidRPr="00316FD2">
              <w:rPr>
                <w:rFonts w:ascii="Arial" w:hAnsi="Arial" w:cs="Arial"/>
                <w:sz w:val="20"/>
                <w:szCs w:val="20"/>
              </w:rPr>
              <w:t xml:space="preserve">,  Swale Borough Council, Thanet District Council, Tonbridge &amp; </w:t>
            </w:r>
            <w:proofErr w:type="spellStart"/>
            <w:r w:rsidRPr="00316FD2">
              <w:rPr>
                <w:rFonts w:ascii="Arial" w:hAnsi="Arial" w:cs="Arial"/>
                <w:sz w:val="20"/>
                <w:szCs w:val="20"/>
              </w:rPr>
              <w:t>Malling</w:t>
            </w:r>
            <w:proofErr w:type="spellEnd"/>
            <w:r w:rsidRPr="00316FD2">
              <w:rPr>
                <w:rFonts w:ascii="Arial" w:hAnsi="Arial" w:cs="Arial"/>
                <w:sz w:val="20"/>
                <w:szCs w:val="20"/>
              </w:rPr>
              <w:t xml:space="preserve"> </w:t>
            </w:r>
            <w:r>
              <w:rPr>
                <w:rFonts w:ascii="Arial" w:hAnsi="Arial" w:cs="Arial"/>
                <w:sz w:val="20"/>
                <w:szCs w:val="20"/>
              </w:rPr>
              <w:t>Borough</w:t>
            </w:r>
            <w:r w:rsidRPr="00316FD2">
              <w:rPr>
                <w:rFonts w:ascii="Arial" w:hAnsi="Arial" w:cs="Arial"/>
                <w:sz w:val="20"/>
                <w:szCs w:val="20"/>
              </w:rPr>
              <w:t xml:space="preserve"> Council, Tunbridge Wells Borough Council, Kent &amp; Medway Fire</w:t>
            </w:r>
            <w:r>
              <w:rPr>
                <w:rFonts w:ascii="Arial" w:hAnsi="Arial" w:cs="Arial"/>
                <w:sz w:val="20"/>
                <w:szCs w:val="20"/>
              </w:rPr>
              <w:t xml:space="preserve"> &amp; Rescue </w:t>
            </w:r>
            <w:r>
              <w:rPr>
                <w:rFonts w:ascii="Arial" w:hAnsi="Arial" w:cs="Arial"/>
                <w:sz w:val="20"/>
                <w:szCs w:val="20"/>
              </w:rPr>
              <w:lastRenderedPageBreak/>
              <w:t>Authority</w:t>
            </w:r>
          </w:p>
        </w:tc>
        <w:tc>
          <w:tcPr>
            <w:tcW w:w="4253" w:type="dxa"/>
          </w:tcPr>
          <w:p w14:paraId="0E4C684C" w14:textId="0C0477B8" w:rsidR="00622090" w:rsidRPr="00244505" w:rsidRDefault="00622090" w:rsidP="006B0F40">
            <w:pPr>
              <w:rPr>
                <w:rFonts w:ascii="Arial" w:hAnsi="Arial" w:cs="Arial"/>
                <w:color w:val="FF0000"/>
                <w:sz w:val="20"/>
                <w:szCs w:val="20"/>
              </w:rPr>
            </w:pPr>
            <w:r w:rsidRPr="00316FD2">
              <w:rPr>
                <w:rFonts w:ascii="Arial" w:hAnsi="Arial" w:cs="Arial"/>
                <w:sz w:val="20"/>
                <w:szCs w:val="20"/>
              </w:rPr>
              <w:lastRenderedPageBreak/>
              <w:t xml:space="preserve">Individual authorities guaranteed the income they would have received from 50% rates retention. Of the remaining "gains", 70% will go to a Financial Sustainability Fund and 30% to a Housing and Commercial Growth Fund.  Each district will be entitled to a minimum £250K from the Financial Sustainability Fund.  Medway and Kent will receive a share equal to the aggregate of the district allocation (split between them on the basis of population. Initial distributions will be uplifted on the basis of population growth between 2011 and 2016 and on each </w:t>
            </w:r>
            <w:r w:rsidRPr="00316FD2">
              <w:rPr>
                <w:rFonts w:ascii="Arial" w:hAnsi="Arial" w:cs="Arial"/>
                <w:sz w:val="20"/>
                <w:szCs w:val="20"/>
              </w:rPr>
              <w:lastRenderedPageBreak/>
              <w:t>authority's contribution to growth. The Housing and Growth Fund will be allocated to each of three "economic clusters" and distributed according to the joint decision of the authorities in each cluster.</w:t>
            </w:r>
          </w:p>
        </w:tc>
        <w:tc>
          <w:tcPr>
            <w:tcW w:w="1842" w:type="dxa"/>
          </w:tcPr>
          <w:p w14:paraId="76D692D7" w14:textId="78163179" w:rsidR="00622090" w:rsidRPr="00244505" w:rsidRDefault="00622090" w:rsidP="003028CA">
            <w:pPr>
              <w:rPr>
                <w:rFonts w:ascii="Arial" w:hAnsi="Arial" w:cs="Arial"/>
                <w:color w:val="FF0000"/>
                <w:sz w:val="20"/>
                <w:szCs w:val="20"/>
              </w:rPr>
            </w:pPr>
            <w:r w:rsidRPr="00316FD2">
              <w:rPr>
                <w:rFonts w:ascii="Arial" w:hAnsi="Arial" w:cs="Arial"/>
                <w:sz w:val="20"/>
                <w:szCs w:val="20"/>
              </w:rPr>
              <w:lastRenderedPageBreak/>
              <w:t xml:space="preserve">59% for Kent CC, 40% for districts, </w:t>
            </w:r>
            <w:r>
              <w:rPr>
                <w:rFonts w:ascii="Arial" w:hAnsi="Arial" w:cs="Arial"/>
                <w:sz w:val="20"/>
                <w:szCs w:val="20"/>
              </w:rPr>
              <w:t xml:space="preserve">99% for </w:t>
            </w:r>
            <w:r w:rsidRPr="00316FD2">
              <w:rPr>
                <w:rFonts w:ascii="Arial" w:hAnsi="Arial" w:cs="Arial"/>
                <w:sz w:val="20"/>
                <w:szCs w:val="20"/>
              </w:rPr>
              <w:t>Medway</w:t>
            </w:r>
            <w:r>
              <w:rPr>
                <w:rFonts w:ascii="Arial" w:hAnsi="Arial" w:cs="Arial"/>
                <w:sz w:val="20"/>
                <w:szCs w:val="20"/>
              </w:rPr>
              <w:t>, 1% for FRS</w:t>
            </w:r>
          </w:p>
        </w:tc>
      </w:tr>
      <w:tr w:rsidR="007E3AF5" w:rsidRPr="00757DDF" w14:paraId="00480108" w14:textId="10DD59D9" w:rsidTr="007E3AF5">
        <w:trPr>
          <w:trHeight w:val="48"/>
        </w:trPr>
        <w:tc>
          <w:tcPr>
            <w:tcW w:w="1702" w:type="dxa"/>
            <w:noWrap/>
            <w:hideMark/>
          </w:tcPr>
          <w:p w14:paraId="7E7F45AD" w14:textId="77777777" w:rsidR="007E60C8" w:rsidRPr="00316FD2" w:rsidRDefault="007E60C8">
            <w:pPr>
              <w:rPr>
                <w:rFonts w:ascii="Arial" w:hAnsi="Arial" w:cs="Arial"/>
                <w:sz w:val="20"/>
                <w:szCs w:val="20"/>
              </w:rPr>
            </w:pPr>
            <w:r w:rsidRPr="00316FD2">
              <w:rPr>
                <w:rFonts w:ascii="Arial" w:hAnsi="Arial" w:cs="Arial"/>
                <w:sz w:val="20"/>
                <w:szCs w:val="20"/>
              </w:rPr>
              <w:lastRenderedPageBreak/>
              <w:t>Leeds City Region</w:t>
            </w:r>
          </w:p>
        </w:tc>
        <w:tc>
          <w:tcPr>
            <w:tcW w:w="3260" w:type="dxa"/>
            <w:hideMark/>
          </w:tcPr>
          <w:p w14:paraId="73A0F0EF" w14:textId="77777777" w:rsidR="007E60C8" w:rsidRPr="00316FD2" w:rsidRDefault="007E60C8">
            <w:pPr>
              <w:rPr>
                <w:rFonts w:ascii="Arial" w:hAnsi="Arial" w:cs="Arial"/>
                <w:sz w:val="20"/>
                <w:szCs w:val="20"/>
              </w:rPr>
            </w:pPr>
            <w:r w:rsidRPr="00316FD2">
              <w:rPr>
                <w:rFonts w:ascii="Arial" w:hAnsi="Arial" w:cs="Arial"/>
                <w:sz w:val="20"/>
                <w:szCs w:val="20"/>
              </w:rPr>
              <w:t>City of Bradford Metropolitan District Council, Calderdale Metropolitan Borough Council, Harrogate Borough Council, Kirklees Metropolitan Council, Leeds City Council, Wakefield Metropolitan District Council, City of York Council</w:t>
            </w:r>
          </w:p>
        </w:tc>
        <w:tc>
          <w:tcPr>
            <w:tcW w:w="4253" w:type="dxa"/>
          </w:tcPr>
          <w:p w14:paraId="42870F13" w14:textId="04DA7605" w:rsidR="007E60C8" w:rsidRPr="00244505" w:rsidRDefault="00BC3224">
            <w:pPr>
              <w:rPr>
                <w:rFonts w:ascii="Arial" w:hAnsi="Arial" w:cs="Arial"/>
                <w:color w:val="FF0000"/>
                <w:sz w:val="20"/>
                <w:szCs w:val="20"/>
              </w:rPr>
            </w:pPr>
            <w:r w:rsidRPr="00BC3224">
              <w:rPr>
                <w:rFonts w:ascii="Arial" w:hAnsi="Arial" w:cs="Arial"/>
                <w:sz w:val="20"/>
                <w:szCs w:val="20"/>
              </w:rPr>
              <w:t>50% of the ‘gains’ to be retained by the Pool and 50% distributed to member authorities; half in proportion to the growth achieved by individual authorities and half pro rata to population. The Pool's 50% will be used to support regional growth, with decisions on use of funds to be taken by a joint committee of council leaders. Additionally, individual authorities have guaranteed the income they would have received from 50% rates retention.</w:t>
            </w:r>
          </w:p>
        </w:tc>
        <w:tc>
          <w:tcPr>
            <w:tcW w:w="1842" w:type="dxa"/>
          </w:tcPr>
          <w:p w14:paraId="54A47ABB" w14:textId="77777777" w:rsidR="00C35107" w:rsidRPr="00244505" w:rsidRDefault="007E60C8" w:rsidP="003028CA">
            <w:pPr>
              <w:rPr>
                <w:rFonts w:ascii="Arial" w:hAnsi="Arial" w:cs="Arial"/>
                <w:sz w:val="20"/>
                <w:szCs w:val="20"/>
              </w:rPr>
            </w:pPr>
            <w:r w:rsidRPr="00244505">
              <w:rPr>
                <w:rFonts w:ascii="Arial" w:hAnsi="Arial" w:cs="Arial"/>
                <w:sz w:val="20"/>
                <w:szCs w:val="20"/>
              </w:rPr>
              <w:t>90% for Harrogate</w:t>
            </w:r>
            <w:r w:rsidR="003028CA" w:rsidRPr="00244505">
              <w:rPr>
                <w:rFonts w:ascii="Arial" w:hAnsi="Arial" w:cs="Arial"/>
                <w:sz w:val="20"/>
                <w:szCs w:val="20"/>
              </w:rPr>
              <w:t xml:space="preserve"> with 9% to North Yorkshire County Council</w:t>
            </w:r>
            <w:r w:rsidRPr="00244505">
              <w:rPr>
                <w:rFonts w:ascii="Arial" w:hAnsi="Arial" w:cs="Arial"/>
                <w:sz w:val="20"/>
                <w:szCs w:val="20"/>
              </w:rPr>
              <w:t xml:space="preserve">, </w:t>
            </w:r>
          </w:p>
          <w:p w14:paraId="737E68A9" w14:textId="77777777" w:rsidR="00C35107" w:rsidRPr="00244505" w:rsidRDefault="007E60C8" w:rsidP="003028CA">
            <w:pPr>
              <w:rPr>
                <w:rFonts w:ascii="Arial" w:hAnsi="Arial" w:cs="Arial"/>
                <w:sz w:val="20"/>
                <w:szCs w:val="20"/>
              </w:rPr>
            </w:pPr>
            <w:r w:rsidRPr="00244505">
              <w:rPr>
                <w:rFonts w:ascii="Arial" w:hAnsi="Arial" w:cs="Arial"/>
                <w:sz w:val="20"/>
                <w:szCs w:val="20"/>
              </w:rPr>
              <w:t>99% for other authorities</w:t>
            </w:r>
            <w:r w:rsidR="003028CA" w:rsidRPr="00244505">
              <w:rPr>
                <w:rFonts w:ascii="Arial" w:hAnsi="Arial" w:cs="Arial"/>
                <w:sz w:val="20"/>
                <w:szCs w:val="20"/>
              </w:rPr>
              <w:t xml:space="preserve">, </w:t>
            </w:r>
          </w:p>
          <w:p w14:paraId="16CCA2BD" w14:textId="538203B2" w:rsidR="007E60C8" w:rsidRPr="00244505" w:rsidRDefault="003028CA" w:rsidP="003028CA">
            <w:pPr>
              <w:rPr>
                <w:rFonts w:ascii="Arial" w:hAnsi="Arial" w:cs="Arial"/>
                <w:sz w:val="20"/>
                <w:szCs w:val="20"/>
              </w:rPr>
            </w:pPr>
            <w:r w:rsidRPr="00244505">
              <w:rPr>
                <w:rFonts w:ascii="Arial" w:hAnsi="Arial" w:cs="Arial"/>
                <w:sz w:val="20"/>
                <w:szCs w:val="20"/>
              </w:rPr>
              <w:t>1% for FRS</w:t>
            </w:r>
          </w:p>
        </w:tc>
      </w:tr>
      <w:tr w:rsidR="007E3AF5" w:rsidRPr="00757DDF" w14:paraId="336E3104" w14:textId="71F05022" w:rsidTr="007E3AF5">
        <w:trPr>
          <w:trHeight w:val="48"/>
        </w:trPr>
        <w:tc>
          <w:tcPr>
            <w:tcW w:w="1702" w:type="dxa"/>
            <w:noWrap/>
            <w:hideMark/>
          </w:tcPr>
          <w:p w14:paraId="655C3B4A" w14:textId="77777777" w:rsidR="007E60C8" w:rsidRPr="00316FD2" w:rsidRDefault="007E60C8">
            <w:pPr>
              <w:rPr>
                <w:rFonts w:ascii="Arial" w:hAnsi="Arial" w:cs="Arial"/>
                <w:sz w:val="20"/>
                <w:szCs w:val="20"/>
              </w:rPr>
            </w:pPr>
            <w:r w:rsidRPr="00316FD2">
              <w:rPr>
                <w:rFonts w:ascii="Arial" w:hAnsi="Arial" w:cs="Arial"/>
                <w:sz w:val="20"/>
                <w:szCs w:val="20"/>
              </w:rPr>
              <w:t>Lincolnshire</w:t>
            </w:r>
          </w:p>
        </w:tc>
        <w:tc>
          <w:tcPr>
            <w:tcW w:w="3260" w:type="dxa"/>
            <w:hideMark/>
          </w:tcPr>
          <w:p w14:paraId="1E5B663F" w14:textId="77777777" w:rsidR="007E60C8" w:rsidRPr="00316FD2" w:rsidRDefault="007E60C8">
            <w:pPr>
              <w:rPr>
                <w:rFonts w:ascii="Arial" w:hAnsi="Arial" w:cs="Arial"/>
                <w:sz w:val="20"/>
                <w:szCs w:val="20"/>
              </w:rPr>
            </w:pPr>
            <w:r w:rsidRPr="00316FD2">
              <w:rPr>
                <w:rFonts w:ascii="Arial" w:hAnsi="Arial" w:cs="Arial"/>
                <w:sz w:val="20"/>
                <w:szCs w:val="20"/>
              </w:rPr>
              <w:t xml:space="preserve">Boston Borough Council, East Lindsey District Council, Lincoln City Council, Lincolnshire County Council, North </w:t>
            </w:r>
            <w:proofErr w:type="spellStart"/>
            <w:r w:rsidRPr="00316FD2">
              <w:rPr>
                <w:rFonts w:ascii="Arial" w:hAnsi="Arial" w:cs="Arial"/>
                <w:sz w:val="20"/>
                <w:szCs w:val="20"/>
              </w:rPr>
              <w:t>Kesteven</w:t>
            </w:r>
            <w:proofErr w:type="spellEnd"/>
            <w:r w:rsidRPr="00316FD2">
              <w:rPr>
                <w:rFonts w:ascii="Arial" w:hAnsi="Arial" w:cs="Arial"/>
                <w:sz w:val="20"/>
                <w:szCs w:val="20"/>
              </w:rPr>
              <w:t xml:space="preserve"> District Council, South Holland District Council, South </w:t>
            </w:r>
            <w:proofErr w:type="spellStart"/>
            <w:r w:rsidRPr="00316FD2">
              <w:rPr>
                <w:rFonts w:ascii="Arial" w:hAnsi="Arial" w:cs="Arial"/>
                <w:sz w:val="20"/>
                <w:szCs w:val="20"/>
              </w:rPr>
              <w:t>Kesteven</w:t>
            </w:r>
            <w:proofErr w:type="spellEnd"/>
            <w:r w:rsidRPr="00316FD2">
              <w:rPr>
                <w:rFonts w:ascii="Arial" w:hAnsi="Arial" w:cs="Arial"/>
                <w:sz w:val="20"/>
                <w:szCs w:val="20"/>
              </w:rPr>
              <w:t xml:space="preserve"> District Council, West Lindsey District Council, North Lincolnshire Council</w:t>
            </w:r>
          </w:p>
        </w:tc>
        <w:tc>
          <w:tcPr>
            <w:tcW w:w="4253" w:type="dxa"/>
          </w:tcPr>
          <w:p w14:paraId="6994629B" w14:textId="3B5CE6F5" w:rsidR="007E60C8" w:rsidRPr="00217D08" w:rsidRDefault="00316FD2" w:rsidP="001715EA">
            <w:pPr>
              <w:rPr>
                <w:rFonts w:ascii="Arial" w:hAnsi="Arial" w:cs="Arial"/>
                <w:sz w:val="20"/>
                <w:szCs w:val="20"/>
              </w:rPr>
            </w:pPr>
            <w:r w:rsidRPr="00217D08">
              <w:rPr>
                <w:rFonts w:ascii="Arial" w:hAnsi="Arial" w:cs="Arial"/>
                <w:sz w:val="20"/>
                <w:szCs w:val="20"/>
              </w:rPr>
              <w:t xml:space="preserve">Individual authorities guaranteed the income they would have received from 50% rates retention. The remaining "gains" are distributed </w:t>
            </w:r>
            <w:r w:rsidR="001715EA" w:rsidRPr="00217D08">
              <w:rPr>
                <w:rFonts w:ascii="Arial" w:hAnsi="Arial" w:cs="Arial"/>
                <w:sz w:val="20"/>
                <w:szCs w:val="20"/>
              </w:rPr>
              <w:t>according to the tier split.</w:t>
            </w:r>
          </w:p>
        </w:tc>
        <w:tc>
          <w:tcPr>
            <w:tcW w:w="1842" w:type="dxa"/>
          </w:tcPr>
          <w:p w14:paraId="2B3F10E1" w14:textId="76635B8F" w:rsidR="007E60C8" w:rsidRPr="00217D08" w:rsidRDefault="007E60C8" w:rsidP="002D1A31">
            <w:pPr>
              <w:rPr>
                <w:rFonts w:ascii="Arial" w:hAnsi="Arial" w:cs="Arial"/>
                <w:sz w:val="20"/>
                <w:szCs w:val="20"/>
              </w:rPr>
            </w:pPr>
            <w:r w:rsidRPr="00217D08">
              <w:rPr>
                <w:rFonts w:ascii="Arial" w:hAnsi="Arial" w:cs="Arial"/>
                <w:sz w:val="20"/>
                <w:szCs w:val="20"/>
              </w:rPr>
              <w:t>40% for Lincolnshire CC, 60% for districts, 99%</w:t>
            </w:r>
            <w:r w:rsidR="003028CA" w:rsidRPr="00217D08">
              <w:rPr>
                <w:rFonts w:ascii="Arial" w:hAnsi="Arial" w:cs="Arial"/>
                <w:sz w:val="20"/>
                <w:szCs w:val="20"/>
              </w:rPr>
              <w:t xml:space="preserve"> to 1% between </w:t>
            </w:r>
            <w:r w:rsidRPr="00217D08">
              <w:rPr>
                <w:rFonts w:ascii="Arial" w:hAnsi="Arial" w:cs="Arial"/>
                <w:sz w:val="20"/>
                <w:szCs w:val="20"/>
              </w:rPr>
              <w:t>North Lincolnshire</w:t>
            </w:r>
            <w:r w:rsidR="003028CA" w:rsidRPr="00217D08">
              <w:rPr>
                <w:rFonts w:ascii="Arial" w:hAnsi="Arial" w:cs="Arial"/>
                <w:sz w:val="20"/>
                <w:szCs w:val="20"/>
              </w:rPr>
              <w:t xml:space="preserve"> and FRS</w:t>
            </w:r>
            <w:r w:rsidRPr="00217D08">
              <w:rPr>
                <w:rFonts w:ascii="Arial" w:hAnsi="Arial" w:cs="Arial"/>
                <w:sz w:val="20"/>
                <w:szCs w:val="20"/>
              </w:rPr>
              <w:t xml:space="preserve">, </w:t>
            </w:r>
          </w:p>
        </w:tc>
      </w:tr>
      <w:tr w:rsidR="007E3AF5" w:rsidRPr="00757DDF" w14:paraId="11F63BC5" w14:textId="77356030" w:rsidTr="007E3AF5">
        <w:trPr>
          <w:trHeight w:val="31"/>
        </w:trPr>
        <w:tc>
          <w:tcPr>
            <w:tcW w:w="1702" w:type="dxa"/>
            <w:noWrap/>
            <w:hideMark/>
          </w:tcPr>
          <w:p w14:paraId="255B2DC9" w14:textId="77777777" w:rsidR="007E60C8" w:rsidRPr="00316FD2" w:rsidRDefault="007E60C8">
            <w:pPr>
              <w:rPr>
                <w:rFonts w:ascii="Arial" w:hAnsi="Arial" w:cs="Arial"/>
                <w:sz w:val="20"/>
                <w:szCs w:val="20"/>
              </w:rPr>
            </w:pPr>
            <w:r w:rsidRPr="00316FD2">
              <w:rPr>
                <w:rFonts w:ascii="Arial" w:hAnsi="Arial" w:cs="Arial"/>
                <w:sz w:val="20"/>
                <w:szCs w:val="20"/>
              </w:rPr>
              <w:t>Solent Authorities</w:t>
            </w:r>
          </w:p>
        </w:tc>
        <w:tc>
          <w:tcPr>
            <w:tcW w:w="3260" w:type="dxa"/>
            <w:hideMark/>
          </w:tcPr>
          <w:p w14:paraId="35F84EDD" w14:textId="77777777" w:rsidR="007E60C8" w:rsidRPr="00316FD2" w:rsidRDefault="007E60C8">
            <w:pPr>
              <w:rPr>
                <w:rFonts w:ascii="Arial" w:hAnsi="Arial" w:cs="Arial"/>
                <w:sz w:val="20"/>
                <w:szCs w:val="20"/>
              </w:rPr>
            </w:pPr>
            <w:r w:rsidRPr="00316FD2">
              <w:rPr>
                <w:rFonts w:ascii="Arial" w:hAnsi="Arial" w:cs="Arial"/>
                <w:sz w:val="20"/>
                <w:szCs w:val="20"/>
              </w:rPr>
              <w:t>Portsmouth City Council, Isle of Wight Council, Southampton City Council</w:t>
            </w:r>
          </w:p>
        </w:tc>
        <w:tc>
          <w:tcPr>
            <w:tcW w:w="4253" w:type="dxa"/>
          </w:tcPr>
          <w:p w14:paraId="62DB2FA5" w14:textId="1A3C8DA9" w:rsidR="007E60C8" w:rsidRPr="008E6870" w:rsidRDefault="00316FD2">
            <w:pPr>
              <w:rPr>
                <w:rFonts w:ascii="Arial" w:hAnsi="Arial" w:cs="Arial"/>
                <w:sz w:val="20"/>
                <w:szCs w:val="20"/>
              </w:rPr>
            </w:pPr>
            <w:r w:rsidRPr="008E6870">
              <w:rPr>
                <w:rFonts w:ascii="Arial" w:hAnsi="Arial" w:cs="Arial"/>
                <w:sz w:val="20"/>
                <w:szCs w:val="20"/>
              </w:rPr>
              <w:t>Individual authorities guaranteed the income they would have received from 50% rates retention. Of the remaining "gains" 60% will be allocated to a Needs Pot, 30% to a Growth and Productivity Pot and 10% to a Financial Stability Pot.  The Needs Pot will be allocated to authorities pro rata to baseline funding levels. The Growth and Productivity Pot will be used to support growth across Solent based on decisions of the Governance Board, comprising of leaders of the three councils.  Losses in income from one year to the next will trigger a payment from the Financial Stability Pot.</w:t>
            </w:r>
          </w:p>
        </w:tc>
        <w:tc>
          <w:tcPr>
            <w:tcW w:w="1842" w:type="dxa"/>
          </w:tcPr>
          <w:p w14:paraId="76150D4F" w14:textId="77777777" w:rsidR="001715EA" w:rsidRPr="008E6870" w:rsidRDefault="007E60C8">
            <w:pPr>
              <w:rPr>
                <w:rFonts w:ascii="Arial" w:hAnsi="Arial" w:cs="Arial"/>
                <w:sz w:val="20"/>
                <w:szCs w:val="20"/>
              </w:rPr>
            </w:pPr>
            <w:r w:rsidRPr="008E6870">
              <w:rPr>
                <w:rFonts w:ascii="Arial" w:hAnsi="Arial" w:cs="Arial"/>
                <w:sz w:val="20"/>
                <w:szCs w:val="20"/>
              </w:rPr>
              <w:t>99% for Portsmouth and Southampton;</w:t>
            </w:r>
          </w:p>
          <w:p w14:paraId="12FA720E" w14:textId="77777777" w:rsidR="001715EA" w:rsidRPr="00BC3224" w:rsidRDefault="001715EA">
            <w:pPr>
              <w:rPr>
                <w:rFonts w:ascii="Arial" w:hAnsi="Arial" w:cs="Arial"/>
                <w:sz w:val="20"/>
                <w:szCs w:val="20"/>
              </w:rPr>
            </w:pPr>
            <w:r w:rsidRPr="00BC3224">
              <w:rPr>
                <w:rFonts w:ascii="Arial" w:hAnsi="Arial" w:cs="Arial"/>
                <w:sz w:val="20"/>
                <w:szCs w:val="20"/>
              </w:rPr>
              <w:t>1% going to the FRS,</w:t>
            </w:r>
          </w:p>
          <w:p w14:paraId="55B8043A" w14:textId="7EF688B1" w:rsidR="007E60C8" w:rsidRPr="00BC3224" w:rsidRDefault="007E60C8">
            <w:pPr>
              <w:rPr>
                <w:rFonts w:ascii="Arial" w:hAnsi="Arial" w:cs="Arial"/>
                <w:sz w:val="20"/>
                <w:szCs w:val="20"/>
              </w:rPr>
            </w:pPr>
            <w:r w:rsidRPr="00BC3224">
              <w:rPr>
                <w:rFonts w:ascii="Arial" w:hAnsi="Arial" w:cs="Arial"/>
                <w:sz w:val="20"/>
                <w:szCs w:val="20"/>
              </w:rPr>
              <w:t xml:space="preserve">100% for Isle of Wight </w:t>
            </w:r>
          </w:p>
        </w:tc>
      </w:tr>
      <w:tr w:rsidR="007E3AF5" w:rsidRPr="00757DDF" w14:paraId="595D008C" w14:textId="3C5D9F82" w:rsidTr="007E3AF5">
        <w:trPr>
          <w:trHeight w:val="48"/>
        </w:trPr>
        <w:tc>
          <w:tcPr>
            <w:tcW w:w="1702" w:type="dxa"/>
            <w:noWrap/>
            <w:hideMark/>
          </w:tcPr>
          <w:p w14:paraId="2E5FB2FC" w14:textId="2CF6465F" w:rsidR="007E60C8" w:rsidRPr="00316FD2" w:rsidRDefault="007E60C8">
            <w:pPr>
              <w:rPr>
                <w:rFonts w:ascii="Arial" w:hAnsi="Arial" w:cs="Arial"/>
                <w:sz w:val="20"/>
                <w:szCs w:val="20"/>
              </w:rPr>
            </w:pPr>
            <w:r w:rsidRPr="00316FD2">
              <w:rPr>
                <w:rFonts w:ascii="Arial" w:hAnsi="Arial" w:cs="Arial"/>
                <w:sz w:val="20"/>
                <w:szCs w:val="20"/>
              </w:rPr>
              <w:t>Suffolk</w:t>
            </w:r>
          </w:p>
        </w:tc>
        <w:tc>
          <w:tcPr>
            <w:tcW w:w="3260" w:type="dxa"/>
            <w:hideMark/>
          </w:tcPr>
          <w:p w14:paraId="28622CCA" w14:textId="77777777" w:rsidR="007E60C8" w:rsidRPr="00316FD2" w:rsidRDefault="007E60C8">
            <w:pPr>
              <w:rPr>
                <w:rFonts w:ascii="Arial" w:hAnsi="Arial" w:cs="Arial"/>
                <w:sz w:val="20"/>
                <w:szCs w:val="20"/>
              </w:rPr>
            </w:pPr>
            <w:r w:rsidRPr="00316FD2">
              <w:rPr>
                <w:rFonts w:ascii="Arial" w:hAnsi="Arial" w:cs="Arial"/>
                <w:sz w:val="20"/>
                <w:szCs w:val="20"/>
              </w:rPr>
              <w:t xml:space="preserve">Suffolk County Council, </w:t>
            </w:r>
            <w:proofErr w:type="spellStart"/>
            <w:r w:rsidRPr="00316FD2">
              <w:rPr>
                <w:rFonts w:ascii="Arial" w:hAnsi="Arial" w:cs="Arial"/>
                <w:sz w:val="20"/>
                <w:szCs w:val="20"/>
              </w:rPr>
              <w:t>Babergh</w:t>
            </w:r>
            <w:proofErr w:type="spellEnd"/>
            <w:r w:rsidRPr="00316FD2">
              <w:rPr>
                <w:rFonts w:ascii="Arial" w:hAnsi="Arial" w:cs="Arial"/>
                <w:sz w:val="20"/>
                <w:szCs w:val="20"/>
              </w:rPr>
              <w:t xml:space="preserve"> District Council, Forest Heath District Council, Ipswich Borough Council, Mid Suffolk District Council, St </w:t>
            </w:r>
            <w:proofErr w:type="spellStart"/>
            <w:r w:rsidRPr="00316FD2">
              <w:rPr>
                <w:rFonts w:ascii="Arial" w:hAnsi="Arial" w:cs="Arial"/>
                <w:sz w:val="20"/>
                <w:szCs w:val="20"/>
              </w:rPr>
              <w:t>Edmunsbury</w:t>
            </w:r>
            <w:proofErr w:type="spellEnd"/>
            <w:r w:rsidRPr="00316FD2">
              <w:rPr>
                <w:rFonts w:ascii="Arial" w:hAnsi="Arial" w:cs="Arial"/>
                <w:sz w:val="20"/>
                <w:szCs w:val="20"/>
              </w:rPr>
              <w:t xml:space="preserve"> District Council, Suffolk Coastal District Council, Waveney District Council</w:t>
            </w:r>
          </w:p>
        </w:tc>
        <w:tc>
          <w:tcPr>
            <w:tcW w:w="4253" w:type="dxa"/>
          </w:tcPr>
          <w:p w14:paraId="1FA2D692" w14:textId="77777777" w:rsidR="00BC3224" w:rsidRPr="00BC3224" w:rsidRDefault="00BC3224" w:rsidP="00BC3224">
            <w:pPr>
              <w:rPr>
                <w:rFonts w:ascii="Arial" w:hAnsi="Arial" w:cs="Arial"/>
                <w:sz w:val="20"/>
                <w:szCs w:val="20"/>
              </w:rPr>
            </w:pPr>
            <w:r w:rsidRPr="00BC3224">
              <w:rPr>
                <w:rFonts w:ascii="Arial" w:hAnsi="Arial" w:cs="Arial"/>
                <w:sz w:val="20"/>
                <w:szCs w:val="20"/>
              </w:rPr>
              <w:t xml:space="preserve">First 50% of business rates split as currently: 80:20 between districts and county.  </w:t>
            </w:r>
          </w:p>
          <w:p w14:paraId="450E5A9B" w14:textId="77777777" w:rsidR="00BC3224" w:rsidRPr="00BC3224" w:rsidRDefault="00BC3224" w:rsidP="00BC3224">
            <w:pPr>
              <w:rPr>
                <w:rFonts w:ascii="Arial" w:hAnsi="Arial" w:cs="Arial"/>
                <w:sz w:val="20"/>
                <w:szCs w:val="20"/>
              </w:rPr>
            </w:pPr>
          </w:p>
          <w:p w14:paraId="4B2F76B5" w14:textId="5BFF3EE4" w:rsidR="00BC3224" w:rsidRPr="00BC3224" w:rsidRDefault="00BC3224" w:rsidP="00BC3224">
            <w:pPr>
              <w:rPr>
                <w:rFonts w:ascii="Arial" w:hAnsi="Arial" w:cs="Arial"/>
                <w:sz w:val="20"/>
                <w:szCs w:val="20"/>
              </w:rPr>
            </w:pPr>
            <w:r w:rsidRPr="00BC3224">
              <w:rPr>
                <w:rFonts w:ascii="Arial" w:hAnsi="Arial" w:cs="Arial"/>
                <w:sz w:val="20"/>
                <w:szCs w:val="20"/>
              </w:rPr>
              <w:t>Of the "gain" on the first 50% (defined as the levy saving that is achieved by being a pool) , the first £1m will be split 50:50 between the districts and Suffolk Public Sector Leaders (SPSL).  Any remaining balance will be split 40:40:20 between the d</w:t>
            </w:r>
            <w:r w:rsidR="00401F51">
              <w:rPr>
                <w:rFonts w:ascii="Arial" w:hAnsi="Arial" w:cs="Arial"/>
                <w:sz w:val="20"/>
                <w:szCs w:val="20"/>
              </w:rPr>
              <w:t xml:space="preserve">istricts, SPSL and the county. </w:t>
            </w:r>
          </w:p>
          <w:p w14:paraId="112B21C1" w14:textId="321EA9A2" w:rsidR="007E60C8" w:rsidRPr="00244505" w:rsidRDefault="00BC3224" w:rsidP="00BC3224">
            <w:pPr>
              <w:rPr>
                <w:rFonts w:ascii="Arial" w:hAnsi="Arial" w:cs="Arial"/>
                <w:color w:val="FF0000"/>
                <w:sz w:val="20"/>
                <w:szCs w:val="20"/>
              </w:rPr>
            </w:pPr>
            <w:r w:rsidRPr="00BC3224">
              <w:rPr>
                <w:rFonts w:ascii="Arial" w:hAnsi="Arial" w:cs="Arial"/>
                <w:sz w:val="20"/>
                <w:szCs w:val="20"/>
              </w:rPr>
              <w:t xml:space="preserve">Of the additional retained Business Rates under the pilot: £1m will be set aside as a "safety net". The remaining balance will be a place based distribution to encourage inclusive growth – (growth that benefits as many local people as possible).  This will be divided across the interconnected functional economic areas as: West Suffolk, East Suffolk, Ipswich and Central Suffolk based on </w:t>
            </w:r>
            <w:r w:rsidRPr="00BC3224">
              <w:rPr>
                <w:rFonts w:ascii="Arial" w:hAnsi="Arial" w:cs="Arial"/>
                <w:sz w:val="20"/>
                <w:szCs w:val="20"/>
              </w:rPr>
              <w:lastRenderedPageBreak/>
              <w:t>growth and population. The public service leaders with a remit in</w:t>
            </w:r>
            <w:r>
              <w:rPr>
                <w:rFonts w:ascii="Arial" w:hAnsi="Arial" w:cs="Arial"/>
                <w:sz w:val="20"/>
                <w:szCs w:val="20"/>
              </w:rPr>
              <w:t xml:space="preserve"> that geography for each of </w:t>
            </w:r>
            <w:r w:rsidRPr="00BC3224">
              <w:rPr>
                <w:rFonts w:ascii="Arial" w:hAnsi="Arial" w:cs="Arial"/>
                <w:sz w:val="20"/>
                <w:szCs w:val="20"/>
              </w:rPr>
              <w:t>these areas will decide how the money is spent in that area.</w:t>
            </w:r>
          </w:p>
        </w:tc>
        <w:tc>
          <w:tcPr>
            <w:tcW w:w="1842" w:type="dxa"/>
          </w:tcPr>
          <w:p w14:paraId="3DD49782" w14:textId="77777777" w:rsidR="00C35107" w:rsidRPr="00BC3224" w:rsidRDefault="007E60C8">
            <w:pPr>
              <w:rPr>
                <w:rFonts w:ascii="Arial" w:hAnsi="Arial" w:cs="Arial"/>
                <w:sz w:val="20"/>
                <w:szCs w:val="20"/>
              </w:rPr>
            </w:pPr>
            <w:r w:rsidRPr="00BC3224">
              <w:rPr>
                <w:rFonts w:ascii="Arial" w:hAnsi="Arial" w:cs="Arial"/>
                <w:sz w:val="20"/>
                <w:szCs w:val="20"/>
              </w:rPr>
              <w:lastRenderedPageBreak/>
              <w:t xml:space="preserve">20% for Suffolk CC, </w:t>
            </w:r>
          </w:p>
          <w:p w14:paraId="6EBD1A89" w14:textId="1FC539E2" w:rsidR="007E60C8" w:rsidRPr="00244505" w:rsidRDefault="007E60C8">
            <w:pPr>
              <w:rPr>
                <w:rFonts w:ascii="Arial" w:hAnsi="Arial" w:cs="Arial"/>
                <w:color w:val="FF0000"/>
                <w:sz w:val="20"/>
                <w:szCs w:val="20"/>
              </w:rPr>
            </w:pPr>
            <w:r w:rsidRPr="00BC3224">
              <w:rPr>
                <w:rFonts w:ascii="Arial" w:hAnsi="Arial" w:cs="Arial"/>
                <w:sz w:val="20"/>
                <w:szCs w:val="20"/>
              </w:rPr>
              <w:t>80% for districts</w:t>
            </w:r>
          </w:p>
        </w:tc>
      </w:tr>
      <w:tr w:rsidR="007E3AF5" w:rsidRPr="00757DDF" w14:paraId="581EC387" w14:textId="4988327E" w:rsidTr="007E3AF5">
        <w:trPr>
          <w:trHeight w:val="62"/>
        </w:trPr>
        <w:tc>
          <w:tcPr>
            <w:tcW w:w="1702" w:type="dxa"/>
            <w:noWrap/>
            <w:hideMark/>
          </w:tcPr>
          <w:p w14:paraId="5FEAD96B" w14:textId="77777777" w:rsidR="007E60C8" w:rsidRPr="00316FD2" w:rsidRDefault="007E60C8">
            <w:pPr>
              <w:rPr>
                <w:rFonts w:ascii="Arial" w:hAnsi="Arial" w:cs="Arial"/>
                <w:sz w:val="20"/>
                <w:szCs w:val="20"/>
              </w:rPr>
            </w:pPr>
            <w:r w:rsidRPr="00316FD2">
              <w:rPr>
                <w:rFonts w:ascii="Arial" w:hAnsi="Arial" w:cs="Arial"/>
                <w:sz w:val="20"/>
                <w:szCs w:val="20"/>
              </w:rPr>
              <w:lastRenderedPageBreak/>
              <w:t>Surrey</w:t>
            </w:r>
          </w:p>
        </w:tc>
        <w:tc>
          <w:tcPr>
            <w:tcW w:w="3260" w:type="dxa"/>
            <w:hideMark/>
          </w:tcPr>
          <w:p w14:paraId="4FA3C08D" w14:textId="07D4E012" w:rsidR="007E60C8" w:rsidRPr="00316FD2" w:rsidRDefault="007E60C8">
            <w:pPr>
              <w:rPr>
                <w:rFonts w:ascii="Arial" w:hAnsi="Arial" w:cs="Arial"/>
                <w:sz w:val="20"/>
                <w:szCs w:val="20"/>
              </w:rPr>
            </w:pPr>
            <w:r w:rsidRPr="00316FD2">
              <w:rPr>
                <w:rFonts w:ascii="Arial" w:hAnsi="Arial" w:cs="Arial"/>
                <w:sz w:val="20"/>
                <w:szCs w:val="20"/>
              </w:rPr>
              <w:t xml:space="preserve">Surrey County Council, Woking Borough Council, Surrey Heath Borough Council, Mole Valley District Council, Waverley Borough Council, Runnymede Borough Council, Elmbridge Borough Council, Spelthorne Borough Council, Reigate &amp; Banstead Borough Council,  Epsom &amp; Ewell Borough Council, Guildford Borough Council, </w:t>
            </w:r>
            <w:proofErr w:type="spellStart"/>
            <w:r w:rsidRPr="00316FD2">
              <w:rPr>
                <w:rFonts w:ascii="Arial" w:hAnsi="Arial" w:cs="Arial"/>
                <w:sz w:val="20"/>
                <w:szCs w:val="20"/>
              </w:rPr>
              <w:t>Tandridge</w:t>
            </w:r>
            <w:proofErr w:type="spellEnd"/>
            <w:r w:rsidRPr="00316FD2">
              <w:rPr>
                <w:rFonts w:ascii="Arial" w:hAnsi="Arial" w:cs="Arial"/>
                <w:sz w:val="20"/>
                <w:szCs w:val="20"/>
              </w:rPr>
              <w:t xml:space="preserve"> District Council</w:t>
            </w:r>
          </w:p>
        </w:tc>
        <w:tc>
          <w:tcPr>
            <w:tcW w:w="4253" w:type="dxa"/>
          </w:tcPr>
          <w:p w14:paraId="7C21B677" w14:textId="77777777" w:rsidR="00AD27E2" w:rsidRPr="00AD27E2" w:rsidRDefault="00AD27E2" w:rsidP="00AD27E2">
            <w:pPr>
              <w:rPr>
                <w:rFonts w:ascii="Arial" w:hAnsi="Arial" w:cs="Arial"/>
                <w:sz w:val="20"/>
                <w:szCs w:val="20"/>
              </w:rPr>
            </w:pPr>
            <w:r w:rsidRPr="00AD27E2">
              <w:rPr>
                <w:rFonts w:ascii="Arial" w:hAnsi="Arial" w:cs="Arial"/>
                <w:sz w:val="20"/>
                <w:szCs w:val="20"/>
              </w:rPr>
              <w:t xml:space="preserve">Business rates baseline to be split 30:70 between districts and the county.  </w:t>
            </w:r>
          </w:p>
          <w:p w14:paraId="3461DE61" w14:textId="2D8AF498" w:rsidR="00AD27E2" w:rsidRPr="00AD27E2" w:rsidRDefault="00AD27E2" w:rsidP="00AD27E2">
            <w:pPr>
              <w:rPr>
                <w:rFonts w:ascii="Arial" w:hAnsi="Arial" w:cs="Arial"/>
                <w:sz w:val="20"/>
                <w:szCs w:val="20"/>
              </w:rPr>
            </w:pPr>
            <w:r w:rsidRPr="00AD27E2">
              <w:rPr>
                <w:rFonts w:ascii="Arial" w:hAnsi="Arial" w:cs="Arial"/>
                <w:sz w:val="20"/>
                <w:szCs w:val="20"/>
              </w:rPr>
              <w:t xml:space="preserve">Individual authorities are guaranteed the income they would have received from 50% rates retention, if they had not been part of </w:t>
            </w:r>
            <w:r w:rsidR="00E61573">
              <w:rPr>
                <w:rFonts w:ascii="Arial" w:hAnsi="Arial" w:cs="Arial"/>
                <w:sz w:val="20"/>
                <w:szCs w:val="20"/>
              </w:rPr>
              <w:t xml:space="preserve">the </w:t>
            </w:r>
            <w:r w:rsidRPr="00AD27E2">
              <w:rPr>
                <w:rFonts w:ascii="Arial" w:hAnsi="Arial" w:cs="Arial"/>
                <w:sz w:val="20"/>
                <w:szCs w:val="20"/>
              </w:rPr>
              <w:t xml:space="preserve">pool. </w:t>
            </w:r>
          </w:p>
          <w:p w14:paraId="299CFF57" w14:textId="77777777" w:rsidR="00AD27E2" w:rsidRPr="00AD27E2" w:rsidRDefault="00AD27E2" w:rsidP="00AD27E2">
            <w:pPr>
              <w:rPr>
                <w:rFonts w:ascii="Arial" w:hAnsi="Arial" w:cs="Arial"/>
                <w:sz w:val="20"/>
                <w:szCs w:val="20"/>
              </w:rPr>
            </w:pPr>
            <w:r w:rsidRPr="00AD27E2">
              <w:rPr>
                <w:rFonts w:ascii="Arial" w:hAnsi="Arial" w:cs="Arial"/>
                <w:sz w:val="20"/>
                <w:szCs w:val="20"/>
              </w:rPr>
              <w:t xml:space="preserve">The amount saved from no levy being due is split 50:50 between the districts and county council. </w:t>
            </w:r>
          </w:p>
          <w:p w14:paraId="06FC66C1" w14:textId="77777777" w:rsidR="00AD27E2" w:rsidRPr="00AD27E2" w:rsidRDefault="00AD27E2" w:rsidP="00AD27E2">
            <w:pPr>
              <w:rPr>
                <w:rFonts w:ascii="Arial" w:hAnsi="Arial" w:cs="Arial"/>
                <w:sz w:val="20"/>
                <w:szCs w:val="20"/>
              </w:rPr>
            </w:pPr>
            <w:r w:rsidRPr="00AD27E2">
              <w:rPr>
                <w:rFonts w:ascii="Arial" w:hAnsi="Arial" w:cs="Arial"/>
                <w:sz w:val="20"/>
                <w:szCs w:val="20"/>
              </w:rPr>
              <w:t>The element of growth from the central share is split between the districts (25%) and the county (75%)</w:t>
            </w:r>
            <w:proofErr w:type="gramStart"/>
            <w:r w:rsidRPr="00AD27E2">
              <w:rPr>
                <w:rFonts w:ascii="Arial" w:hAnsi="Arial" w:cs="Arial"/>
                <w:sz w:val="20"/>
                <w:szCs w:val="20"/>
              </w:rPr>
              <w:t>,</w:t>
            </w:r>
            <w:proofErr w:type="gramEnd"/>
            <w:r w:rsidRPr="00AD27E2">
              <w:rPr>
                <w:rFonts w:ascii="Arial" w:hAnsi="Arial" w:cs="Arial"/>
                <w:sz w:val="20"/>
                <w:szCs w:val="20"/>
              </w:rPr>
              <w:t xml:space="preserve"> subject to each district having gained at least £0.5m above the amount had they acted alone.  </w:t>
            </w:r>
          </w:p>
          <w:p w14:paraId="1BDBF314" w14:textId="1BFEABCB" w:rsidR="007E60C8" w:rsidRPr="00244505" w:rsidRDefault="00AD27E2" w:rsidP="00AD27E2">
            <w:pPr>
              <w:rPr>
                <w:rFonts w:ascii="Arial" w:hAnsi="Arial" w:cs="Arial"/>
                <w:color w:val="FF0000"/>
                <w:sz w:val="20"/>
                <w:szCs w:val="20"/>
              </w:rPr>
            </w:pPr>
            <w:r w:rsidRPr="00AD27E2">
              <w:rPr>
                <w:rFonts w:ascii="Arial" w:hAnsi="Arial" w:cs="Arial"/>
                <w:sz w:val="20"/>
                <w:szCs w:val="20"/>
              </w:rPr>
              <w:t>This results in an overall 40% growth being retained by districts, 60% by the county.</w:t>
            </w:r>
          </w:p>
        </w:tc>
        <w:tc>
          <w:tcPr>
            <w:tcW w:w="1842" w:type="dxa"/>
          </w:tcPr>
          <w:p w14:paraId="7BDB06E5" w14:textId="77777777" w:rsidR="00C35107" w:rsidRPr="00BC3224" w:rsidRDefault="007E60C8" w:rsidP="00C35107">
            <w:pPr>
              <w:rPr>
                <w:rFonts w:ascii="Arial" w:hAnsi="Arial" w:cs="Arial"/>
                <w:sz w:val="20"/>
                <w:szCs w:val="20"/>
              </w:rPr>
            </w:pPr>
            <w:r w:rsidRPr="00BC3224">
              <w:rPr>
                <w:rFonts w:ascii="Arial" w:hAnsi="Arial" w:cs="Arial"/>
                <w:sz w:val="20"/>
                <w:szCs w:val="20"/>
              </w:rPr>
              <w:t>70% for Surrey CC,</w:t>
            </w:r>
          </w:p>
          <w:p w14:paraId="0905F8A6" w14:textId="1CA47E7F" w:rsidR="007E60C8" w:rsidRPr="00244505" w:rsidRDefault="007E60C8" w:rsidP="00C35107">
            <w:pPr>
              <w:rPr>
                <w:rFonts w:ascii="Arial" w:hAnsi="Arial" w:cs="Arial"/>
                <w:color w:val="FF0000"/>
                <w:sz w:val="20"/>
                <w:szCs w:val="20"/>
              </w:rPr>
            </w:pPr>
            <w:r w:rsidRPr="00BC3224">
              <w:rPr>
                <w:rFonts w:ascii="Arial" w:hAnsi="Arial" w:cs="Arial"/>
                <w:sz w:val="20"/>
                <w:szCs w:val="20"/>
              </w:rPr>
              <w:t>30% f</w:t>
            </w:r>
            <w:bookmarkStart w:id="0" w:name="_GoBack"/>
            <w:bookmarkEnd w:id="0"/>
            <w:r w:rsidRPr="00BC3224">
              <w:rPr>
                <w:rFonts w:ascii="Arial" w:hAnsi="Arial" w:cs="Arial"/>
                <w:sz w:val="20"/>
                <w:szCs w:val="20"/>
              </w:rPr>
              <w:t>or districts</w:t>
            </w:r>
          </w:p>
        </w:tc>
      </w:tr>
    </w:tbl>
    <w:p w14:paraId="3B40720E" w14:textId="77777777" w:rsidR="00FB0254" w:rsidRDefault="00FB0254">
      <w:pPr>
        <w:rPr>
          <w:rFonts w:ascii="Arial" w:hAnsi="Arial" w:cs="Arial"/>
        </w:rPr>
      </w:pPr>
    </w:p>
    <w:p w14:paraId="312DC6BC" w14:textId="22C18AFE" w:rsidR="00757DDF" w:rsidRDefault="00757DDF">
      <w:pPr>
        <w:rPr>
          <w:rFonts w:ascii="Arial" w:hAnsi="Arial" w:cs="Arial"/>
        </w:rPr>
      </w:pPr>
    </w:p>
    <w:p w14:paraId="0A6AA896" w14:textId="77777777" w:rsidR="00A46FBD" w:rsidRDefault="00A46FBD">
      <w:pPr>
        <w:rPr>
          <w:rFonts w:ascii="Arial" w:hAnsi="Arial" w:cs="Arial"/>
        </w:rPr>
      </w:pPr>
    </w:p>
    <w:p w14:paraId="38D2325F" w14:textId="77777777" w:rsidR="00A46FBD" w:rsidRPr="00891AE9" w:rsidRDefault="00A46FBD">
      <w:pPr>
        <w:rPr>
          <w:rFonts w:ascii="Arial" w:hAnsi="Arial" w:cs="Arial"/>
        </w:rPr>
      </w:pPr>
    </w:p>
    <w:sectPr w:rsidR="00A46FBD" w:rsidRPr="00891AE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BD488" w14:textId="77777777" w:rsidR="002D1A31" w:rsidRDefault="002D1A31" w:rsidP="002D1A31">
      <w:pPr>
        <w:spacing w:after="0" w:line="240" w:lineRule="auto"/>
      </w:pPr>
      <w:r>
        <w:separator/>
      </w:r>
    </w:p>
  </w:endnote>
  <w:endnote w:type="continuationSeparator" w:id="0">
    <w:p w14:paraId="319463B4" w14:textId="77777777" w:rsidR="002D1A31" w:rsidRDefault="002D1A31" w:rsidP="002D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4E508" w14:textId="77777777" w:rsidR="002D1A31" w:rsidRDefault="002D1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221C3" w14:textId="77777777" w:rsidR="002D1A31" w:rsidRDefault="002D1A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4268E" w14:textId="77777777" w:rsidR="002D1A31" w:rsidRDefault="002D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5CEC9" w14:textId="77777777" w:rsidR="002D1A31" w:rsidRDefault="002D1A31" w:rsidP="002D1A31">
      <w:pPr>
        <w:spacing w:after="0" w:line="240" w:lineRule="auto"/>
      </w:pPr>
      <w:r>
        <w:separator/>
      </w:r>
    </w:p>
  </w:footnote>
  <w:footnote w:type="continuationSeparator" w:id="0">
    <w:p w14:paraId="65675825" w14:textId="77777777" w:rsidR="002D1A31" w:rsidRDefault="002D1A31" w:rsidP="002D1A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16329" w14:textId="77777777" w:rsidR="002D1A31" w:rsidRDefault="002D1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3010B" w14:textId="77777777" w:rsidR="002D1A31" w:rsidRDefault="002D1A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37A15" w14:textId="77777777" w:rsidR="002D1A31" w:rsidRDefault="002D1A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60A34"/>
    <w:multiLevelType w:val="hybridMultilevel"/>
    <w:tmpl w:val="27B849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BD"/>
    <w:rsid w:val="00163884"/>
    <w:rsid w:val="001715EA"/>
    <w:rsid w:val="001A4A94"/>
    <w:rsid w:val="001B36CE"/>
    <w:rsid w:val="00217D08"/>
    <w:rsid w:val="00244505"/>
    <w:rsid w:val="00287FB3"/>
    <w:rsid w:val="002D1A31"/>
    <w:rsid w:val="003028CA"/>
    <w:rsid w:val="00316FD2"/>
    <w:rsid w:val="00401F51"/>
    <w:rsid w:val="00622090"/>
    <w:rsid w:val="006B0F40"/>
    <w:rsid w:val="00757DDF"/>
    <w:rsid w:val="007C6446"/>
    <w:rsid w:val="007E3AF5"/>
    <w:rsid w:val="007E60C8"/>
    <w:rsid w:val="00891AE9"/>
    <w:rsid w:val="008C4392"/>
    <w:rsid w:val="008D0DAD"/>
    <w:rsid w:val="008E6870"/>
    <w:rsid w:val="009554AC"/>
    <w:rsid w:val="00A46FBD"/>
    <w:rsid w:val="00AD27E2"/>
    <w:rsid w:val="00BA6680"/>
    <w:rsid w:val="00BC3224"/>
    <w:rsid w:val="00C35107"/>
    <w:rsid w:val="00C7588D"/>
    <w:rsid w:val="00D45B4D"/>
    <w:rsid w:val="00DD1340"/>
    <w:rsid w:val="00E26547"/>
    <w:rsid w:val="00E61573"/>
    <w:rsid w:val="00F654F6"/>
    <w:rsid w:val="00F9677B"/>
    <w:rsid w:val="00FB0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43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4F6"/>
    <w:pPr>
      <w:ind w:left="720"/>
      <w:contextualSpacing/>
    </w:pPr>
  </w:style>
  <w:style w:type="table" w:styleId="TableGrid">
    <w:name w:val="Table Grid"/>
    <w:basedOn w:val="TableNormal"/>
    <w:uiPriority w:val="39"/>
    <w:rsid w:val="00757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1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A31"/>
  </w:style>
  <w:style w:type="paragraph" w:styleId="Footer">
    <w:name w:val="footer"/>
    <w:basedOn w:val="Normal"/>
    <w:link w:val="FooterChar"/>
    <w:uiPriority w:val="99"/>
    <w:unhideWhenUsed/>
    <w:rsid w:val="002D1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A31"/>
  </w:style>
  <w:style w:type="paragraph" w:styleId="BalloonText">
    <w:name w:val="Balloon Text"/>
    <w:basedOn w:val="Normal"/>
    <w:link w:val="BalloonTextChar"/>
    <w:uiPriority w:val="99"/>
    <w:semiHidden/>
    <w:unhideWhenUsed/>
    <w:rsid w:val="002D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4F6"/>
    <w:pPr>
      <w:ind w:left="720"/>
      <w:contextualSpacing/>
    </w:pPr>
  </w:style>
  <w:style w:type="table" w:styleId="TableGrid">
    <w:name w:val="Table Grid"/>
    <w:basedOn w:val="TableNormal"/>
    <w:uiPriority w:val="39"/>
    <w:rsid w:val="00757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1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A31"/>
  </w:style>
  <w:style w:type="paragraph" w:styleId="Footer">
    <w:name w:val="footer"/>
    <w:basedOn w:val="Normal"/>
    <w:link w:val="FooterChar"/>
    <w:uiPriority w:val="99"/>
    <w:unhideWhenUsed/>
    <w:rsid w:val="002D1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A31"/>
  </w:style>
  <w:style w:type="paragraph" w:styleId="BalloonText">
    <w:name w:val="Balloon Text"/>
    <w:basedOn w:val="Normal"/>
    <w:link w:val="BalloonTextChar"/>
    <w:uiPriority w:val="99"/>
    <w:semiHidden/>
    <w:unhideWhenUsed/>
    <w:rsid w:val="002D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666181">
      <w:bodyDiv w:val="1"/>
      <w:marLeft w:val="0"/>
      <w:marRight w:val="0"/>
      <w:marTop w:val="0"/>
      <w:marBottom w:val="0"/>
      <w:divBdr>
        <w:top w:val="none" w:sz="0" w:space="0" w:color="auto"/>
        <w:left w:val="none" w:sz="0" w:space="0" w:color="auto"/>
        <w:bottom w:val="none" w:sz="0" w:space="0" w:color="auto"/>
        <w:right w:val="none" w:sz="0" w:space="0" w:color="auto"/>
      </w:divBdr>
    </w:div>
    <w:div w:id="18573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16D20D4945841928F8ECBC3D16C5F" ma:contentTypeVersion="0" ma:contentTypeDescription="Create a new document." ma:contentTypeScope="" ma:versionID="960209716a62bcb3eb3a164ad48bcbe0">
  <xsd:schema xmlns:xsd="http://www.w3.org/2001/XMLSchema" xmlns:xs="http://www.w3.org/2001/XMLSchema" xmlns:p="http://schemas.microsoft.com/office/2006/metadata/properties" xmlns:ns2="1c8a0e75-f4bc-4eb4-8ed0-578eaea9e1ca" targetNamespace="http://schemas.microsoft.com/office/2006/metadata/properties" ma:root="true" ma:fieldsID="ffb4b2b334ba67489c0286fdeb783a2f" ns2:_="">
    <xsd:import namespace="1c8a0e75-f4bc-4eb4-8ed0-578eaea9e1ca"/>
    <xsd:element name="properties">
      <xsd:complexType>
        <xsd:sequence>
          <xsd:element name="documentManagement">
            <xsd:complexType>
              <xsd:all>
                <xsd:element ref="ns2:Document_x0020_Type" minOccurs="0"/>
                <xsd:element ref="ns2:TaxKeywordTaxHTField" minOccurs="0"/>
                <xsd:element ref="ns2:TaxCatchAll" minOccurs="0"/>
                <xsd:element ref="ns2: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a0e75-f4bc-4eb4-8ed0-578eaea9e1ca"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Agenda"/>
          <xsd:enumeration value="Briefing"/>
          <xsd:enumeration value="Business Case"/>
          <xsd:enumeration value="Contract"/>
          <xsd:enumeration value="Email"/>
          <xsd:enumeration value="Image"/>
          <xsd:enumeration value="Letter"/>
          <xsd:enumeration value="Minutes"/>
          <xsd:enumeration value="Paper"/>
          <xsd:enumeration value="Presentation"/>
          <xsd:enumeration value="Proposal"/>
          <xsd:enumeration value="Report"/>
        </xsd:restriction>
      </xsd:simpleType>
    </xsd:element>
    <xsd:element name="TaxKeywordTaxHTField" ma:index="10" nillable="true" ma:taxonomy="true" ma:internalName="TaxKeywordTaxHTField" ma:taxonomyFieldName="TaxKeyword" ma:displayName="Project keywords" ma:fieldId="{23f27201-bee3-471e-b2e7-b64fd8b7ca38}" ma:taxonomyMulti="true" ma:sspId="cadaa89d-cf19-4401-94d2-2483862272d2"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f5a57605-5208-42d8-96dd-63dc42501190}" ma:internalName="TaxCatchAll" ma:showField="CatchAllData" ma:web="1c8a0e75-f4bc-4eb4-8ed0-578eaea9e1ca">
      <xsd:complexType>
        <xsd:complexContent>
          <xsd:extension base="dms:MultiChoiceLookup">
            <xsd:sequence>
              <xsd:element name="Value" type="dms:Lookup" maxOccurs="unbounded" minOccurs="0" nillable="true"/>
            </xsd:sequence>
          </xsd:extension>
        </xsd:complexContent>
      </xsd:complexType>
    </xsd:element>
    <xsd:element name="Folder" ma:index="13" nillable="true" ma:displayName="Folder" ma:description="" ma:internalName="Fol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1c8a0e75-f4bc-4eb4-8ed0-578eaea9e1ca">
      <Terms xmlns="http://schemas.microsoft.com/office/infopath/2007/PartnerControls"/>
    </TaxKeywordTaxHTField>
    <Folder xmlns="1c8a0e75-f4bc-4eb4-8ed0-578eaea9e1ca">Pilots</Folder>
    <Document_x0020_Type xmlns="1c8a0e75-f4bc-4eb4-8ed0-578eaea9e1ca" xsi:nil="true"/>
    <TaxCatchAll xmlns="1c8a0e75-f4bc-4eb4-8ed0-578eaea9e1ca"/>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E8AAB75B-87A4-4C1E-A69B-BFBEEF832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a0e75-f4bc-4eb4-8ed0-578eaea9e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65661-9913-4340-8905-69C4DAF37DD0}">
  <ds:schemaRefs>
    <ds:schemaRef ds:uri="http://schemas.microsoft.com/sharepoint/v3/contenttype/forms"/>
  </ds:schemaRefs>
</ds:datastoreItem>
</file>

<file path=customXml/itemProps3.xml><?xml version="1.0" encoding="utf-8"?>
<ds:datastoreItem xmlns:ds="http://schemas.openxmlformats.org/officeDocument/2006/customXml" ds:itemID="{1D42DB1B-5452-4659-95A3-DBBA05F6B628}">
  <ds:schemaRef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1c8a0e75-f4bc-4eb4-8ed0-578eaea9e1ca"/>
    <ds:schemaRef ds:uri="http://purl.org/dc/dcmitype/"/>
  </ds:schemaRefs>
</ds:datastoreItem>
</file>

<file path=customXml/itemProps4.xml><?xml version="1.0" encoding="utf-8"?>
<ds:datastoreItem xmlns:ds="http://schemas.openxmlformats.org/officeDocument/2006/customXml" ds:itemID="{6693351A-A0B6-4885-9597-07D4A09F935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A11A8636</Template>
  <TotalTime>96</TotalTime>
  <Pages>4</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Heiser</dc:creator>
  <cp:lastModifiedBy>Sohul Ahmed</cp:lastModifiedBy>
  <cp:revision>7</cp:revision>
  <cp:lastPrinted>2018-02-15T14:07:00Z</cp:lastPrinted>
  <dcterms:created xsi:type="dcterms:W3CDTF">2018-02-06T17:40:00Z</dcterms:created>
  <dcterms:modified xsi:type="dcterms:W3CDTF">2018-02-15T15:12:00Z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0x010100B3616D20D4945841928F8ECBC3D16C5F</vt:lpwstr>
  </property>
  <property fmtid="{D5CDD505-2E9C-101B-9397-08002B2CF9AE}" pid="3" name="TaxKeyword">
    <vt:lpwstr/>
  </property>
  <property fmtid="{D5CDD505-2E9C-101B-9397-08002B2CF9AE}" pid="4" name="WorkflowChangePath">
    <vt:lpwstr>eaf71be1-9398-4955-9d49-ef6304b2b2cb,3;</vt:lpwstr>
  </property>
  <property fmtid="{D5CDD505-2E9C-101B-9397-08002B2CF9AE}" pid="5" name="docIndexRef">
    <vt:lpwstr>29e150a3-a42f-4d00-b84a-f41569df22bb</vt:lpwstr>
  </property>
  <property fmtid="{D5CDD505-2E9C-101B-9397-08002B2CF9AE}" pid="6" name="bjSaver">
    <vt:lpwstr>BkOi21TY5upqI9j/j2GZwWNJ3T3j1YFA</vt:lpwstr>
  </property>
  <property fmtid="{D5CDD505-2E9C-101B-9397-08002B2CF9AE}" pid="7" name="bjDocumentSecurityLabel">
    <vt:lpwstr>No Marking</vt:lpwstr>
  </property>
</Properties>
</file>