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4B41" w14:textId="11E2B3AF" w:rsidR="000A009C" w:rsidRDefault="000A009C" w:rsidP="000A009C">
      <w:pPr>
        <w:pStyle w:val="H2LGA"/>
      </w:pPr>
      <w:r w:rsidRPr="006227A9">
        <w:rPr>
          <w:bCs/>
        </w:rPr>
        <w:t xml:space="preserve">Table </w:t>
      </w:r>
      <w:r>
        <w:rPr>
          <w:bCs/>
        </w:rPr>
        <w:t>5</w:t>
      </w:r>
      <w:r w:rsidRPr="006227A9">
        <w:rPr>
          <w:bCs/>
        </w:rPr>
        <w:t>:</w:t>
      </w:r>
      <w:r>
        <w:t xml:space="preserve"> included systematic reviews of interventions to reduce future offending or improve outcomes for children at high risk of offending</w:t>
      </w:r>
    </w:p>
    <w:p w14:paraId="4113F8C5" w14:textId="77777777" w:rsidR="00D322DC" w:rsidRPr="00D322DC" w:rsidRDefault="00D322DC" w:rsidP="00D322DC">
      <w:pPr>
        <w:pStyle w:val="Bodycopy"/>
        <w:rPr>
          <w:lang w:val="en-GB"/>
        </w:rPr>
      </w:pPr>
    </w:p>
    <w:tbl>
      <w:tblPr>
        <w:tblStyle w:val="TableGrid"/>
        <w:tblW w:w="22392" w:type="dxa"/>
        <w:tblLayout w:type="fixed"/>
        <w:tblLook w:val="0420" w:firstRow="1" w:lastRow="0" w:firstColumn="0" w:lastColumn="0" w:noHBand="0" w:noVBand="1"/>
        <w:tblCaption w:val="Table 5"/>
        <w:tblDescription w:val="This table summarises 15 reviews published between 2010/2021 examining programmes and interventions for children at high risk of involvement in the criminal justice system"/>
      </w:tblPr>
      <w:tblGrid>
        <w:gridCol w:w="1868"/>
        <w:gridCol w:w="3372"/>
        <w:gridCol w:w="3829"/>
        <w:gridCol w:w="4111"/>
        <w:gridCol w:w="3574"/>
        <w:gridCol w:w="5638"/>
      </w:tblGrid>
      <w:tr w:rsidR="00711FF0" w:rsidRPr="00305393" w14:paraId="138A8EB4" w14:textId="77777777" w:rsidTr="007B5F94">
        <w:trPr>
          <w:cantSplit/>
          <w:tblHeader/>
        </w:trPr>
        <w:tc>
          <w:tcPr>
            <w:tcW w:w="417" w:type="pct"/>
            <w:shd w:val="clear" w:color="auto" w:fill="DB81D9"/>
          </w:tcPr>
          <w:p w14:paraId="650E84A7" w14:textId="0ADDE81E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bookmarkStart w:id="0" w:name="_Hlk101342914"/>
            <w:r w:rsidRPr="00305393">
              <w:rPr>
                <w:b/>
                <w:bCs/>
              </w:rPr>
              <w:t>Study</w:t>
            </w:r>
          </w:p>
        </w:tc>
        <w:tc>
          <w:tcPr>
            <w:tcW w:w="753" w:type="pct"/>
            <w:shd w:val="clear" w:color="auto" w:fill="DB81D9"/>
          </w:tcPr>
          <w:p w14:paraId="7903ED61" w14:textId="77777777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Approach(es)</w:t>
            </w:r>
          </w:p>
        </w:tc>
        <w:tc>
          <w:tcPr>
            <w:tcW w:w="855" w:type="pct"/>
            <w:shd w:val="clear" w:color="auto" w:fill="DB81D9"/>
          </w:tcPr>
          <w:p w14:paraId="26B6A5F7" w14:textId="77777777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Outcome(s)</w:t>
            </w:r>
          </w:p>
        </w:tc>
        <w:tc>
          <w:tcPr>
            <w:tcW w:w="918" w:type="pct"/>
            <w:shd w:val="clear" w:color="auto" w:fill="DB81D9"/>
          </w:tcPr>
          <w:p w14:paraId="4809B4CB" w14:textId="579DDFC7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Number of studies where age range or mean age of participants between 8 and 13 years. Total number of included studies</w:t>
            </w:r>
          </w:p>
        </w:tc>
        <w:tc>
          <w:tcPr>
            <w:tcW w:w="798" w:type="pct"/>
            <w:shd w:val="clear" w:color="auto" w:fill="DB81D9"/>
          </w:tcPr>
          <w:p w14:paraId="3769B533" w14:textId="0780CABC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Total number of participants where age range or mean age 8-13 years. Total number of included participants</w:t>
            </w:r>
          </w:p>
        </w:tc>
        <w:tc>
          <w:tcPr>
            <w:tcW w:w="1259" w:type="pct"/>
            <w:shd w:val="clear" w:color="auto" w:fill="DB81D9"/>
          </w:tcPr>
          <w:p w14:paraId="6D593D1E" w14:textId="357F32CA" w:rsidR="008C4BB2" w:rsidRPr="00305393" w:rsidRDefault="008C4BB2" w:rsidP="008C4BB2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Author conclusions</w:t>
            </w:r>
          </w:p>
        </w:tc>
      </w:tr>
      <w:bookmarkEnd w:id="0"/>
      <w:tr w:rsidR="007B5F94" w14:paraId="0100BAB4" w14:textId="77777777" w:rsidTr="007B5F94">
        <w:trPr>
          <w:tblHeader/>
        </w:trPr>
        <w:tc>
          <w:tcPr>
            <w:tcW w:w="417" w:type="pct"/>
          </w:tcPr>
          <w:p w14:paraId="45914AF5" w14:textId="77777777" w:rsidR="008C4BB2" w:rsidRPr="00BF6F4A" w:rsidRDefault="008C4BB2" w:rsidP="008C4BB2">
            <w:pPr>
              <w:pStyle w:val="Bodycopy"/>
            </w:pPr>
            <w:proofErr w:type="spellStart"/>
            <w:r w:rsidRPr="00BF6F4A">
              <w:t>R</w:t>
            </w:r>
            <w:r>
              <w:t>ii</w:t>
            </w:r>
            <w:r w:rsidRPr="00BF6F4A">
              <w:t>se</w:t>
            </w:r>
            <w:proofErr w:type="spellEnd"/>
            <w:r w:rsidRPr="00BF6F4A">
              <w:t xml:space="preserve"> 2021</w:t>
            </w:r>
          </w:p>
        </w:tc>
        <w:tc>
          <w:tcPr>
            <w:tcW w:w="753" w:type="pct"/>
          </w:tcPr>
          <w:p w14:paraId="71F5825A" w14:textId="77777777" w:rsidR="008C4BB2" w:rsidRPr="00BF6F4A" w:rsidRDefault="008C4BB2" w:rsidP="008C4BB2">
            <w:pPr>
              <w:pStyle w:val="Bodycopy"/>
            </w:pPr>
            <w:r w:rsidRPr="00BF6F4A">
              <w:t>Cognitive Behavioural Therapy</w:t>
            </w:r>
          </w:p>
        </w:tc>
        <w:tc>
          <w:tcPr>
            <w:tcW w:w="855" w:type="pct"/>
          </w:tcPr>
          <w:p w14:paraId="72969F5E" w14:textId="77777777" w:rsidR="008C4BB2" w:rsidRPr="00BF6F4A" w:rsidRDefault="008C4BB2" w:rsidP="008C4BB2">
            <w:pPr>
              <w:pStyle w:val="Bodycopy"/>
            </w:pPr>
            <w:r w:rsidRPr="00BF6F4A">
              <w:t xml:space="preserve">Symptoms of </w:t>
            </w:r>
            <w:r>
              <w:t>CD</w:t>
            </w:r>
            <w:r w:rsidRPr="00BF6F4A">
              <w:t>, Oppositional Defiant Disorder and ADHD</w:t>
            </w:r>
          </w:p>
        </w:tc>
        <w:tc>
          <w:tcPr>
            <w:tcW w:w="918" w:type="pct"/>
          </w:tcPr>
          <w:p w14:paraId="176CCFEA" w14:textId="77777777" w:rsidR="008C4BB2" w:rsidRPr="00BF6F4A" w:rsidRDefault="008C4BB2" w:rsidP="008C4BB2">
            <w:pPr>
              <w:pStyle w:val="Bodycopy"/>
            </w:pPr>
            <w:r w:rsidRPr="00BF6F4A">
              <w:t>51/51</w:t>
            </w:r>
          </w:p>
        </w:tc>
        <w:tc>
          <w:tcPr>
            <w:tcW w:w="798" w:type="pct"/>
          </w:tcPr>
          <w:p w14:paraId="4470F3BD" w14:textId="77777777" w:rsidR="008C4BB2" w:rsidRPr="00BF6F4A" w:rsidRDefault="008C4BB2" w:rsidP="008C4BB2">
            <w:pPr>
              <w:pStyle w:val="Bodycopy"/>
            </w:pPr>
            <w:r w:rsidRPr="00BF6F4A">
              <w:t>Unclear/5295</w:t>
            </w:r>
          </w:p>
        </w:tc>
        <w:tc>
          <w:tcPr>
            <w:tcW w:w="1259" w:type="pct"/>
          </w:tcPr>
          <w:p w14:paraId="3C436830" w14:textId="77777777" w:rsidR="008C4BB2" w:rsidRPr="00BF6F4A" w:rsidRDefault="008C4BB2" w:rsidP="008C4BB2">
            <w:pPr>
              <w:pStyle w:val="Bodycopy"/>
            </w:pPr>
            <w:r w:rsidRPr="00BF6F4A">
              <w:t>“</w:t>
            </w:r>
            <w:proofErr w:type="gramStart"/>
            <w:r w:rsidRPr="00BF6F4A">
              <w:t>treatments</w:t>
            </w:r>
            <w:proofErr w:type="gramEnd"/>
            <w:r w:rsidRPr="00BF6F4A">
              <w:t xml:space="preserve"> are effective in real-world settings”</w:t>
            </w:r>
          </w:p>
        </w:tc>
      </w:tr>
      <w:tr w:rsidR="007B5F94" w14:paraId="41BBE770" w14:textId="77777777" w:rsidTr="007B5F94">
        <w:trPr>
          <w:tblHeader/>
        </w:trPr>
        <w:tc>
          <w:tcPr>
            <w:tcW w:w="417" w:type="pct"/>
          </w:tcPr>
          <w:p w14:paraId="140746E3" w14:textId="77777777" w:rsidR="008C4BB2" w:rsidRPr="00BF6F4A" w:rsidRDefault="008C4BB2" w:rsidP="008C4BB2">
            <w:pPr>
              <w:pStyle w:val="Bodycopy"/>
            </w:pPr>
            <w:proofErr w:type="spellStart"/>
            <w:r w:rsidRPr="00BF6F4A">
              <w:t>Florean</w:t>
            </w:r>
            <w:proofErr w:type="spellEnd"/>
            <w:r w:rsidRPr="00BF6F4A">
              <w:t xml:space="preserve"> 2020</w:t>
            </w:r>
          </w:p>
        </w:tc>
        <w:tc>
          <w:tcPr>
            <w:tcW w:w="753" w:type="pct"/>
          </w:tcPr>
          <w:p w14:paraId="76372E7B" w14:textId="77777777" w:rsidR="008C4BB2" w:rsidRPr="00BF6F4A" w:rsidRDefault="008C4BB2" w:rsidP="008C4BB2">
            <w:pPr>
              <w:pStyle w:val="Bodycopy"/>
            </w:pPr>
            <w:r w:rsidRPr="00BF6F4A">
              <w:t xml:space="preserve">Online parenting </w:t>
            </w:r>
            <w:proofErr w:type="spellStart"/>
            <w:r w:rsidRPr="00BF6F4A">
              <w:t>programmes</w:t>
            </w:r>
            <w:proofErr w:type="spellEnd"/>
          </w:p>
        </w:tc>
        <w:tc>
          <w:tcPr>
            <w:tcW w:w="855" w:type="pct"/>
          </w:tcPr>
          <w:p w14:paraId="3DFF1CFB" w14:textId="77777777" w:rsidR="008C4BB2" w:rsidRPr="00BF6F4A" w:rsidRDefault="008C4BB2" w:rsidP="008C4BB2">
            <w:pPr>
              <w:pStyle w:val="Bodycopy"/>
            </w:pPr>
            <w:r w:rsidRPr="00BF6F4A">
              <w:t xml:space="preserve">Reduction in child behavioural problems; secondary measures of parental outcomes (stress </w:t>
            </w:r>
            <w:proofErr w:type="spellStart"/>
            <w:r w:rsidRPr="00BF6F4A">
              <w:t>etc</w:t>
            </w:r>
            <w:proofErr w:type="spellEnd"/>
            <w:r w:rsidRPr="00BF6F4A">
              <w:t>)</w:t>
            </w:r>
          </w:p>
        </w:tc>
        <w:tc>
          <w:tcPr>
            <w:tcW w:w="918" w:type="pct"/>
          </w:tcPr>
          <w:p w14:paraId="7F07A7D1" w14:textId="77777777" w:rsidR="008C4BB2" w:rsidRPr="00BF6F4A" w:rsidRDefault="008C4BB2" w:rsidP="008C4BB2">
            <w:pPr>
              <w:pStyle w:val="Bodycopy"/>
            </w:pPr>
            <w:r w:rsidRPr="00BF6F4A">
              <w:t>15/15</w:t>
            </w:r>
          </w:p>
        </w:tc>
        <w:tc>
          <w:tcPr>
            <w:tcW w:w="798" w:type="pct"/>
          </w:tcPr>
          <w:p w14:paraId="63BDE693" w14:textId="77777777" w:rsidR="008C4BB2" w:rsidRPr="00BF6F4A" w:rsidRDefault="008C4BB2" w:rsidP="008C4BB2">
            <w:pPr>
              <w:pStyle w:val="Bodycopy"/>
            </w:pPr>
            <w:r w:rsidRPr="00BF6F4A">
              <w:t>Unclear/1668</w:t>
            </w:r>
          </w:p>
        </w:tc>
        <w:tc>
          <w:tcPr>
            <w:tcW w:w="1259" w:type="pct"/>
          </w:tcPr>
          <w:p w14:paraId="074373BE" w14:textId="77777777" w:rsidR="008C4BB2" w:rsidRPr="00BF6F4A" w:rsidRDefault="008C4BB2" w:rsidP="008C4BB2">
            <w:pPr>
              <w:pStyle w:val="Bodycopy"/>
            </w:pPr>
            <w:r w:rsidRPr="00BF6F4A">
              <w:t>“Online parenting interventions are effective in reducing children’s behavior problems when compared with a control group”</w:t>
            </w:r>
          </w:p>
        </w:tc>
      </w:tr>
      <w:tr w:rsidR="007B5F94" w14:paraId="49A6C628" w14:textId="77777777" w:rsidTr="007B5F94">
        <w:trPr>
          <w:tblHeader/>
        </w:trPr>
        <w:tc>
          <w:tcPr>
            <w:tcW w:w="417" w:type="pct"/>
          </w:tcPr>
          <w:p w14:paraId="60AA7BFE" w14:textId="77777777" w:rsidR="008C4BB2" w:rsidRPr="00BF6F4A" w:rsidRDefault="008C4BB2" w:rsidP="008C4BB2">
            <w:pPr>
              <w:pStyle w:val="Bodycopy"/>
            </w:pPr>
            <w:proofErr w:type="spellStart"/>
            <w:r w:rsidRPr="00BF6F4A">
              <w:t>Granski</w:t>
            </w:r>
            <w:proofErr w:type="spellEnd"/>
            <w:r w:rsidRPr="00BF6F4A">
              <w:t xml:space="preserve"> 2020</w:t>
            </w:r>
          </w:p>
        </w:tc>
        <w:tc>
          <w:tcPr>
            <w:tcW w:w="753" w:type="pct"/>
          </w:tcPr>
          <w:p w14:paraId="0763A3FB" w14:textId="77777777" w:rsidR="008C4BB2" w:rsidRPr="00BF6F4A" w:rsidRDefault="008C4BB2" w:rsidP="008C4BB2">
            <w:pPr>
              <w:pStyle w:val="Bodycopy"/>
            </w:pPr>
            <w:r w:rsidRPr="00BF6F4A">
              <w:t xml:space="preserve">Cognitive skills training, </w:t>
            </w:r>
            <w:proofErr w:type="spellStart"/>
            <w:r w:rsidRPr="00BF6F4A">
              <w:t>behaviour</w:t>
            </w:r>
            <w:proofErr w:type="spellEnd"/>
            <w:r w:rsidRPr="00BF6F4A">
              <w:t xml:space="preserve"> modification, family systems </w:t>
            </w:r>
            <w:proofErr w:type="gramStart"/>
            <w:r w:rsidRPr="00BF6F4A">
              <w:t>approaches</w:t>
            </w:r>
            <w:proofErr w:type="gramEnd"/>
          </w:p>
        </w:tc>
        <w:tc>
          <w:tcPr>
            <w:tcW w:w="855" w:type="pct"/>
          </w:tcPr>
          <w:p w14:paraId="14968C75" w14:textId="77777777" w:rsidR="008C4BB2" w:rsidRPr="00BF6F4A" w:rsidRDefault="008C4BB2" w:rsidP="008C4BB2">
            <w:pPr>
              <w:pStyle w:val="Bodycopy"/>
            </w:pPr>
            <w:r w:rsidRPr="00BF6F4A">
              <w:t>Delinquency, recidivism, mental health</w:t>
            </w:r>
          </w:p>
        </w:tc>
        <w:tc>
          <w:tcPr>
            <w:tcW w:w="918" w:type="pct"/>
          </w:tcPr>
          <w:p w14:paraId="6E9727C9" w14:textId="77777777" w:rsidR="008C4BB2" w:rsidRPr="00BF6F4A" w:rsidRDefault="008C4BB2" w:rsidP="008C4BB2">
            <w:pPr>
              <w:pStyle w:val="Bodycopy"/>
            </w:pPr>
            <w:r w:rsidRPr="00BF6F4A">
              <w:t>29/29</w:t>
            </w:r>
          </w:p>
        </w:tc>
        <w:tc>
          <w:tcPr>
            <w:tcW w:w="798" w:type="pct"/>
          </w:tcPr>
          <w:p w14:paraId="37DE4E92" w14:textId="77777777" w:rsidR="008C4BB2" w:rsidRPr="00BF6F4A" w:rsidRDefault="008C4BB2" w:rsidP="008C4BB2">
            <w:pPr>
              <w:pStyle w:val="Bodycopy"/>
            </w:pPr>
            <w:r w:rsidRPr="00BF6F4A">
              <w:t>Unclear/28483</w:t>
            </w:r>
          </w:p>
        </w:tc>
        <w:tc>
          <w:tcPr>
            <w:tcW w:w="1259" w:type="pct"/>
          </w:tcPr>
          <w:p w14:paraId="6678F6F3" w14:textId="77777777" w:rsidR="008C4BB2" w:rsidRPr="00BF6F4A" w:rsidRDefault="008C4BB2" w:rsidP="008C4BB2">
            <w:pPr>
              <w:pStyle w:val="Bodycopy"/>
            </w:pPr>
            <w:r w:rsidRPr="00BF6F4A">
              <w:t>“The overall mean effect size for programs…was positive and moderate” “Most effective were multimodal, cognitive skills or family systems, length-intensive, for younger children”</w:t>
            </w:r>
          </w:p>
        </w:tc>
      </w:tr>
      <w:tr w:rsidR="007B5F94" w14:paraId="3962F415" w14:textId="77777777" w:rsidTr="007B5F94">
        <w:trPr>
          <w:tblHeader/>
        </w:trPr>
        <w:tc>
          <w:tcPr>
            <w:tcW w:w="417" w:type="pct"/>
          </w:tcPr>
          <w:p w14:paraId="1E0CCC5E" w14:textId="77777777" w:rsidR="008C4BB2" w:rsidRPr="00BF6F4A" w:rsidRDefault="008C4BB2" w:rsidP="008C4BB2">
            <w:pPr>
              <w:pStyle w:val="Bodycopy"/>
            </w:pPr>
            <w:r w:rsidRPr="00BF6F4A">
              <w:t>Wilson 2018</w:t>
            </w:r>
          </w:p>
        </w:tc>
        <w:tc>
          <w:tcPr>
            <w:tcW w:w="753" w:type="pct"/>
          </w:tcPr>
          <w:p w14:paraId="6C08F1D6" w14:textId="77777777" w:rsidR="008C4BB2" w:rsidRPr="00BF6F4A" w:rsidRDefault="008C4BB2" w:rsidP="008C4BB2">
            <w:pPr>
              <w:pStyle w:val="Bodycopy"/>
            </w:pPr>
            <w:r w:rsidRPr="00BF6F4A">
              <w:t>Police-led diversionary practices</w:t>
            </w:r>
          </w:p>
        </w:tc>
        <w:tc>
          <w:tcPr>
            <w:tcW w:w="855" w:type="pct"/>
          </w:tcPr>
          <w:p w14:paraId="2E3287B8" w14:textId="77777777" w:rsidR="008C4BB2" w:rsidRPr="00BF6F4A" w:rsidRDefault="008C4BB2" w:rsidP="008C4BB2">
            <w:pPr>
              <w:pStyle w:val="Bodycopy"/>
            </w:pPr>
            <w:r w:rsidRPr="00BF6F4A">
              <w:t>Delinquency</w:t>
            </w:r>
          </w:p>
        </w:tc>
        <w:tc>
          <w:tcPr>
            <w:tcW w:w="918" w:type="pct"/>
          </w:tcPr>
          <w:p w14:paraId="638D63C0" w14:textId="77777777" w:rsidR="008C4BB2" w:rsidRPr="00BF6F4A" w:rsidRDefault="008C4BB2" w:rsidP="008C4BB2">
            <w:pPr>
              <w:pStyle w:val="Bodycopy"/>
            </w:pPr>
            <w:r w:rsidRPr="00BF6F4A">
              <w:t>19/19</w:t>
            </w:r>
          </w:p>
        </w:tc>
        <w:tc>
          <w:tcPr>
            <w:tcW w:w="798" w:type="pct"/>
          </w:tcPr>
          <w:p w14:paraId="4238A8A6" w14:textId="77777777" w:rsidR="008C4BB2" w:rsidRPr="00BF6F4A" w:rsidRDefault="008C4BB2" w:rsidP="008C4BB2">
            <w:pPr>
              <w:pStyle w:val="Bodycopy"/>
            </w:pPr>
            <w:r w:rsidRPr="00BF6F4A">
              <w:t>Unclear/6282 (plus similar in control group)</w:t>
            </w:r>
          </w:p>
        </w:tc>
        <w:tc>
          <w:tcPr>
            <w:tcW w:w="1259" w:type="pct"/>
          </w:tcPr>
          <w:p w14:paraId="12AAB15D" w14:textId="77777777" w:rsidR="008C4BB2" w:rsidRPr="00BF6F4A" w:rsidRDefault="008C4BB2" w:rsidP="008C4BB2">
            <w:pPr>
              <w:pStyle w:val="Bodycopy"/>
            </w:pPr>
            <w:r w:rsidRPr="00BF6F4A">
              <w:t>“The findings from this systematic review support the use of police-led diversion for low-risk youth with limited or no prior involvement with the juvenile justice system. Thus, police departments and policy-makers should consider diversionary programs as part of the mix of solutions for addressing youth crime.”</w:t>
            </w:r>
          </w:p>
        </w:tc>
      </w:tr>
      <w:tr w:rsidR="007B5F94" w14:paraId="755232C8" w14:textId="77777777" w:rsidTr="007B5F9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17" w:type="pct"/>
          </w:tcPr>
          <w:p w14:paraId="6834A2B7" w14:textId="77777777" w:rsidR="007B5F94" w:rsidRPr="00BF6F4A" w:rsidRDefault="007B5F94" w:rsidP="007C33BC">
            <w:pPr>
              <w:pStyle w:val="Bodycopy"/>
            </w:pPr>
            <w:r>
              <w:rPr>
                <w:rFonts w:asciiTheme="minorHAnsi" w:eastAsiaTheme="minorHAnsi" w:hAnsiTheme="minorHAnsi" w:cstheme="minorBidi"/>
                <w:sz w:val="22"/>
                <w:szCs w:val="24"/>
                <w:lang w:val="en-GB"/>
              </w:rPr>
              <w:br w:type="page"/>
            </w:r>
            <w:r w:rsidRPr="00BF6F4A">
              <w:t>Waddell 2018</w:t>
            </w:r>
          </w:p>
        </w:tc>
        <w:tc>
          <w:tcPr>
            <w:tcW w:w="753" w:type="pct"/>
          </w:tcPr>
          <w:p w14:paraId="4653293C" w14:textId="77777777" w:rsidR="007B5F94" w:rsidRPr="00BF6F4A" w:rsidRDefault="007B5F94" w:rsidP="007C33BC">
            <w:pPr>
              <w:pStyle w:val="Bodycopy"/>
            </w:pPr>
            <w:r w:rsidRPr="00BF6F4A">
              <w:t xml:space="preserve">Prevention </w:t>
            </w:r>
            <w:proofErr w:type="spellStart"/>
            <w:r w:rsidRPr="00BF6F4A">
              <w:t>programmes</w:t>
            </w:r>
            <w:proofErr w:type="spellEnd"/>
            <w:r w:rsidRPr="00BF6F4A">
              <w:t xml:space="preserve"> (including parenting </w:t>
            </w:r>
            <w:proofErr w:type="spellStart"/>
            <w:r w:rsidRPr="00BF6F4A">
              <w:t>programmes</w:t>
            </w:r>
            <w:proofErr w:type="spellEnd"/>
            <w:r w:rsidRPr="00BF6F4A">
              <w:t xml:space="preserve"> and family support), psychosocial (including Multi Systemic Therapy, Treatment Foster Care), and pharmacological</w:t>
            </w:r>
          </w:p>
        </w:tc>
        <w:tc>
          <w:tcPr>
            <w:tcW w:w="855" w:type="pct"/>
          </w:tcPr>
          <w:p w14:paraId="7F61CC11" w14:textId="77777777" w:rsidR="007B5F94" w:rsidRPr="00BF6F4A" w:rsidRDefault="007B5F94" w:rsidP="007C33BC">
            <w:pPr>
              <w:pStyle w:val="Bodycopy"/>
            </w:pPr>
            <w:r w:rsidRPr="00BF6F4A">
              <w:t xml:space="preserve">Symptoms of </w:t>
            </w:r>
            <w:r>
              <w:t>CD</w:t>
            </w:r>
            <w:r w:rsidRPr="00BF6F4A">
              <w:t xml:space="preserve"> and Oppositional Defiant Disorder</w:t>
            </w:r>
          </w:p>
        </w:tc>
        <w:tc>
          <w:tcPr>
            <w:tcW w:w="918" w:type="pct"/>
          </w:tcPr>
          <w:p w14:paraId="65DEB03E" w14:textId="77777777" w:rsidR="007B5F94" w:rsidRPr="00BF6F4A" w:rsidRDefault="007B5F94" w:rsidP="007C33BC">
            <w:pPr>
              <w:pStyle w:val="Bodycopy"/>
            </w:pPr>
            <w:r w:rsidRPr="00BF6F4A">
              <w:t>37/37</w:t>
            </w:r>
          </w:p>
        </w:tc>
        <w:tc>
          <w:tcPr>
            <w:tcW w:w="798" w:type="pct"/>
          </w:tcPr>
          <w:p w14:paraId="2B1C3555" w14:textId="77777777" w:rsidR="007B5F94" w:rsidRPr="00BF6F4A" w:rsidRDefault="007B5F94" w:rsidP="007C33BC">
            <w:pPr>
              <w:pStyle w:val="Bodycopy"/>
            </w:pPr>
            <w:r w:rsidRPr="00BF6F4A">
              <w:t>421/7692</w:t>
            </w:r>
          </w:p>
        </w:tc>
        <w:tc>
          <w:tcPr>
            <w:tcW w:w="1259" w:type="pct"/>
          </w:tcPr>
          <w:p w14:paraId="7436CC8D" w14:textId="77777777" w:rsidR="007B5F94" w:rsidRPr="00BF6F4A" w:rsidRDefault="007B5F94" w:rsidP="007C33BC">
            <w:pPr>
              <w:pStyle w:val="Bodycopy"/>
            </w:pPr>
            <w:r w:rsidRPr="00BF6F4A">
              <w:t xml:space="preserve">“5 </w:t>
            </w:r>
            <w:proofErr w:type="spellStart"/>
            <w:r w:rsidRPr="00BF6F4A">
              <w:t>programmes</w:t>
            </w:r>
            <w:proofErr w:type="spellEnd"/>
            <w:r w:rsidRPr="00BF6F4A">
              <w:t xml:space="preserve"> reduced serious </w:t>
            </w:r>
            <w:proofErr w:type="spellStart"/>
            <w:r w:rsidRPr="00BF6F4A">
              <w:t>behaviour</w:t>
            </w:r>
            <w:proofErr w:type="spellEnd"/>
            <w:r w:rsidRPr="00BF6F4A">
              <w:t xml:space="preserve"> symptoms such as criminal activity (Coping Power; Fast Track; Nurse-Family Partnership, Parent Management Training–Oregon and Perry Preschool). Prevention benefits were long term, up to 35 years. For psychosocial treatment, 1 intervention reduced behavioural diagnoses (Incredible Years) while 3 interventions reduced criminal activity (Brief Intervention; Multidimensional Treatment Foster Care and Multisystemic Therapy). Psychosocial treatment benefits lasted from 1 to 8 years.”</w:t>
            </w:r>
          </w:p>
        </w:tc>
      </w:tr>
    </w:tbl>
    <w:p w14:paraId="50ACDECE" w14:textId="77777777" w:rsidR="007B5F94" w:rsidRDefault="007B5F94">
      <w:r>
        <w:br w:type="page"/>
      </w:r>
    </w:p>
    <w:tbl>
      <w:tblPr>
        <w:tblStyle w:val="TableGrid"/>
        <w:tblW w:w="22392" w:type="dxa"/>
        <w:tblLayout w:type="fixed"/>
        <w:tblLook w:val="0420" w:firstRow="1" w:lastRow="0" w:firstColumn="0" w:lastColumn="0" w:noHBand="0" w:noVBand="1"/>
        <w:tblCaption w:val="Table 5"/>
        <w:tblDescription w:val="This table summarises 15 reviews published between 2010/2021 examining programmes and interventions for children at high risk of involvement in the criminal justice system"/>
      </w:tblPr>
      <w:tblGrid>
        <w:gridCol w:w="1868"/>
        <w:gridCol w:w="3372"/>
        <w:gridCol w:w="3829"/>
        <w:gridCol w:w="4111"/>
        <w:gridCol w:w="3574"/>
        <w:gridCol w:w="5638"/>
      </w:tblGrid>
      <w:tr w:rsidR="007B5F94" w:rsidRPr="00305393" w14:paraId="0312218D" w14:textId="77777777" w:rsidTr="007C33BC">
        <w:trPr>
          <w:cantSplit/>
          <w:tblHeader/>
        </w:trPr>
        <w:tc>
          <w:tcPr>
            <w:tcW w:w="417" w:type="pct"/>
            <w:shd w:val="clear" w:color="auto" w:fill="DB81D9"/>
          </w:tcPr>
          <w:p w14:paraId="3D641A9E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bookmarkStart w:id="1" w:name="_Hlk101342955"/>
            <w:r w:rsidRPr="00305393">
              <w:rPr>
                <w:b/>
                <w:bCs/>
              </w:rPr>
              <w:lastRenderedPageBreak/>
              <w:t>Study</w:t>
            </w:r>
          </w:p>
        </w:tc>
        <w:tc>
          <w:tcPr>
            <w:tcW w:w="753" w:type="pct"/>
            <w:shd w:val="clear" w:color="auto" w:fill="DB81D9"/>
          </w:tcPr>
          <w:p w14:paraId="445DF6D7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Approach(es)</w:t>
            </w:r>
          </w:p>
        </w:tc>
        <w:tc>
          <w:tcPr>
            <w:tcW w:w="855" w:type="pct"/>
            <w:shd w:val="clear" w:color="auto" w:fill="DB81D9"/>
          </w:tcPr>
          <w:p w14:paraId="63D36EF8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Outcome(s)</w:t>
            </w:r>
          </w:p>
        </w:tc>
        <w:tc>
          <w:tcPr>
            <w:tcW w:w="918" w:type="pct"/>
            <w:shd w:val="clear" w:color="auto" w:fill="DB81D9"/>
          </w:tcPr>
          <w:p w14:paraId="41550A44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Number of studies where age range or mean age of participants between 8 and 13 years. Total number of included studies</w:t>
            </w:r>
          </w:p>
        </w:tc>
        <w:tc>
          <w:tcPr>
            <w:tcW w:w="798" w:type="pct"/>
            <w:shd w:val="clear" w:color="auto" w:fill="DB81D9"/>
          </w:tcPr>
          <w:p w14:paraId="7677BB4D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Total number of participants where age range or mean age 8-13 years. Total number of included participants</w:t>
            </w:r>
          </w:p>
        </w:tc>
        <w:tc>
          <w:tcPr>
            <w:tcW w:w="1259" w:type="pct"/>
            <w:shd w:val="clear" w:color="auto" w:fill="DB81D9"/>
          </w:tcPr>
          <w:p w14:paraId="6A5968B0" w14:textId="77777777" w:rsidR="007B5F94" w:rsidRPr="00305393" w:rsidRDefault="007B5F94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Author conclusions</w:t>
            </w:r>
          </w:p>
        </w:tc>
      </w:tr>
      <w:bookmarkEnd w:id="1"/>
      <w:tr w:rsidR="007B5F94" w14:paraId="6B05881A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056A05A0" w14:textId="77777777" w:rsidR="008C4BB2" w:rsidRPr="00BF6F4A" w:rsidRDefault="008C4BB2" w:rsidP="008C4BB2">
            <w:pPr>
              <w:pStyle w:val="Bodycopy"/>
            </w:pPr>
            <w:proofErr w:type="spellStart"/>
            <w:r w:rsidRPr="00BF6F4A">
              <w:t>Valdebenito</w:t>
            </w:r>
            <w:proofErr w:type="spellEnd"/>
            <w:r w:rsidRPr="00BF6F4A">
              <w:t xml:space="preserve"> 2018</w:t>
            </w:r>
          </w:p>
        </w:tc>
        <w:tc>
          <w:tcPr>
            <w:tcW w:w="753" w:type="pct"/>
          </w:tcPr>
          <w:p w14:paraId="4F666C9E" w14:textId="77777777" w:rsidR="008C4BB2" w:rsidRPr="00BF6F4A" w:rsidRDefault="008C4BB2" w:rsidP="008C4BB2">
            <w:pPr>
              <w:pStyle w:val="Bodycopy"/>
              <w:rPr>
                <w:color w:val="1C1D1E"/>
              </w:rPr>
            </w:pPr>
            <w:r w:rsidRPr="00BF6F4A">
              <w:t>School based</w:t>
            </w:r>
          </w:p>
        </w:tc>
        <w:tc>
          <w:tcPr>
            <w:tcW w:w="855" w:type="pct"/>
          </w:tcPr>
          <w:p w14:paraId="2761CAA8" w14:textId="77777777" w:rsidR="008C4BB2" w:rsidRPr="00BF6F4A" w:rsidRDefault="008C4BB2" w:rsidP="008C4BB2">
            <w:pPr>
              <w:pStyle w:val="Bodycopy"/>
            </w:pPr>
            <w:r w:rsidRPr="00BF6F4A">
              <w:t xml:space="preserve">School exclusion and antisocial </w:t>
            </w:r>
            <w:proofErr w:type="spellStart"/>
            <w:r w:rsidRPr="00BF6F4A">
              <w:t>behaviour</w:t>
            </w:r>
            <w:proofErr w:type="spellEnd"/>
          </w:p>
        </w:tc>
        <w:tc>
          <w:tcPr>
            <w:tcW w:w="918" w:type="pct"/>
          </w:tcPr>
          <w:p w14:paraId="6DA86007" w14:textId="77777777" w:rsidR="008C4BB2" w:rsidRPr="00BF6F4A" w:rsidRDefault="008C4BB2" w:rsidP="008C4BB2">
            <w:pPr>
              <w:pStyle w:val="Bodycopy"/>
            </w:pPr>
            <w:r w:rsidRPr="00BF6F4A">
              <w:t>Unclear/37</w:t>
            </w:r>
          </w:p>
        </w:tc>
        <w:tc>
          <w:tcPr>
            <w:tcW w:w="798" w:type="pct"/>
          </w:tcPr>
          <w:p w14:paraId="6F78D3F1" w14:textId="77777777" w:rsidR="008C4BB2" w:rsidRPr="00BF6F4A" w:rsidRDefault="008C4BB2" w:rsidP="008C4BB2">
            <w:pPr>
              <w:pStyle w:val="Bodycopy"/>
            </w:pPr>
            <w:r w:rsidRPr="00BF6F4A">
              <w:t>Unclear/31273</w:t>
            </w:r>
          </w:p>
        </w:tc>
        <w:tc>
          <w:tcPr>
            <w:tcW w:w="1259" w:type="pct"/>
          </w:tcPr>
          <w:p w14:paraId="0967B7DE" w14:textId="77777777" w:rsidR="008C4BB2" w:rsidRPr="00BF6F4A" w:rsidRDefault="008C4BB2" w:rsidP="008C4BB2">
            <w:pPr>
              <w:pStyle w:val="Bodycopy"/>
            </w:pPr>
            <w:r w:rsidRPr="00BF6F4A">
              <w:t xml:space="preserve">“school-based interventions are effective at reducing school exclusion immediately after, and for a few months after, the intervention… more promising [interventions </w:t>
            </w:r>
            <w:proofErr w:type="gramStart"/>
            <w:r w:rsidRPr="00BF6F4A">
              <w:t>are ]</w:t>
            </w:r>
            <w:proofErr w:type="gramEnd"/>
            <w:r w:rsidRPr="00BF6F4A">
              <w:t xml:space="preserve"> those involving mentoring/monitoring and those targeting skills training for teachers.”</w:t>
            </w:r>
          </w:p>
        </w:tc>
      </w:tr>
      <w:tr w:rsidR="007B5F94" w14:paraId="29DB2750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4E434016" w14:textId="77777777" w:rsidR="008C4BB2" w:rsidRPr="00BF6F4A" w:rsidRDefault="008C4BB2" w:rsidP="008C4BB2">
            <w:pPr>
              <w:pStyle w:val="Bodycopy"/>
            </w:pPr>
            <w:r w:rsidRPr="00BF6F4A">
              <w:t>Bakker 2017</w:t>
            </w:r>
          </w:p>
        </w:tc>
        <w:tc>
          <w:tcPr>
            <w:tcW w:w="753" w:type="pct"/>
          </w:tcPr>
          <w:p w14:paraId="04FE628A" w14:textId="77777777" w:rsidR="008C4BB2" w:rsidRPr="00BF6F4A" w:rsidRDefault="008C4BB2" w:rsidP="008C4BB2">
            <w:pPr>
              <w:pStyle w:val="Bodycopy"/>
            </w:pPr>
            <w:r w:rsidRPr="00BF6F4A">
              <w:t>Psychosocial interventions (</w:t>
            </w:r>
            <w:proofErr w:type="gramStart"/>
            <w:r w:rsidRPr="00BF6F4A">
              <w:t>e.g.</w:t>
            </w:r>
            <w:proofErr w:type="gramEnd"/>
            <w:r w:rsidRPr="00BF6F4A">
              <w:t xml:space="preserve"> parenting </w:t>
            </w:r>
            <w:proofErr w:type="spellStart"/>
            <w:r w:rsidRPr="00BF6F4A">
              <w:t>programmes</w:t>
            </w:r>
            <w:proofErr w:type="spellEnd"/>
            <w:r w:rsidRPr="00BF6F4A">
              <w:t xml:space="preserve">, </w:t>
            </w:r>
            <w:proofErr w:type="spellStart"/>
            <w:r w:rsidRPr="00BF6F4A">
              <w:t>behavioural</w:t>
            </w:r>
            <w:proofErr w:type="spellEnd"/>
            <w:r w:rsidRPr="00BF6F4A">
              <w:t xml:space="preserve"> interventions, parent-child interaction therapy)</w:t>
            </w:r>
          </w:p>
        </w:tc>
        <w:tc>
          <w:tcPr>
            <w:tcW w:w="855" w:type="pct"/>
          </w:tcPr>
          <w:p w14:paraId="2E16F3BE" w14:textId="77777777" w:rsidR="008C4BB2" w:rsidRPr="00BF6F4A" w:rsidRDefault="008C4BB2" w:rsidP="008C4BB2">
            <w:pPr>
              <w:pStyle w:val="Bodycopy"/>
              <w:rPr>
                <w:color w:val="1C1D1E"/>
              </w:rPr>
            </w:pPr>
            <w:r w:rsidRPr="00BF6F4A">
              <w:t>Behavioural difficulties (</w:t>
            </w:r>
            <w:proofErr w:type="gramStart"/>
            <w:r w:rsidRPr="00BF6F4A">
              <w:t>e.g.</w:t>
            </w:r>
            <w:proofErr w:type="gramEnd"/>
            <w:r w:rsidRPr="00BF6F4A">
              <w:t xml:space="preserve"> clinical range on SDQ and CBCL), Parent/teacher reported </w:t>
            </w:r>
            <w:r>
              <w:t>CD</w:t>
            </w:r>
          </w:p>
        </w:tc>
        <w:tc>
          <w:tcPr>
            <w:tcW w:w="918" w:type="pct"/>
          </w:tcPr>
          <w:p w14:paraId="41918EEC" w14:textId="77777777" w:rsidR="008C4BB2" w:rsidRPr="00BF6F4A" w:rsidRDefault="008C4BB2" w:rsidP="008C4BB2">
            <w:pPr>
              <w:pStyle w:val="Bodycopy"/>
            </w:pPr>
            <w:r w:rsidRPr="00BF6F4A">
              <w:t>10/17 (relating to 19 interventions)</w:t>
            </w:r>
          </w:p>
        </w:tc>
        <w:tc>
          <w:tcPr>
            <w:tcW w:w="798" w:type="pct"/>
          </w:tcPr>
          <w:p w14:paraId="0824D7D8" w14:textId="77777777" w:rsidR="008C4BB2" w:rsidRPr="00BF6F4A" w:rsidRDefault="008C4BB2" w:rsidP="008C4BB2">
            <w:pPr>
              <w:pStyle w:val="Bodycopy"/>
            </w:pPr>
            <w:r w:rsidRPr="00BF6F4A">
              <w:t>Unclear/1999</w:t>
            </w:r>
          </w:p>
        </w:tc>
        <w:tc>
          <w:tcPr>
            <w:tcW w:w="1259" w:type="pct"/>
          </w:tcPr>
          <w:p w14:paraId="0879205C" w14:textId="77777777" w:rsidR="008C4BB2" w:rsidRPr="00BF6F4A" w:rsidRDefault="008C4BB2" w:rsidP="008C4BB2">
            <w:pPr>
              <w:pStyle w:val="Bodycopy"/>
            </w:pPr>
            <w:r w:rsidRPr="00BF6F4A">
              <w:t>“Psychological treatments have a small effect in reducing parent-, teacher- and observer-rated CD problems in children and adolescents with clinical</w:t>
            </w:r>
            <w:r w:rsidRPr="00BF6F4A">
              <w:br/>
              <w:t>CD problems/diagnosis.</w:t>
            </w:r>
            <w:r w:rsidRPr="00BF6F4A">
              <w:br/>
              <w:t>Not enough evidence to support one treatment over another.”</w:t>
            </w:r>
          </w:p>
        </w:tc>
      </w:tr>
      <w:tr w:rsidR="007B5F94" w14:paraId="71576A95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57800340" w14:textId="77777777" w:rsidR="008C4BB2" w:rsidRPr="00BF6F4A" w:rsidRDefault="008C4BB2" w:rsidP="008C4BB2">
            <w:pPr>
              <w:pStyle w:val="Bodycopy"/>
            </w:pPr>
            <w:r w:rsidRPr="00BF6F4A">
              <w:t>Loy 2017</w:t>
            </w:r>
          </w:p>
        </w:tc>
        <w:tc>
          <w:tcPr>
            <w:tcW w:w="753" w:type="pct"/>
          </w:tcPr>
          <w:p w14:paraId="65098A43" w14:textId="77777777" w:rsidR="008C4BB2" w:rsidRPr="00BF6F4A" w:rsidRDefault="008C4BB2" w:rsidP="008C4BB2">
            <w:pPr>
              <w:pStyle w:val="Bodycopy"/>
            </w:pPr>
            <w:r w:rsidRPr="00BF6F4A">
              <w:t>Pharmacological (Atypical Antipsychotics)</w:t>
            </w:r>
          </w:p>
        </w:tc>
        <w:tc>
          <w:tcPr>
            <w:tcW w:w="855" w:type="pct"/>
          </w:tcPr>
          <w:p w14:paraId="3A0A0847" w14:textId="77777777" w:rsidR="008C4BB2" w:rsidRPr="00BF6F4A" w:rsidRDefault="008C4BB2" w:rsidP="008C4BB2">
            <w:pPr>
              <w:pStyle w:val="Bodycopy"/>
              <w:rPr>
                <w:color w:val="1C1D1E"/>
              </w:rPr>
            </w:pPr>
            <w:r w:rsidRPr="00BF6F4A">
              <w:t>Aggression and Conduct problems measured using validated tools</w:t>
            </w:r>
          </w:p>
        </w:tc>
        <w:tc>
          <w:tcPr>
            <w:tcW w:w="918" w:type="pct"/>
          </w:tcPr>
          <w:p w14:paraId="2DEC60C3" w14:textId="77777777" w:rsidR="008C4BB2" w:rsidRPr="00BF6F4A" w:rsidRDefault="008C4BB2" w:rsidP="008C4BB2">
            <w:pPr>
              <w:pStyle w:val="Bodycopy"/>
            </w:pPr>
            <w:r w:rsidRPr="00BF6F4A">
              <w:t>10/10</w:t>
            </w:r>
          </w:p>
        </w:tc>
        <w:tc>
          <w:tcPr>
            <w:tcW w:w="798" w:type="pct"/>
          </w:tcPr>
          <w:p w14:paraId="6048F1EE" w14:textId="77777777" w:rsidR="008C4BB2" w:rsidRPr="00BF6F4A" w:rsidRDefault="008C4BB2" w:rsidP="008C4BB2">
            <w:pPr>
              <w:pStyle w:val="Bodycopy"/>
            </w:pPr>
            <w:r w:rsidRPr="00BF6F4A">
              <w:t>Unclear/896</w:t>
            </w:r>
          </w:p>
        </w:tc>
        <w:tc>
          <w:tcPr>
            <w:tcW w:w="1259" w:type="pct"/>
          </w:tcPr>
          <w:p w14:paraId="6976102D" w14:textId="77777777" w:rsidR="008C4BB2" w:rsidRPr="00BF6F4A" w:rsidRDefault="008C4BB2" w:rsidP="008C4BB2">
            <w:pPr>
              <w:pStyle w:val="Bodycopy"/>
            </w:pPr>
            <w:r w:rsidRPr="00BF6F4A">
              <w:t xml:space="preserve">“There is some evidence that in the </w:t>
            </w:r>
            <w:proofErr w:type="gramStart"/>
            <w:r w:rsidRPr="00BF6F4A">
              <w:t>short term</w:t>
            </w:r>
            <w:proofErr w:type="gramEnd"/>
            <w:r w:rsidRPr="00BF6F4A">
              <w:t xml:space="preserve"> risperidone may reduce aggression and conduct problems in children and youths with disruptive </w:t>
            </w:r>
            <w:proofErr w:type="spellStart"/>
            <w:r w:rsidRPr="00BF6F4A">
              <w:t>behaviour</w:t>
            </w:r>
            <w:proofErr w:type="spellEnd"/>
            <w:r w:rsidRPr="00BF6F4A">
              <w:t xml:space="preserve"> disorders There is also evidence that this intervention is associated with significant weight gain.”</w:t>
            </w:r>
          </w:p>
        </w:tc>
      </w:tr>
      <w:tr w:rsidR="007B5F94" w14:paraId="5A04ACB2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41A0C6F9" w14:textId="77777777" w:rsidR="008C4BB2" w:rsidRPr="00BF6F4A" w:rsidRDefault="008C4BB2" w:rsidP="008C4BB2">
            <w:pPr>
              <w:pStyle w:val="Bodycopy"/>
            </w:pPr>
            <w:r w:rsidRPr="00BF6F4A">
              <w:t>Wilson 2016</w:t>
            </w:r>
          </w:p>
        </w:tc>
        <w:tc>
          <w:tcPr>
            <w:tcW w:w="753" w:type="pct"/>
          </w:tcPr>
          <w:p w14:paraId="4FFE0736" w14:textId="77777777" w:rsidR="008C4BB2" w:rsidRPr="00BF6F4A" w:rsidRDefault="008C4BB2" w:rsidP="008C4BB2">
            <w:pPr>
              <w:pStyle w:val="Bodycopy"/>
            </w:pPr>
            <w:r w:rsidRPr="00BF6F4A">
              <w:t>Juvenile curfew</w:t>
            </w:r>
          </w:p>
        </w:tc>
        <w:tc>
          <w:tcPr>
            <w:tcW w:w="855" w:type="pct"/>
          </w:tcPr>
          <w:p w14:paraId="5F678AC4" w14:textId="77777777" w:rsidR="008C4BB2" w:rsidRPr="00BF6F4A" w:rsidRDefault="008C4BB2" w:rsidP="008C4BB2">
            <w:pPr>
              <w:pStyle w:val="Bodycopy"/>
            </w:pPr>
            <w:r w:rsidRPr="00BF6F4A">
              <w:t>Juvenile crime or juvenile victimization</w:t>
            </w:r>
          </w:p>
        </w:tc>
        <w:tc>
          <w:tcPr>
            <w:tcW w:w="918" w:type="pct"/>
          </w:tcPr>
          <w:p w14:paraId="22436D7A" w14:textId="77777777" w:rsidR="008C4BB2" w:rsidRPr="00BF6F4A" w:rsidRDefault="008C4BB2" w:rsidP="008C4BB2">
            <w:pPr>
              <w:pStyle w:val="Bodycopy"/>
            </w:pPr>
            <w:r w:rsidRPr="00BF6F4A">
              <w:t>12/1212</w:t>
            </w:r>
          </w:p>
        </w:tc>
        <w:tc>
          <w:tcPr>
            <w:tcW w:w="798" w:type="pct"/>
          </w:tcPr>
          <w:p w14:paraId="0FCBA6DB" w14:textId="77777777" w:rsidR="008C4BB2" w:rsidRPr="00BF6F4A" w:rsidRDefault="008C4BB2" w:rsidP="008C4BB2">
            <w:pPr>
              <w:pStyle w:val="Bodycopy"/>
            </w:pPr>
            <w:r w:rsidRPr="00BF6F4A">
              <w:t>N/A</w:t>
            </w:r>
          </w:p>
        </w:tc>
        <w:tc>
          <w:tcPr>
            <w:tcW w:w="1259" w:type="pct"/>
          </w:tcPr>
          <w:p w14:paraId="12CCE89E" w14:textId="77777777" w:rsidR="008C4BB2" w:rsidRPr="00BF6F4A" w:rsidRDefault="008C4BB2" w:rsidP="008C4BB2">
            <w:pPr>
              <w:pStyle w:val="Bodycopy"/>
            </w:pPr>
            <w:r w:rsidRPr="00BF6F4A">
              <w:t>“Evidence suggests that juvenile curfews do not reduce crime or victimization.”</w:t>
            </w:r>
          </w:p>
        </w:tc>
      </w:tr>
      <w:tr w:rsidR="007B5F94" w14:paraId="69CAC1CA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00620475" w14:textId="77777777" w:rsidR="008C4BB2" w:rsidRPr="00BF6F4A" w:rsidRDefault="008C4BB2" w:rsidP="008C4BB2">
            <w:pPr>
              <w:pStyle w:val="Bodycopy"/>
            </w:pPr>
            <w:r w:rsidRPr="00BF6F4A">
              <w:t>Tolan 2013</w:t>
            </w:r>
          </w:p>
        </w:tc>
        <w:tc>
          <w:tcPr>
            <w:tcW w:w="753" w:type="pct"/>
          </w:tcPr>
          <w:p w14:paraId="4B519D2C" w14:textId="77777777" w:rsidR="008C4BB2" w:rsidRPr="00BF6F4A" w:rsidRDefault="008C4BB2" w:rsidP="008C4BB2">
            <w:pPr>
              <w:pStyle w:val="Bodycopy"/>
            </w:pPr>
            <w:r w:rsidRPr="00BF6F4A">
              <w:t>Mentoring</w:t>
            </w:r>
          </w:p>
        </w:tc>
        <w:tc>
          <w:tcPr>
            <w:tcW w:w="855" w:type="pct"/>
          </w:tcPr>
          <w:p w14:paraId="15078252" w14:textId="77777777" w:rsidR="008C4BB2" w:rsidRPr="00BF6F4A" w:rsidRDefault="008C4BB2" w:rsidP="008C4BB2">
            <w:pPr>
              <w:pStyle w:val="Bodycopy"/>
            </w:pPr>
            <w:r w:rsidRPr="00BF6F4A">
              <w:t>Delinquency</w:t>
            </w:r>
          </w:p>
        </w:tc>
        <w:tc>
          <w:tcPr>
            <w:tcW w:w="918" w:type="pct"/>
          </w:tcPr>
          <w:p w14:paraId="5C1F43C7" w14:textId="77777777" w:rsidR="008C4BB2" w:rsidRPr="00BF6F4A" w:rsidRDefault="008C4BB2" w:rsidP="008C4BB2">
            <w:pPr>
              <w:pStyle w:val="Bodycopy"/>
            </w:pPr>
            <w:r w:rsidRPr="00BF6F4A">
              <w:t>23/46</w:t>
            </w:r>
          </w:p>
        </w:tc>
        <w:tc>
          <w:tcPr>
            <w:tcW w:w="798" w:type="pct"/>
          </w:tcPr>
          <w:p w14:paraId="367807C7" w14:textId="77777777" w:rsidR="008C4BB2" w:rsidRPr="00BF6F4A" w:rsidRDefault="008C4BB2" w:rsidP="008C4BB2">
            <w:pPr>
              <w:pStyle w:val="Bodycopy"/>
            </w:pPr>
            <w:r w:rsidRPr="00BF6F4A">
              <w:t>Unclear/c1807</w:t>
            </w:r>
          </w:p>
        </w:tc>
        <w:tc>
          <w:tcPr>
            <w:tcW w:w="1259" w:type="pct"/>
          </w:tcPr>
          <w:p w14:paraId="35CF3902" w14:textId="77777777" w:rsidR="008C4BB2" w:rsidRPr="00BF6F4A" w:rsidRDefault="008C4BB2" w:rsidP="008C4BB2">
            <w:pPr>
              <w:pStyle w:val="Bodycopy"/>
            </w:pPr>
            <w:r w:rsidRPr="00BF6F4A">
              <w:t>“</w:t>
            </w:r>
            <w:proofErr w:type="gramStart"/>
            <w:r w:rsidRPr="00BF6F4A">
              <w:t>suggests</w:t>
            </w:r>
            <w:proofErr w:type="gramEnd"/>
            <w:r w:rsidRPr="00BF6F4A">
              <w:t xml:space="preserve"> mentoring for high-risk youth has a modest positive effect for delinquency and academic functioning, with trends suggesting similar benefits for aggression and drug use.”</w:t>
            </w:r>
          </w:p>
        </w:tc>
      </w:tr>
      <w:tr w:rsidR="007B5F94" w14:paraId="45C591C1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227947D6" w14:textId="77777777" w:rsidR="008C4BB2" w:rsidRPr="00BF6F4A" w:rsidRDefault="008C4BB2" w:rsidP="008C4BB2">
            <w:pPr>
              <w:pStyle w:val="Bodycopy"/>
            </w:pPr>
            <w:r w:rsidRPr="00BF6F4A">
              <w:t>de Vries 2015</w:t>
            </w:r>
          </w:p>
        </w:tc>
        <w:tc>
          <w:tcPr>
            <w:tcW w:w="753" w:type="pct"/>
          </w:tcPr>
          <w:p w14:paraId="21C5B456" w14:textId="77777777" w:rsidR="008C4BB2" w:rsidRPr="00BF6F4A" w:rsidRDefault="008C4BB2" w:rsidP="008C4BB2">
            <w:pPr>
              <w:pStyle w:val="Bodycopy"/>
            </w:pPr>
            <w:r w:rsidRPr="00BF6F4A">
              <w:t>Mixed including restorative justice, treatment foster care, mentoring, psychosocial and behavioural interventions.</w:t>
            </w:r>
          </w:p>
        </w:tc>
        <w:tc>
          <w:tcPr>
            <w:tcW w:w="855" w:type="pct"/>
          </w:tcPr>
          <w:p w14:paraId="38A407AE" w14:textId="77777777" w:rsidR="008C4BB2" w:rsidRPr="00BF6F4A" w:rsidRDefault="008C4BB2" w:rsidP="008C4BB2">
            <w:pPr>
              <w:pStyle w:val="Bodycopy"/>
            </w:pPr>
            <w:r w:rsidRPr="00BF6F4A">
              <w:t xml:space="preserve">Persistent delinquent </w:t>
            </w:r>
            <w:proofErr w:type="spellStart"/>
            <w:r w:rsidRPr="00BF6F4A">
              <w:t>behaviour</w:t>
            </w:r>
            <w:proofErr w:type="spellEnd"/>
            <w:r w:rsidRPr="00BF6F4A">
              <w:t>, outcomes varied by study but are not reported in detail</w:t>
            </w:r>
          </w:p>
        </w:tc>
        <w:tc>
          <w:tcPr>
            <w:tcW w:w="918" w:type="pct"/>
          </w:tcPr>
          <w:p w14:paraId="07C78025" w14:textId="77777777" w:rsidR="008C4BB2" w:rsidRPr="00BF6F4A" w:rsidRDefault="008C4BB2" w:rsidP="008C4BB2">
            <w:pPr>
              <w:pStyle w:val="Bodycopy"/>
            </w:pPr>
            <w:r w:rsidRPr="00BF6F4A">
              <w:t>12 w mean age &lt;14 (some unknown)/39</w:t>
            </w:r>
          </w:p>
        </w:tc>
        <w:tc>
          <w:tcPr>
            <w:tcW w:w="798" w:type="pct"/>
          </w:tcPr>
          <w:p w14:paraId="0B8BCE6E" w14:textId="77777777" w:rsidR="008C4BB2" w:rsidRPr="00BF6F4A" w:rsidRDefault="008C4BB2" w:rsidP="008C4BB2">
            <w:pPr>
              <w:pStyle w:val="Bodycopy"/>
            </w:pPr>
            <w:r w:rsidRPr="00BF6F4A">
              <w:t>Unclear/c4500 (plus similar in control groups)</w:t>
            </w:r>
          </w:p>
        </w:tc>
        <w:tc>
          <w:tcPr>
            <w:tcW w:w="1259" w:type="pct"/>
          </w:tcPr>
          <w:p w14:paraId="0D7B1447" w14:textId="77777777" w:rsidR="008C4BB2" w:rsidRPr="00BF6F4A" w:rsidRDefault="008C4BB2" w:rsidP="008C4BB2">
            <w:pPr>
              <w:pStyle w:val="Bodycopy"/>
            </w:pPr>
            <w:r w:rsidRPr="00BF6F4A">
              <w:t>“Prevention programs have positive effects on preventing persistent juvenile delinquency…interventions should be behavioral-oriented, delivered in a family or multimodal format, and the intensity of the program should be matched to the level of risk of the juvenile”</w:t>
            </w:r>
          </w:p>
        </w:tc>
      </w:tr>
    </w:tbl>
    <w:p w14:paraId="5AA2A122" w14:textId="77777777" w:rsidR="00603A39" w:rsidRDefault="00603A39">
      <w:r>
        <w:br w:type="page"/>
      </w:r>
    </w:p>
    <w:tbl>
      <w:tblPr>
        <w:tblStyle w:val="TableGrid"/>
        <w:tblW w:w="22392" w:type="dxa"/>
        <w:tblLayout w:type="fixed"/>
        <w:tblLook w:val="0420" w:firstRow="1" w:lastRow="0" w:firstColumn="0" w:lastColumn="0" w:noHBand="0" w:noVBand="1"/>
        <w:tblCaption w:val="Table 5"/>
        <w:tblDescription w:val="This table summarises 15 reviews published between 2010/2021 examining programmes and interventions for children at high risk of involvement in the criminal justice system"/>
      </w:tblPr>
      <w:tblGrid>
        <w:gridCol w:w="1868"/>
        <w:gridCol w:w="3372"/>
        <w:gridCol w:w="3829"/>
        <w:gridCol w:w="4111"/>
        <w:gridCol w:w="3574"/>
        <w:gridCol w:w="5638"/>
      </w:tblGrid>
      <w:tr w:rsidR="00603A39" w:rsidRPr="00305393" w14:paraId="1DF9EC9A" w14:textId="77777777" w:rsidTr="007C33BC">
        <w:trPr>
          <w:cantSplit/>
          <w:tblHeader/>
        </w:trPr>
        <w:tc>
          <w:tcPr>
            <w:tcW w:w="417" w:type="pct"/>
            <w:shd w:val="clear" w:color="auto" w:fill="DB81D9"/>
          </w:tcPr>
          <w:p w14:paraId="11F2F1C5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lastRenderedPageBreak/>
              <w:t>Study</w:t>
            </w:r>
          </w:p>
        </w:tc>
        <w:tc>
          <w:tcPr>
            <w:tcW w:w="753" w:type="pct"/>
            <w:shd w:val="clear" w:color="auto" w:fill="DB81D9"/>
          </w:tcPr>
          <w:p w14:paraId="3031BBEE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Approach(es)</w:t>
            </w:r>
          </w:p>
        </w:tc>
        <w:tc>
          <w:tcPr>
            <w:tcW w:w="855" w:type="pct"/>
            <w:shd w:val="clear" w:color="auto" w:fill="DB81D9"/>
          </w:tcPr>
          <w:p w14:paraId="7F035720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Outcome(s)</w:t>
            </w:r>
          </w:p>
        </w:tc>
        <w:tc>
          <w:tcPr>
            <w:tcW w:w="918" w:type="pct"/>
            <w:shd w:val="clear" w:color="auto" w:fill="DB81D9"/>
          </w:tcPr>
          <w:p w14:paraId="3E325345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Number of studies where age range or mean age of participants between 8 and 13 years. Total number of included studies</w:t>
            </w:r>
          </w:p>
        </w:tc>
        <w:tc>
          <w:tcPr>
            <w:tcW w:w="798" w:type="pct"/>
            <w:shd w:val="clear" w:color="auto" w:fill="DB81D9"/>
          </w:tcPr>
          <w:p w14:paraId="2BB16698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Total number of participants where age range or mean age 8-13 years. Total number of included participants</w:t>
            </w:r>
          </w:p>
        </w:tc>
        <w:tc>
          <w:tcPr>
            <w:tcW w:w="1259" w:type="pct"/>
            <w:shd w:val="clear" w:color="auto" w:fill="DB81D9"/>
          </w:tcPr>
          <w:p w14:paraId="4FB9979B" w14:textId="77777777" w:rsidR="00603A39" w:rsidRPr="00305393" w:rsidRDefault="00603A39" w:rsidP="007C33BC">
            <w:pPr>
              <w:pStyle w:val="Bodycopy"/>
              <w:rPr>
                <w:b/>
                <w:bCs/>
              </w:rPr>
            </w:pPr>
            <w:r w:rsidRPr="00305393">
              <w:rPr>
                <w:b/>
                <w:bCs/>
              </w:rPr>
              <w:t>Author conclusions</w:t>
            </w:r>
          </w:p>
        </w:tc>
      </w:tr>
      <w:tr w:rsidR="007B5F94" w14:paraId="0415BC0A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4775682A" w14:textId="77777777" w:rsidR="008C4BB2" w:rsidRPr="00BF6F4A" w:rsidRDefault="008C4BB2" w:rsidP="008C4BB2">
            <w:pPr>
              <w:pStyle w:val="Bodycopy"/>
            </w:pPr>
            <w:proofErr w:type="spellStart"/>
            <w:r w:rsidRPr="00BF6F4A">
              <w:t>Pringsheim</w:t>
            </w:r>
            <w:proofErr w:type="spellEnd"/>
            <w:r w:rsidRPr="00BF6F4A">
              <w:t xml:space="preserve"> 2015a</w:t>
            </w:r>
          </w:p>
        </w:tc>
        <w:tc>
          <w:tcPr>
            <w:tcW w:w="753" w:type="pct"/>
          </w:tcPr>
          <w:p w14:paraId="7E29DEEF" w14:textId="77777777" w:rsidR="008C4BB2" w:rsidRPr="00BF6F4A" w:rsidRDefault="008C4BB2" w:rsidP="008C4BB2">
            <w:pPr>
              <w:pStyle w:val="Bodycopy"/>
            </w:pPr>
            <w:r w:rsidRPr="00BF6F4A">
              <w:t>Pharmacological (psychostimulants, alpha-2 agonists, and atomoxetine)</w:t>
            </w:r>
          </w:p>
        </w:tc>
        <w:tc>
          <w:tcPr>
            <w:tcW w:w="855" w:type="pct"/>
          </w:tcPr>
          <w:p w14:paraId="275A6233" w14:textId="77777777" w:rsidR="008C4BB2" w:rsidRPr="00BF6F4A" w:rsidRDefault="008C4BB2" w:rsidP="008C4BB2">
            <w:pPr>
              <w:pStyle w:val="Bodycopy"/>
            </w:pPr>
            <w:r w:rsidRPr="00BF6F4A">
              <w:t>CD and aggression</w:t>
            </w:r>
          </w:p>
        </w:tc>
        <w:tc>
          <w:tcPr>
            <w:tcW w:w="918" w:type="pct"/>
          </w:tcPr>
          <w:p w14:paraId="5175FD3E" w14:textId="77777777" w:rsidR="008C4BB2" w:rsidRPr="006227A9" w:rsidRDefault="008C4BB2" w:rsidP="008C4BB2">
            <w:pPr>
              <w:pStyle w:val="Bodycopy"/>
              <w:rPr>
                <w:highlight w:val="yellow"/>
              </w:rPr>
            </w:pPr>
            <w:r w:rsidRPr="00AE4D9F">
              <w:t>1/11</w:t>
            </w:r>
          </w:p>
        </w:tc>
        <w:tc>
          <w:tcPr>
            <w:tcW w:w="798" w:type="pct"/>
          </w:tcPr>
          <w:p w14:paraId="36810EA3" w14:textId="77777777" w:rsidR="008C4BB2" w:rsidRPr="006227A9" w:rsidRDefault="008C4BB2" w:rsidP="008C4BB2">
            <w:pPr>
              <w:pStyle w:val="Bodycopy"/>
              <w:rPr>
                <w:highlight w:val="yellow"/>
              </w:rPr>
            </w:pPr>
            <w:r>
              <w:rPr>
                <w:color w:val="000000"/>
              </w:rPr>
              <w:t>25/</w:t>
            </w:r>
            <w:r w:rsidRPr="006227A9">
              <w:rPr>
                <w:color w:val="000000"/>
              </w:rPr>
              <w:t>5464</w:t>
            </w:r>
          </w:p>
        </w:tc>
        <w:tc>
          <w:tcPr>
            <w:tcW w:w="1259" w:type="pct"/>
          </w:tcPr>
          <w:p w14:paraId="101B5843" w14:textId="77777777" w:rsidR="008C4BB2" w:rsidRPr="00BF6F4A" w:rsidRDefault="008C4BB2" w:rsidP="008C4BB2">
            <w:pPr>
              <w:pStyle w:val="Bodycopy"/>
              <w:rPr>
                <w:highlight w:val="yellow"/>
              </w:rPr>
            </w:pPr>
            <w:r w:rsidRPr="006227A9">
              <w:t>“There is very-low-quality evidence that clonidine has a small effect on oppositional behaviour and conduct problems in youth with ADHD, with and without ODD or CD. There is moderate-quality evidence that guanfacine has a small-to-moderate effect on oppositional behaviour in youth with ADHD, with and without ODD. There is high-quality evidence that atomoxetine has a small effect on oppositional behaviour in youth with ADHD, with and without ODD or CD.”</w:t>
            </w:r>
          </w:p>
        </w:tc>
      </w:tr>
      <w:tr w:rsidR="007B5F94" w14:paraId="1A68A72C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50DB79DD" w14:textId="77777777" w:rsidR="008C4BB2" w:rsidRPr="00BF6F4A" w:rsidRDefault="008C4BB2" w:rsidP="008C4BB2">
            <w:pPr>
              <w:pStyle w:val="Bodycopy"/>
            </w:pPr>
            <w:r w:rsidRPr="00BF6F4A">
              <w:t>Sawyer 2015</w:t>
            </w:r>
          </w:p>
        </w:tc>
        <w:tc>
          <w:tcPr>
            <w:tcW w:w="753" w:type="pct"/>
          </w:tcPr>
          <w:p w14:paraId="0EDEEFE6" w14:textId="77777777" w:rsidR="008C4BB2" w:rsidRPr="00BF6F4A" w:rsidRDefault="008C4BB2" w:rsidP="008C4BB2">
            <w:pPr>
              <w:pStyle w:val="Bodycopy"/>
            </w:pPr>
            <w:r w:rsidRPr="00BF6F4A">
              <w:t>Psychosocial interventions (</w:t>
            </w:r>
            <w:proofErr w:type="gramStart"/>
            <w:r w:rsidRPr="00BF6F4A">
              <w:t>e.g.</w:t>
            </w:r>
            <w:proofErr w:type="gramEnd"/>
            <w:r w:rsidRPr="00BF6F4A">
              <w:t xml:space="preserve"> individual or family therapy)</w:t>
            </w:r>
          </w:p>
        </w:tc>
        <w:tc>
          <w:tcPr>
            <w:tcW w:w="855" w:type="pct"/>
          </w:tcPr>
          <w:p w14:paraId="19A61184" w14:textId="77777777" w:rsidR="008C4BB2" w:rsidRPr="00BF6F4A" w:rsidRDefault="008C4BB2" w:rsidP="008C4BB2">
            <w:pPr>
              <w:pStyle w:val="Bodycopy"/>
            </w:pPr>
            <w:r w:rsidRPr="00BF6F4A">
              <w:t xml:space="preserve">Antisocial behaviour </w:t>
            </w:r>
            <w:proofErr w:type="gramStart"/>
            <w:r w:rsidRPr="00BF6F4A">
              <w:t>e.g.</w:t>
            </w:r>
            <w:proofErr w:type="gramEnd"/>
            <w:r w:rsidRPr="00BF6F4A">
              <w:t xml:space="preserve"> criminal behaviour, delinquency, aggression, oppositional defiant disorder or </w:t>
            </w:r>
            <w:r>
              <w:t>CD</w:t>
            </w:r>
            <w:r w:rsidRPr="00BF6F4A">
              <w:t xml:space="preserve"> symptoms, disruptive behaviours, problem sexual behaviours, or general externalizing behaviours.</w:t>
            </w:r>
          </w:p>
        </w:tc>
        <w:tc>
          <w:tcPr>
            <w:tcW w:w="918" w:type="pct"/>
          </w:tcPr>
          <w:p w14:paraId="12FAA8F5" w14:textId="77777777" w:rsidR="008C4BB2" w:rsidRPr="00BF6F4A" w:rsidRDefault="008C4BB2" w:rsidP="008C4BB2">
            <w:pPr>
              <w:pStyle w:val="Bodycopy"/>
            </w:pPr>
            <w:r w:rsidRPr="00BF6F4A">
              <w:t>42 with mean age &lt; 14 years/66</w:t>
            </w:r>
          </w:p>
        </w:tc>
        <w:tc>
          <w:tcPr>
            <w:tcW w:w="798" w:type="pct"/>
          </w:tcPr>
          <w:p w14:paraId="353074BA" w14:textId="77777777" w:rsidR="008C4BB2" w:rsidRPr="00BF6F4A" w:rsidRDefault="008C4BB2" w:rsidP="008C4BB2">
            <w:pPr>
              <w:pStyle w:val="Bodycopy"/>
            </w:pPr>
            <w:r w:rsidRPr="00BF6F4A">
              <w:t>Unclear/11645</w:t>
            </w:r>
          </w:p>
        </w:tc>
        <w:tc>
          <w:tcPr>
            <w:tcW w:w="1259" w:type="pct"/>
          </w:tcPr>
          <w:p w14:paraId="1EFAE67A" w14:textId="77777777" w:rsidR="008C4BB2" w:rsidRPr="00BF6F4A" w:rsidRDefault="008C4BB2" w:rsidP="008C4BB2">
            <w:pPr>
              <w:pStyle w:val="Bodycopy"/>
            </w:pPr>
            <w:r w:rsidRPr="00BF6F4A">
              <w:t>“a broad range of youth psychosocial interventions demonstrated modest effects on antisocial behavior…for at least one year beyond the end of interventions”</w:t>
            </w:r>
          </w:p>
        </w:tc>
      </w:tr>
      <w:tr w:rsidR="007B5F94" w14:paraId="490A38FF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3BE1F616" w14:textId="77777777" w:rsidR="008C4BB2" w:rsidRPr="00BF6F4A" w:rsidRDefault="008C4BB2" w:rsidP="008C4BB2">
            <w:pPr>
              <w:pStyle w:val="Bodycopy"/>
            </w:pPr>
            <w:r w:rsidRPr="00BF6F4A">
              <w:t>Stein 2013</w:t>
            </w:r>
          </w:p>
        </w:tc>
        <w:tc>
          <w:tcPr>
            <w:tcW w:w="753" w:type="pct"/>
          </w:tcPr>
          <w:p w14:paraId="66AA7F2F" w14:textId="77777777" w:rsidR="008C4BB2" w:rsidRPr="00BF6F4A" w:rsidRDefault="008C4BB2" w:rsidP="008C4BB2">
            <w:pPr>
              <w:pStyle w:val="Bodycopy"/>
            </w:pPr>
            <w:r w:rsidRPr="00BF6F4A">
              <w:t>Drug Treatment Court</w:t>
            </w:r>
          </w:p>
        </w:tc>
        <w:tc>
          <w:tcPr>
            <w:tcW w:w="855" w:type="pct"/>
          </w:tcPr>
          <w:p w14:paraId="35DE1C12" w14:textId="77777777" w:rsidR="008C4BB2" w:rsidRPr="00BF6F4A" w:rsidRDefault="008C4BB2" w:rsidP="008C4BB2">
            <w:pPr>
              <w:pStyle w:val="Bodycopy"/>
            </w:pPr>
            <w:r w:rsidRPr="00BF6F4A">
              <w:t>Recidivism</w:t>
            </w:r>
          </w:p>
        </w:tc>
        <w:tc>
          <w:tcPr>
            <w:tcW w:w="918" w:type="pct"/>
          </w:tcPr>
          <w:p w14:paraId="24E7AAE5" w14:textId="77777777" w:rsidR="008C4BB2" w:rsidRPr="00BF6F4A" w:rsidRDefault="008C4BB2" w:rsidP="008C4BB2">
            <w:pPr>
              <w:pStyle w:val="Bodycopy"/>
            </w:pPr>
            <w:r w:rsidRPr="00BF6F4A">
              <w:t>Unclear/29</w:t>
            </w:r>
          </w:p>
        </w:tc>
        <w:tc>
          <w:tcPr>
            <w:tcW w:w="798" w:type="pct"/>
          </w:tcPr>
          <w:p w14:paraId="6693CA30" w14:textId="77777777" w:rsidR="008C4BB2" w:rsidRPr="00BF6F4A" w:rsidRDefault="008C4BB2" w:rsidP="008C4BB2">
            <w:pPr>
              <w:pStyle w:val="Bodycopy"/>
            </w:pPr>
            <w:r w:rsidRPr="00BF6F4A">
              <w:t>Unclear/7559</w:t>
            </w:r>
          </w:p>
        </w:tc>
        <w:tc>
          <w:tcPr>
            <w:tcW w:w="1259" w:type="pct"/>
          </w:tcPr>
          <w:p w14:paraId="4EC079B7" w14:textId="77777777" w:rsidR="008C4BB2" w:rsidRPr="00BF6F4A" w:rsidRDefault="008C4BB2" w:rsidP="008C4BB2">
            <w:pPr>
              <w:pStyle w:val="Bodycopy"/>
            </w:pPr>
            <w:r w:rsidRPr="00BF6F4A">
              <w:t>“</w:t>
            </w:r>
            <w:proofErr w:type="gramStart"/>
            <w:r w:rsidRPr="00BF6F4A">
              <w:t>trend</w:t>
            </w:r>
            <w:proofErr w:type="gramEnd"/>
            <w:r w:rsidRPr="00BF6F4A">
              <w:t xml:space="preserve"> in the available studies was the dramatic difference in recidivism rates for adolescents who succeed in graduating from drug court, relative to those who do not.”</w:t>
            </w:r>
          </w:p>
        </w:tc>
      </w:tr>
      <w:tr w:rsidR="007B5F94" w14:paraId="342F6884" w14:textId="77777777" w:rsidTr="007B5F94">
        <w:tblPrEx>
          <w:tblLook w:val="0620" w:firstRow="1" w:lastRow="0" w:firstColumn="0" w:lastColumn="0" w:noHBand="1" w:noVBand="1"/>
        </w:tblPrEx>
        <w:trPr>
          <w:trHeight w:val="283"/>
          <w:tblHeader/>
        </w:trPr>
        <w:tc>
          <w:tcPr>
            <w:tcW w:w="417" w:type="pct"/>
          </w:tcPr>
          <w:p w14:paraId="28396E79" w14:textId="77777777" w:rsidR="008C4BB2" w:rsidRPr="00BF6F4A" w:rsidRDefault="008C4BB2" w:rsidP="008C4BB2">
            <w:pPr>
              <w:pStyle w:val="Bodycopy"/>
            </w:pPr>
            <w:r w:rsidRPr="00BF6F4A">
              <w:t xml:space="preserve">von </w:t>
            </w:r>
            <w:proofErr w:type="spellStart"/>
            <w:r w:rsidRPr="00BF6F4A">
              <w:t>Sydow</w:t>
            </w:r>
            <w:proofErr w:type="spellEnd"/>
            <w:r w:rsidRPr="00BF6F4A">
              <w:t xml:space="preserve"> 2013</w:t>
            </w:r>
          </w:p>
        </w:tc>
        <w:tc>
          <w:tcPr>
            <w:tcW w:w="753" w:type="pct"/>
          </w:tcPr>
          <w:p w14:paraId="3E4FD7A6" w14:textId="77777777" w:rsidR="008C4BB2" w:rsidRPr="00BF6F4A" w:rsidRDefault="008C4BB2" w:rsidP="008C4BB2">
            <w:pPr>
              <w:pStyle w:val="Bodycopy"/>
            </w:pPr>
            <w:r w:rsidRPr="00BF6F4A">
              <w:t>Systemic Family Therapy</w:t>
            </w:r>
          </w:p>
        </w:tc>
        <w:tc>
          <w:tcPr>
            <w:tcW w:w="855" w:type="pct"/>
          </w:tcPr>
          <w:p w14:paraId="1810BDEB" w14:textId="77777777" w:rsidR="008C4BB2" w:rsidRPr="00BF6F4A" w:rsidRDefault="008C4BB2" w:rsidP="008C4BB2">
            <w:pPr>
              <w:pStyle w:val="Bodycopy"/>
            </w:pPr>
            <w:r>
              <w:t>CD</w:t>
            </w:r>
            <w:r w:rsidRPr="00BF6F4A">
              <w:t>, Delinquency, ADHD symptoms</w:t>
            </w:r>
          </w:p>
        </w:tc>
        <w:tc>
          <w:tcPr>
            <w:tcW w:w="918" w:type="pct"/>
          </w:tcPr>
          <w:p w14:paraId="5552A634" w14:textId="77777777" w:rsidR="008C4BB2" w:rsidRPr="00BF6F4A" w:rsidRDefault="008C4BB2" w:rsidP="008C4BB2">
            <w:pPr>
              <w:pStyle w:val="Bodycopy"/>
            </w:pPr>
            <w:r w:rsidRPr="00BF6F4A">
              <w:t>47</w:t>
            </w:r>
          </w:p>
        </w:tc>
        <w:tc>
          <w:tcPr>
            <w:tcW w:w="798" w:type="pct"/>
          </w:tcPr>
          <w:p w14:paraId="5EBEFDD1" w14:textId="77777777" w:rsidR="008C4BB2" w:rsidRPr="00BF6F4A" w:rsidRDefault="008C4BB2" w:rsidP="008C4BB2">
            <w:pPr>
              <w:pStyle w:val="Bodycopy"/>
            </w:pPr>
            <w:r w:rsidRPr="00BF6F4A">
              <w:t>Not specified</w:t>
            </w:r>
          </w:p>
        </w:tc>
        <w:tc>
          <w:tcPr>
            <w:tcW w:w="1259" w:type="pct"/>
          </w:tcPr>
          <w:p w14:paraId="601C2E77" w14:textId="77777777" w:rsidR="008C4BB2" w:rsidRPr="00BF6F4A" w:rsidRDefault="008C4BB2" w:rsidP="008C4BB2">
            <w:pPr>
              <w:pStyle w:val="Bodycopy"/>
            </w:pPr>
            <w:r w:rsidRPr="00BF6F4A">
              <w:t>“There is a sound evidence base for the efficacy of systemic therapy for children and adolescents (and their families) diagnosed with externalizing disorders”</w:t>
            </w:r>
          </w:p>
        </w:tc>
      </w:tr>
    </w:tbl>
    <w:p w14:paraId="65734C17" w14:textId="6BC6F692" w:rsidR="008C4BB2" w:rsidRDefault="008C4BB2" w:rsidP="00B92A84">
      <w:pPr>
        <w:rPr>
          <w:rFonts w:ascii="Arial" w:eastAsia="Times New Roman" w:hAnsi="Arial" w:cs="Arial"/>
          <w:b/>
          <w:color w:val="000000" w:themeColor="text1"/>
          <w:sz w:val="24"/>
          <w:szCs w:val="28"/>
        </w:rPr>
      </w:pPr>
    </w:p>
    <w:sectPr w:rsidR="008C4BB2" w:rsidSect="007B5F94">
      <w:footerReference w:type="even" r:id="rId11"/>
      <w:headerReference w:type="first" r:id="rId12"/>
      <w:pgSz w:w="23811" w:h="16838" w:orient="landscape" w:code="8"/>
      <w:pgMar w:top="794" w:right="567" w:bottom="567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A0B1" w14:textId="77777777" w:rsidR="0038734F" w:rsidRDefault="0038734F" w:rsidP="007A3157">
      <w:r>
        <w:separator/>
      </w:r>
    </w:p>
  </w:endnote>
  <w:endnote w:type="continuationSeparator" w:id="0">
    <w:p w14:paraId="47E07DBC" w14:textId="77777777" w:rsidR="0038734F" w:rsidRDefault="0038734F" w:rsidP="007A3157">
      <w:r>
        <w:continuationSeparator/>
      </w:r>
    </w:p>
  </w:endnote>
  <w:endnote w:type="continuationNotice" w:id="1">
    <w:p w14:paraId="7D31F15A" w14:textId="77777777" w:rsidR="0038734F" w:rsidRDefault="00387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6795" w14:textId="77777777" w:rsidR="008B5701" w:rsidRDefault="008B5701" w:rsidP="00CB3530">
    <w:pPr>
      <w:rPr>
        <w:rFonts w:ascii="Arial" w:hAnsi="Arial" w:cs="Times New Roman"/>
        <w:b/>
        <w:color w:val="BFBFBF" w:themeColor="background1" w:themeShade="BF"/>
        <w:szCs w:val="22"/>
        <w:lang w:val="en-US"/>
      </w:rPr>
    </w:pPr>
  </w:p>
  <w:p w14:paraId="1361771A" w14:textId="77777777" w:rsidR="007D6682" w:rsidRPr="00153423" w:rsidRDefault="007D6682" w:rsidP="00153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3E41" w14:textId="77777777" w:rsidR="0038734F" w:rsidRDefault="0038734F" w:rsidP="007A3157">
      <w:r>
        <w:separator/>
      </w:r>
    </w:p>
  </w:footnote>
  <w:footnote w:type="continuationSeparator" w:id="0">
    <w:p w14:paraId="37C7233E" w14:textId="77777777" w:rsidR="0038734F" w:rsidRDefault="0038734F" w:rsidP="007A3157">
      <w:r>
        <w:continuationSeparator/>
      </w:r>
    </w:p>
  </w:footnote>
  <w:footnote w:type="continuationNotice" w:id="1">
    <w:p w14:paraId="2578D96F" w14:textId="77777777" w:rsidR="0038734F" w:rsidRDefault="00387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6C83" w14:textId="77777777" w:rsidR="00832D5D" w:rsidRDefault="00832D5D">
    <w:pPr>
      <w:pStyle w:val="Header"/>
      <w:rPr>
        <w:noProof/>
        <w:lang w:val="en-US"/>
      </w:rPr>
    </w:pPr>
  </w:p>
  <w:p w14:paraId="3762A457" w14:textId="5662F4F6" w:rsidR="006E0AF5" w:rsidRDefault="00896C07" w:rsidP="00832D5D">
    <w:pPr>
      <w:pStyle w:val="Header"/>
      <w:tabs>
        <w:tab w:val="clear" w:pos="4513"/>
        <w:tab w:val="clear" w:pos="9026"/>
        <w:tab w:val="left" w:pos="3446"/>
      </w:tabs>
    </w:pPr>
    <w:r>
      <w:rPr>
        <w:noProof/>
        <w:lang w:val="en-US"/>
      </w:rPr>
      <w:drawing>
        <wp:inline distT="0" distB="0" distL="0" distR="0" wp14:anchorId="02201345" wp14:editId="2CE69F8E">
          <wp:extent cx="1360714" cy="804813"/>
          <wp:effectExtent l="0" t="0" r="0" b="0"/>
          <wp:docPr id="3" name="Picture 3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cal Government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10" cy="80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A23402"/>
    <w:multiLevelType w:val="hybridMultilevel"/>
    <w:tmpl w:val="6E10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0D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E7"/>
    <w:rsid w:val="00003DE5"/>
    <w:rsid w:val="000040DD"/>
    <w:rsid w:val="00007035"/>
    <w:rsid w:val="00012642"/>
    <w:rsid w:val="00016C66"/>
    <w:rsid w:val="00023063"/>
    <w:rsid w:val="00040B3E"/>
    <w:rsid w:val="00042F32"/>
    <w:rsid w:val="000439CD"/>
    <w:rsid w:val="00052698"/>
    <w:rsid w:val="000847B9"/>
    <w:rsid w:val="00095F0F"/>
    <w:rsid w:val="000A009C"/>
    <w:rsid w:val="000A3930"/>
    <w:rsid w:val="000A6D21"/>
    <w:rsid w:val="000A6F0D"/>
    <w:rsid w:val="000B07DB"/>
    <w:rsid w:val="000B34AE"/>
    <w:rsid w:val="000C083B"/>
    <w:rsid w:val="00125CDC"/>
    <w:rsid w:val="00125D0E"/>
    <w:rsid w:val="00143FF7"/>
    <w:rsid w:val="00151EED"/>
    <w:rsid w:val="00153423"/>
    <w:rsid w:val="001650F6"/>
    <w:rsid w:val="001879BE"/>
    <w:rsid w:val="00191EF5"/>
    <w:rsid w:val="00195A64"/>
    <w:rsid w:val="001A3165"/>
    <w:rsid w:val="001A6920"/>
    <w:rsid w:val="001B0253"/>
    <w:rsid w:val="001C0B7F"/>
    <w:rsid w:val="001C403B"/>
    <w:rsid w:val="001D0E03"/>
    <w:rsid w:val="001E3B88"/>
    <w:rsid w:val="001E4E14"/>
    <w:rsid w:val="001F55E8"/>
    <w:rsid w:val="0020025E"/>
    <w:rsid w:val="00201BBD"/>
    <w:rsid w:val="0020342C"/>
    <w:rsid w:val="00207C69"/>
    <w:rsid w:val="0022517A"/>
    <w:rsid w:val="002255C9"/>
    <w:rsid w:val="00240E17"/>
    <w:rsid w:val="00262369"/>
    <w:rsid w:val="002707AC"/>
    <w:rsid w:val="002B36DC"/>
    <w:rsid w:val="002D013E"/>
    <w:rsid w:val="002D737D"/>
    <w:rsid w:val="002E1060"/>
    <w:rsid w:val="002F7424"/>
    <w:rsid w:val="0030031B"/>
    <w:rsid w:val="00300A77"/>
    <w:rsid w:val="00304F1A"/>
    <w:rsid w:val="00305393"/>
    <w:rsid w:val="003137E0"/>
    <w:rsid w:val="00315872"/>
    <w:rsid w:val="003205B5"/>
    <w:rsid w:val="00357547"/>
    <w:rsid w:val="00363F09"/>
    <w:rsid w:val="003711C9"/>
    <w:rsid w:val="003737D0"/>
    <w:rsid w:val="00375F9A"/>
    <w:rsid w:val="0038734F"/>
    <w:rsid w:val="003A15A7"/>
    <w:rsid w:val="003A5885"/>
    <w:rsid w:val="003C11FC"/>
    <w:rsid w:val="003C42FB"/>
    <w:rsid w:val="003C495E"/>
    <w:rsid w:val="003C5C16"/>
    <w:rsid w:val="003C5C41"/>
    <w:rsid w:val="003D1170"/>
    <w:rsid w:val="003D55B7"/>
    <w:rsid w:val="003F3CA7"/>
    <w:rsid w:val="003F50DB"/>
    <w:rsid w:val="003F70FC"/>
    <w:rsid w:val="00400A51"/>
    <w:rsid w:val="00410D69"/>
    <w:rsid w:val="00411246"/>
    <w:rsid w:val="0044677B"/>
    <w:rsid w:val="00446C9D"/>
    <w:rsid w:val="00446FDB"/>
    <w:rsid w:val="004629CC"/>
    <w:rsid w:val="00464C5F"/>
    <w:rsid w:val="004812FF"/>
    <w:rsid w:val="004813F5"/>
    <w:rsid w:val="00486944"/>
    <w:rsid w:val="00492413"/>
    <w:rsid w:val="004A550F"/>
    <w:rsid w:val="004C0E85"/>
    <w:rsid w:val="004C1176"/>
    <w:rsid w:val="004C1903"/>
    <w:rsid w:val="004C4820"/>
    <w:rsid w:val="004C6AF1"/>
    <w:rsid w:val="004C7D02"/>
    <w:rsid w:val="004D736A"/>
    <w:rsid w:val="004E45E2"/>
    <w:rsid w:val="004E5BF4"/>
    <w:rsid w:val="004F68A2"/>
    <w:rsid w:val="00500B4D"/>
    <w:rsid w:val="00503754"/>
    <w:rsid w:val="0051479D"/>
    <w:rsid w:val="00515FA7"/>
    <w:rsid w:val="00526D9F"/>
    <w:rsid w:val="0053346B"/>
    <w:rsid w:val="00535D6E"/>
    <w:rsid w:val="005372A7"/>
    <w:rsid w:val="005720CE"/>
    <w:rsid w:val="005A7236"/>
    <w:rsid w:val="005B40FE"/>
    <w:rsid w:val="005C379A"/>
    <w:rsid w:val="005C730D"/>
    <w:rsid w:val="005D08F8"/>
    <w:rsid w:val="005D52A9"/>
    <w:rsid w:val="005E134D"/>
    <w:rsid w:val="005F35B6"/>
    <w:rsid w:val="005F616D"/>
    <w:rsid w:val="00603A39"/>
    <w:rsid w:val="00613FAE"/>
    <w:rsid w:val="00616157"/>
    <w:rsid w:val="00627B4F"/>
    <w:rsid w:val="00643FF4"/>
    <w:rsid w:val="00645595"/>
    <w:rsid w:val="00652442"/>
    <w:rsid w:val="00655436"/>
    <w:rsid w:val="00655DAC"/>
    <w:rsid w:val="00662B42"/>
    <w:rsid w:val="006A0790"/>
    <w:rsid w:val="006E0AF5"/>
    <w:rsid w:val="006E432A"/>
    <w:rsid w:val="00710E3D"/>
    <w:rsid w:val="00711939"/>
    <w:rsid w:val="00711FF0"/>
    <w:rsid w:val="0071649C"/>
    <w:rsid w:val="00740387"/>
    <w:rsid w:val="00743925"/>
    <w:rsid w:val="007522A4"/>
    <w:rsid w:val="00762A9F"/>
    <w:rsid w:val="00773B2C"/>
    <w:rsid w:val="007918BC"/>
    <w:rsid w:val="007A3157"/>
    <w:rsid w:val="007B5F94"/>
    <w:rsid w:val="007B6174"/>
    <w:rsid w:val="007B6FFF"/>
    <w:rsid w:val="007D6682"/>
    <w:rsid w:val="007E23EF"/>
    <w:rsid w:val="007E3FE4"/>
    <w:rsid w:val="007F1381"/>
    <w:rsid w:val="007F2103"/>
    <w:rsid w:val="007F28E6"/>
    <w:rsid w:val="008048EF"/>
    <w:rsid w:val="00804F72"/>
    <w:rsid w:val="00814F71"/>
    <w:rsid w:val="00821E3F"/>
    <w:rsid w:val="00832D5D"/>
    <w:rsid w:val="00840174"/>
    <w:rsid w:val="008417F4"/>
    <w:rsid w:val="0086789A"/>
    <w:rsid w:val="008905DD"/>
    <w:rsid w:val="00896C07"/>
    <w:rsid w:val="008A5A73"/>
    <w:rsid w:val="008A7893"/>
    <w:rsid w:val="008B2E69"/>
    <w:rsid w:val="008B5701"/>
    <w:rsid w:val="008C4BB2"/>
    <w:rsid w:val="008C7AEC"/>
    <w:rsid w:val="008F217B"/>
    <w:rsid w:val="008F5F53"/>
    <w:rsid w:val="008F608D"/>
    <w:rsid w:val="00902EFF"/>
    <w:rsid w:val="00905BB1"/>
    <w:rsid w:val="009066FE"/>
    <w:rsid w:val="00917645"/>
    <w:rsid w:val="009217BD"/>
    <w:rsid w:val="00923F56"/>
    <w:rsid w:val="00931482"/>
    <w:rsid w:val="00936955"/>
    <w:rsid w:val="0096624C"/>
    <w:rsid w:val="00972C77"/>
    <w:rsid w:val="009846C6"/>
    <w:rsid w:val="0098520D"/>
    <w:rsid w:val="00986522"/>
    <w:rsid w:val="009878BD"/>
    <w:rsid w:val="009A2A70"/>
    <w:rsid w:val="009C1479"/>
    <w:rsid w:val="009C5246"/>
    <w:rsid w:val="009C6E89"/>
    <w:rsid w:val="009D274E"/>
    <w:rsid w:val="009D6442"/>
    <w:rsid w:val="009D77EE"/>
    <w:rsid w:val="009E2623"/>
    <w:rsid w:val="009E3E52"/>
    <w:rsid w:val="009E6111"/>
    <w:rsid w:val="009F1F4A"/>
    <w:rsid w:val="00A02CAC"/>
    <w:rsid w:val="00A247CC"/>
    <w:rsid w:val="00A61568"/>
    <w:rsid w:val="00A9516B"/>
    <w:rsid w:val="00AA2CA8"/>
    <w:rsid w:val="00AA351C"/>
    <w:rsid w:val="00AB56A2"/>
    <w:rsid w:val="00AC6DC1"/>
    <w:rsid w:val="00AE0D4C"/>
    <w:rsid w:val="00AF421F"/>
    <w:rsid w:val="00AF4BD4"/>
    <w:rsid w:val="00B14707"/>
    <w:rsid w:val="00B2153E"/>
    <w:rsid w:val="00B223D9"/>
    <w:rsid w:val="00B261C3"/>
    <w:rsid w:val="00B270C0"/>
    <w:rsid w:val="00B34CB6"/>
    <w:rsid w:val="00B43FC6"/>
    <w:rsid w:val="00B50490"/>
    <w:rsid w:val="00B632F8"/>
    <w:rsid w:val="00B632FD"/>
    <w:rsid w:val="00B63AC4"/>
    <w:rsid w:val="00B8434B"/>
    <w:rsid w:val="00B92A84"/>
    <w:rsid w:val="00BC5C68"/>
    <w:rsid w:val="00BE59CD"/>
    <w:rsid w:val="00C22A6C"/>
    <w:rsid w:val="00C42BC3"/>
    <w:rsid w:val="00C7006B"/>
    <w:rsid w:val="00C77025"/>
    <w:rsid w:val="00C84BCF"/>
    <w:rsid w:val="00C9073A"/>
    <w:rsid w:val="00C92573"/>
    <w:rsid w:val="00C94584"/>
    <w:rsid w:val="00CA5846"/>
    <w:rsid w:val="00CA5BA4"/>
    <w:rsid w:val="00CA6CB6"/>
    <w:rsid w:val="00CB3530"/>
    <w:rsid w:val="00CC0113"/>
    <w:rsid w:val="00CC0ACF"/>
    <w:rsid w:val="00CE4C06"/>
    <w:rsid w:val="00CF22B9"/>
    <w:rsid w:val="00D244F9"/>
    <w:rsid w:val="00D24B6A"/>
    <w:rsid w:val="00D24F63"/>
    <w:rsid w:val="00D30BBE"/>
    <w:rsid w:val="00D322DC"/>
    <w:rsid w:val="00D458C9"/>
    <w:rsid w:val="00D5027B"/>
    <w:rsid w:val="00D51669"/>
    <w:rsid w:val="00D64C73"/>
    <w:rsid w:val="00D70FE5"/>
    <w:rsid w:val="00D82411"/>
    <w:rsid w:val="00D9154B"/>
    <w:rsid w:val="00D91A5B"/>
    <w:rsid w:val="00DA0EAC"/>
    <w:rsid w:val="00DB3B05"/>
    <w:rsid w:val="00DB6AB4"/>
    <w:rsid w:val="00DE1420"/>
    <w:rsid w:val="00E0165F"/>
    <w:rsid w:val="00E13396"/>
    <w:rsid w:val="00E141F7"/>
    <w:rsid w:val="00E2722A"/>
    <w:rsid w:val="00E42E90"/>
    <w:rsid w:val="00E610E1"/>
    <w:rsid w:val="00E618C5"/>
    <w:rsid w:val="00E6387B"/>
    <w:rsid w:val="00E85176"/>
    <w:rsid w:val="00E868B4"/>
    <w:rsid w:val="00EC3301"/>
    <w:rsid w:val="00EE48FE"/>
    <w:rsid w:val="00F0053A"/>
    <w:rsid w:val="00F035CD"/>
    <w:rsid w:val="00F11BF5"/>
    <w:rsid w:val="00F31A1F"/>
    <w:rsid w:val="00F32CC2"/>
    <w:rsid w:val="00F52BE7"/>
    <w:rsid w:val="00F54F92"/>
    <w:rsid w:val="00F6662B"/>
    <w:rsid w:val="00F74C65"/>
    <w:rsid w:val="00F770BA"/>
    <w:rsid w:val="00F86C57"/>
    <w:rsid w:val="00FA3617"/>
    <w:rsid w:val="00FB2952"/>
    <w:rsid w:val="00FC625A"/>
    <w:rsid w:val="00FD30A4"/>
    <w:rsid w:val="00FD45AC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720EB"/>
  <w14:defaultImageDpi w14:val="330"/>
  <w15:chartTrackingRefBased/>
  <w15:docId w15:val="{E62E81BB-2245-416A-8FD3-CD72A48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rsid w:val="002D013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9F1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aliases w:val="LGA TITLE"/>
    <w:basedOn w:val="Normal"/>
    <w:next w:val="Normal"/>
    <w:link w:val="Heading4Char"/>
    <w:uiPriority w:val="9"/>
    <w:rsid w:val="007D6682"/>
    <w:pPr>
      <w:widowControl w:val="0"/>
      <w:spacing w:line="400" w:lineRule="exact"/>
      <w:outlineLvl w:val="3"/>
    </w:pPr>
    <w:rPr>
      <w:rFonts w:ascii="Arial" w:eastAsia="Times New Roman" w:hAnsi="Arial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H1LGA">
    <w:name w:val="H1 LGA"/>
    <w:basedOn w:val="Heading1"/>
    <w:next w:val="Bodycopy"/>
    <w:qFormat/>
    <w:rsid w:val="009D6442"/>
    <w:pPr>
      <w:spacing w:before="120" w:after="120"/>
    </w:pPr>
    <w:rPr>
      <w:rFonts w:ascii="Arial" w:eastAsia="Times New Roman" w:hAnsi="Arial" w:cs="Arial"/>
      <w:b/>
      <w:color w:val="000000" w:themeColor="text1"/>
      <w:sz w:val="52"/>
      <w:szCs w:val="52"/>
      <w:lang w:val="en-US"/>
    </w:rPr>
  </w:style>
  <w:style w:type="paragraph" w:customStyle="1" w:styleId="LGAintrotext">
    <w:name w:val="LGA intro text"/>
    <w:basedOn w:val="Normal"/>
    <w:next w:val="Normal"/>
    <w:qFormat/>
    <w:rsid w:val="00C77025"/>
    <w:pPr>
      <w:widowControl w:val="0"/>
      <w:adjustRightInd w:val="0"/>
      <w:snapToGrid w:val="0"/>
      <w:spacing w:after="360" w:line="360" w:lineRule="exact"/>
    </w:pPr>
    <w:rPr>
      <w:rFonts w:ascii="Arial" w:eastAsia="Times New Roman" w:hAnsi="Arial" w:cs="Times New Roman"/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qFormat/>
    <w:rsid w:val="00CA6CB6"/>
    <w:pPr>
      <w:ind w:left="1560"/>
    </w:pPr>
    <w:rPr>
      <w:rFonts w:ascii="Arial" w:hAnsi="Arial" w:cs="Times New Roman"/>
      <w:b/>
      <w:szCs w:val="22"/>
      <w:lang w:val="en-US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aliases w:val="LGA TITLE Char"/>
    <w:basedOn w:val="DefaultParagraphFont"/>
    <w:link w:val="Heading4"/>
    <w:uiPriority w:val="9"/>
    <w:rsid w:val="007D6682"/>
    <w:rPr>
      <w:rFonts w:ascii="Arial" w:eastAsia="Times New Roman" w:hAnsi="Arial" w:cs="Times New Roman"/>
      <w:b/>
      <w:bCs/>
      <w:sz w:val="28"/>
      <w:szCs w:val="28"/>
      <w:lang w:val="x-none"/>
    </w:rPr>
  </w:style>
  <w:style w:type="paragraph" w:customStyle="1" w:styleId="H2LGA">
    <w:name w:val="H2 LGA"/>
    <w:basedOn w:val="Heading2"/>
    <w:next w:val="Bodycopy"/>
    <w:qFormat/>
    <w:rsid w:val="00C77025"/>
    <w:pPr>
      <w:widowControl w:val="0"/>
      <w:spacing w:before="360" w:after="40" w:line="420" w:lineRule="exact"/>
    </w:pPr>
    <w:rPr>
      <w:rFonts w:ascii="Arial" w:eastAsia="Times New Roman" w:hAnsi="Arial" w:cs="Times New Roman"/>
      <w:b/>
      <w:color w:val="9B2C98"/>
      <w:sz w:val="36"/>
      <w:szCs w:val="36"/>
    </w:rPr>
  </w:style>
  <w:style w:type="paragraph" w:customStyle="1" w:styleId="H3LGA">
    <w:name w:val="H3 LGA"/>
    <w:basedOn w:val="Heading3"/>
    <w:next w:val="Bodycopy"/>
    <w:qFormat/>
    <w:rsid w:val="003205B5"/>
    <w:pPr>
      <w:widowControl w:val="0"/>
      <w:spacing w:before="240" w:line="340" w:lineRule="exact"/>
    </w:pPr>
    <w:rPr>
      <w:rFonts w:ascii="Arial" w:eastAsia="Times New Roman" w:hAnsi="Arial" w:cs="Arial"/>
      <w:b/>
      <w:color w:val="000000" w:themeColor="text1"/>
      <w:szCs w:val="28"/>
    </w:rPr>
  </w:style>
  <w:style w:type="paragraph" w:customStyle="1" w:styleId="Bodycopy">
    <w:name w:val="Body copy"/>
    <w:link w:val="BodycopyChar"/>
    <w:qFormat/>
    <w:rsid w:val="003205B5"/>
    <w:pPr>
      <w:widowControl w:val="0"/>
      <w:spacing w:after="120" w:line="340" w:lineRule="exact"/>
    </w:pPr>
    <w:rPr>
      <w:rFonts w:ascii="Arial" w:eastAsia="Times New Roman" w:hAnsi="Arial" w:cs="Times New Roman"/>
      <w:szCs w:val="28"/>
      <w:lang w:val="en-US"/>
    </w:rPr>
  </w:style>
  <w:style w:type="paragraph" w:customStyle="1" w:styleId="LGAbullets">
    <w:name w:val="LGA bullets"/>
    <w:basedOn w:val="Bodycopy"/>
    <w:link w:val="LGAbulletsChar"/>
    <w:qFormat/>
    <w:rsid w:val="00931482"/>
    <w:pPr>
      <w:numPr>
        <w:numId w:val="8"/>
      </w:numPr>
    </w:pPr>
  </w:style>
  <w:style w:type="paragraph" w:customStyle="1" w:styleId="Covereventname">
    <w:name w:val="Cover event name"/>
    <w:basedOn w:val="H1LGA"/>
    <w:next w:val="H2LGA"/>
    <w:rsid w:val="00B14707"/>
    <w:pPr>
      <w:keepNext w:val="0"/>
      <w:keepLines w:val="0"/>
      <w:outlineLvl w:val="9"/>
    </w:pPr>
    <w:rPr>
      <w:color w:val="951A80"/>
      <w:sz w:val="84"/>
    </w:rPr>
  </w:style>
  <w:style w:type="paragraph" w:customStyle="1" w:styleId="numbers">
    <w:name w:val="numbers"/>
    <w:basedOn w:val="Normal"/>
    <w:rsid w:val="00A02CAC"/>
    <w:pPr>
      <w:tabs>
        <w:tab w:val="right" w:pos="10490"/>
      </w:tabs>
      <w:ind w:left="1418"/>
    </w:pPr>
    <w:rPr>
      <w:rFonts w:ascii="Arial" w:hAnsi="Arial" w:cs="Times New Roman"/>
      <w:b/>
      <w:color w:val="000000" w:themeColor="text1"/>
      <w:szCs w:val="22"/>
      <w:lang w:val="en-US"/>
    </w:rPr>
  </w:style>
  <w:style w:type="table" w:styleId="TableGrid">
    <w:name w:val="Table Grid"/>
    <w:basedOn w:val="TableNormal"/>
    <w:uiPriority w:val="3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pPr>
      <w:spacing w:after="120"/>
    </w:pPr>
    <w:rPr>
      <w:rFonts w:ascii="Arial" w:hAnsi="Arial"/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1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2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qFormat/>
    <w:rsid w:val="000A6F0D"/>
    <w:pPr>
      <w:numPr>
        <w:ilvl w:val="1"/>
      </w:numPr>
      <w:spacing w:after="240"/>
      <w:ind w:left="704" w:hanging="284"/>
      <w:contextualSpacing/>
    </w:pPr>
  </w:style>
  <w:style w:type="character" w:customStyle="1" w:styleId="BodycopyChar">
    <w:name w:val="Body copy Char"/>
    <w:basedOn w:val="DefaultParagraphFont"/>
    <w:link w:val="Bodycopy"/>
    <w:rsid w:val="003205B5"/>
    <w:rPr>
      <w:rFonts w:ascii="Arial" w:eastAsia="Times New Roman" w:hAnsi="Arial" w:cs="Times New Roman"/>
      <w:szCs w:val="28"/>
      <w:lang w:val="en-US"/>
    </w:rPr>
  </w:style>
  <w:style w:type="character" w:customStyle="1" w:styleId="LGAbulletsChar">
    <w:name w:val="LGA bullets Char"/>
    <w:basedOn w:val="BodycopyChar"/>
    <w:link w:val="LGAbullets"/>
    <w:rsid w:val="003F50DB"/>
    <w:rPr>
      <w:rFonts w:ascii="Arial" w:eastAsia="Times New Roman" w:hAnsi="Arial" w:cs="Times New Roman"/>
      <w:szCs w:val="28"/>
      <w:lang w:val="en-US"/>
    </w:rPr>
  </w:style>
  <w:style w:type="character" w:customStyle="1" w:styleId="LGAsubbulletChar">
    <w:name w:val="LGA sub bullet Char"/>
    <w:basedOn w:val="LGAbulletsChar"/>
    <w:link w:val="LGAsubbullet"/>
    <w:rsid w:val="000A6F0D"/>
    <w:rPr>
      <w:rFonts w:ascii="Arial" w:eastAsia="Times New Roman" w:hAnsi="Arial" w:cs="Times New Roman"/>
      <w:szCs w:val="28"/>
      <w:lang w:val="en-US"/>
    </w:rPr>
  </w:style>
  <w:style w:type="paragraph" w:customStyle="1" w:styleId="H4LGA">
    <w:name w:val="H4 LGA"/>
    <w:basedOn w:val="H3LGA"/>
    <w:next w:val="Bodycopy"/>
    <w:rsid w:val="000A6F0D"/>
    <w:rPr>
      <w:b w:val="0"/>
      <w:bCs/>
      <w:color w:val="951B81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F55E8"/>
    <w:pPr>
      <w:spacing w:after="160" w:line="259" w:lineRule="auto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omalley\OneDrive%20-%20LGA\1%20Attachments\cllr%20development%20cha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2CB9B6D9782439CE3F0E9253BCDE0" ma:contentTypeVersion="6" ma:contentTypeDescription="Create a new document." ma:contentTypeScope="" ma:versionID="3fc91b5cc20b2592484cd5668d837d03">
  <xsd:schema xmlns:xsd="http://www.w3.org/2001/XMLSchema" xmlns:xs="http://www.w3.org/2001/XMLSchema" xmlns:p="http://schemas.microsoft.com/office/2006/metadata/properties" xmlns:ns2="01934e03-57f1-41f0-ad8f-894faf207c7d" xmlns:ns3="68fb66dc-adc0-4fbb-beed-390a58e61961" targetNamespace="http://schemas.microsoft.com/office/2006/metadata/properties" ma:root="true" ma:fieldsID="df9255274eff3fcb10a12225c4282da2" ns2:_="" ns3:_="">
    <xsd:import namespace="01934e03-57f1-41f0-ad8f-894faf207c7d"/>
    <xsd:import namespace="68fb66dc-adc0-4fbb-beed-390a58e61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4e03-57f1-41f0-ad8f-894faf207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66dc-adc0-4fbb-beed-390a58e61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915A6-B8C7-458D-B475-C480285A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34e03-57f1-41f0-ad8f-894faf207c7d"/>
    <ds:schemaRef ds:uri="68fb66dc-adc0-4fbb-beed-390a58e61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cllr development charter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Councillor development charter self assessment tool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Councillor development charter self assessment tool</dc:title>
  <dc:subject/>
  <dc:creator>Michele OMalley</dc:creator>
  <cp:keywords/>
  <dc:description/>
  <cp:lastModifiedBy>Amelia Sutton</cp:lastModifiedBy>
  <cp:revision>2</cp:revision>
  <dcterms:created xsi:type="dcterms:W3CDTF">2022-04-26T08:56:00Z</dcterms:created>
  <dcterms:modified xsi:type="dcterms:W3CDTF">2022-04-26T08:56:00Z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0x010100BC12CB9B6D9782439CE3F0E9253BCDE0</vt:lpwstr>
  </property>
</Properties>
</file>