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A60F91" w14:textId="77777777" w:rsidR="00B04206" w:rsidRPr="00B04206" w:rsidRDefault="00B04206" w:rsidP="00B04206">
      <w:pPr>
        <w:spacing w:after="480" w:line="240" w:lineRule="auto"/>
        <w:jc w:val="center"/>
        <w:outlineLvl w:val="0"/>
        <w:rPr>
          <w:rFonts w:eastAsia="Times New Roman" w:cs="Times New Roman"/>
          <w:sz w:val="36"/>
          <w:szCs w:val="36"/>
        </w:rPr>
      </w:pPr>
      <w:r w:rsidRPr="00B04206">
        <w:rPr>
          <w:rFonts w:eastAsia="Times New Roman" w:cs="Times New Roman"/>
          <w:sz w:val="36"/>
          <w:szCs w:val="36"/>
        </w:rPr>
        <w:t>POLICY DEVELOPMENT: NOT A STATEMENT OF GOVERNMENT POLICY</w:t>
      </w:r>
    </w:p>
    <w:p w14:paraId="03B0020D" w14:textId="77777777" w:rsidR="00B04206" w:rsidRPr="00B04206" w:rsidRDefault="00B04206" w:rsidP="00B04206">
      <w:pPr>
        <w:spacing w:after="240" w:line="240" w:lineRule="auto"/>
        <w:outlineLvl w:val="1"/>
        <w:rPr>
          <w:rFonts w:eastAsia="Times New Roman" w:cs="Times New Roman"/>
          <w:sz w:val="36"/>
        </w:rPr>
      </w:pPr>
    </w:p>
    <w:p w14:paraId="124B4E12" w14:textId="77777777" w:rsidR="00B04206" w:rsidRPr="00B04206" w:rsidRDefault="00B04206" w:rsidP="00B04206">
      <w:pPr>
        <w:spacing w:after="240" w:line="240" w:lineRule="auto"/>
        <w:jc w:val="center"/>
        <w:outlineLvl w:val="0"/>
        <w:rPr>
          <w:rFonts w:eastAsia="Times New Roman" w:cs="Times New Roman"/>
          <w:sz w:val="32"/>
          <w:szCs w:val="32"/>
        </w:rPr>
      </w:pPr>
      <w:r w:rsidRPr="00B04206">
        <w:rPr>
          <w:rFonts w:eastAsia="Times New Roman" w:cs="Times New Roman"/>
          <w:sz w:val="32"/>
          <w:szCs w:val="32"/>
        </w:rPr>
        <w:t>100% Business Rates Retention</w:t>
      </w:r>
    </w:p>
    <w:p w14:paraId="6DFEB57E" w14:textId="77777777" w:rsidR="00B04206" w:rsidRPr="00B04206" w:rsidRDefault="00B04206" w:rsidP="00B04206">
      <w:pPr>
        <w:spacing w:after="240" w:line="240" w:lineRule="auto"/>
        <w:jc w:val="center"/>
        <w:outlineLvl w:val="0"/>
        <w:rPr>
          <w:rFonts w:eastAsia="Times New Roman" w:cs="Times New Roman"/>
          <w:sz w:val="32"/>
          <w:szCs w:val="32"/>
        </w:rPr>
      </w:pPr>
      <w:r w:rsidRPr="00B04206">
        <w:rPr>
          <w:rFonts w:eastAsia="Times New Roman" w:cs="Times New Roman"/>
          <w:sz w:val="32"/>
          <w:szCs w:val="32"/>
        </w:rPr>
        <w:t>Systems Design Working Group: 21 March 2018</w:t>
      </w:r>
    </w:p>
    <w:p w14:paraId="5F85A260" w14:textId="77777777" w:rsidR="00B04206" w:rsidRPr="00B04206" w:rsidRDefault="00B04206" w:rsidP="00B04206">
      <w:pPr>
        <w:spacing w:after="240" w:line="240" w:lineRule="auto"/>
        <w:outlineLvl w:val="1"/>
        <w:rPr>
          <w:rFonts w:eastAsia="Times New Roman" w:cs="Times New Roman"/>
          <w:sz w:val="36"/>
        </w:rPr>
      </w:pPr>
    </w:p>
    <w:p w14:paraId="24B3239B" w14:textId="77777777" w:rsidR="00752EB2" w:rsidRPr="00B7097A" w:rsidRDefault="00B04206" w:rsidP="00B7097A">
      <w:pPr>
        <w:spacing w:after="600" w:line="240" w:lineRule="auto"/>
        <w:jc w:val="center"/>
        <w:outlineLvl w:val="1"/>
        <w:rPr>
          <w:rFonts w:eastAsia="Times New Roman" w:cs="Times New Roman"/>
          <w:sz w:val="40"/>
          <w:szCs w:val="40"/>
        </w:rPr>
      </w:pPr>
      <w:r w:rsidRPr="00B04206">
        <w:rPr>
          <w:rFonts w:eastAsia="Times New Roman" w:cs="Times New Roman"/>
          <w:sz w:val="40"/>
          <w:szCs w:val="40"/>
        </w:rPr>
        <w:t>Technical paper 2: The Safety Net, Levy &amp; Tier Splits – Risk and Gearing</w:t>
      </w:r>
    </w:p>
    <w:p w14:paraId="0769A5E9" w14:textId="77777777" w:rsidR="008F28F8" w:rsidRPr="00B7097A" w:rsidRDefault="008F28F8" w:rsidP="00B04206">
      <w:pPr>
        <w:jc w:val="both"/>
        <w:rPr>
          <w:sz w:val="36"/>
          <w:szCs w:val="36"/>
        </w:rPr>
      </w:pPr>
      <w:r w:rsidRPr="00B7097A">
        <w:rPr>
          <w:sz w:val="36"/>
          <w:szCs w:val="36"/>
        </w:rPr>
        <w:t>Introduction</w:t>
      </w:r>
    </w:p>
    <w:p w14:paraId="7B0EA2C0" w14:textId="77777777" w:rsidR="008F28F8" w:rsidRPr="00A0462C" w:rsidRDefault="008F28F8" w:rsidP="00A32399">
      <w:pPr>
        <w:pStyle w:val="Heading2"/>
        <w:ind w:left="720" w:hanging="720"/>
        <w:rPr>
          <w:color w:val="000000"/>
          <w:sz w:val="24"/>
        </w:rPr>
      </w:pPr>
      <w:r w:rsidRPr="00A0462C">
        <w:rPr>
          <w:color w:val="000000"/>
          <w:sz w:val="24"/>
        </w:rPr>
        <w:t>1.1</w:t>
      </w:r>
      <w:r w:rsidRPr="00A0462C">
        <w:rPr>
          <w:color w:val="000000"/>
          <w:sz w:val="24"/>
        </w:rPr>
        <w:tab/>
        <w:t xml:space="preserve">On 5 July 2016, the Department for Communities and Local Government (DCLG), published a consultation paper, </w:t>
      </w:r>
      <w:r w:rsidRPr="00DA227F">
        <w:rPr>
          <w:b/>
          <w:color w:val="000000"/>
          <w:sz w:val="24"/>
        </w:rPr>
        <w:t>Self Sufficient Local Government: 100% business Rates Retention</w:t>
      </w:r>
      <w:r w:rsidRPr="00A0462C">
        <w:rPr>
          <w:color w:val="000000"/>
          <w:sz w:val="24"/>
        </w:rPr>
        <w:t xml:space="preserve">. Following this, on the 15 February 2017, DCLG, published a further consultation paper, 100% Business Rates Retention: </w:t>
      </w:r>
      <w:r w:rsidRPr="00DA227F">
        <w:rPr>
          <w:b/>
          <w:color w:val="000000"/>
          <w:sz w:val="24"/>
        </w:rPr>
        <w:t>Further Consultation on the Design of the Reformed System</w:t>
      </w:r>
      <w:r w:rsidRPr="00A0462C">
        <w:rPr>
          <w:color w:val="000000"/>
          <w:sz w:val="24"/>
        </w:rPr>
        <w:t>.</w:t>
      </w:r>
    </w:p>
    <w:p w14:paraId="7B86880C" w14:textId="77777777" w:rsidR="008F28F8" w:rsidRPr="00A0462C" w:rsidRDefault="008F28F8" w:rsidP="00A32399">
      <w:pPr>
        <w:spacing w:after="240" w:line="240" w:lineRule="auto"/>
        <w:ind w:left="720" w:hanging="720"/>
        <w:rPr>
          <w:color w:val="000000"/>
        </w:rPr>
      </w:pPr>
      <w:r w:rsidRPr="00A0462C">
        <w:rPr>
          <w:color w:val="000000"/>
        </w:rPr>
        <w:t>1.2</w:t>
      </w:r>
      <w:r w:rsidRPr="00A0462C">
        <w:rPr>
          <w:color w:val="000000"/>
        </w:rPr>
        <w:tab/>
        <w:t>These set out proposals for a rates retention scheme to replace the current local government finance system, under which local authorities pay a central share of 50% of their business rates income to be redistributed as grants.</w:t>
      </w:r>
    </w:p>
    <w:p w14:paraId="731E2E91" w14:textId="5793BCD3" w:rsidR="008F28F8" w:rsidRPr="00A0462C" w:rsidRDefault="008F28F8" w:rsidP="00A32399">
      <w:pPr>
        <w:spacing w:after="240" w:line="240" w:lineRule="auto"/>
        <w:ind w:left="720" w:hanging="720"/>
        <w:rPr>
          <w:color w:val="000000"/>
        </w:rPr>
      </w:pPr>
      <w:r w:rsidRPr="00A0462C">
        <w:rPr>
          <w:color w:val="000000"/>
        </w:rPr>
        <w:t>1.3</w:t>
      </w:r>
      <w:r w:rsidRPr="00A0462C">
        <w:rPr>
          <w:color w:val="000000"/>
        </w:rPr>
        <w:tab/>
        <w:t>The consultation papers outlined the princip</w:t>
      </w:r>
      <w:r w:rsidR="0079329D">
        <w:rPr>
          <w:color w:val="000000"/>
        </w:rPr>
        <w:t>al</w:t>
      </w:r>
      <w:r w:rsidRPr="00A0462C">
        <w:rPr>
          <w:color w:val="000000"/>
        </w:rPr>
        <w:t xml:space="preserve"> features of the proposed greater rates retention scheme. A summary of responses received to the Further Consultation was published alongside the 2018/19 Provisional Settlement on 19 December 2017.</w:t>
      </w:r>
    </w:p>
    <w:p w14:paraId="67ED5467" w14:textId="59BFCED5" w:rsidR="008F28F8" w:rsidRPr="00A0462C" w:rsidRDefault="008F28F8" w:rsidP="00A32399">
      <w:pPr>
        <w:spacing w:after="240" w:line="240" w:lineRule="auto"/>
        <w:ind w:left="720" w:hanging="720"/>
        <w:rPr>
          <w:color w:val="000000"/>
        </w:rPr>
      </w:pPr>
      <w:r w:rsidRPr="00A0462C">
        <w:rPr>
          <w:color w:val="000000"/>
        </w:rPr>
        <w:t>1.4</w:t>
      </w:r>
      <w:r w:rsidRPr="00A0462C">
        <w:rPr>
          <w:color w:val="000000"/>
        </w:rPr>
        <w:tab/>
        <w:t>Following the fall of the Local Government Finance Bill, MHCLG (formerly DCLG) will be developing a package of reforms, in close collaboration with the sector, that further</w:t>
      </w:r>
      <w:r w:rsidR="004D45B6">
        <w:rPr>
          <w:color w:val="000000"/>
        </w:rPr>
        <w:t>s</w:t>
      </w:r>
      <w:r w:rsidRPr="00A0462C">
        <w:rPr>
          <w:color w:val="000000"/>
        </w:rPr>
        <w:t xml:space="preserve"> the manifesto commitment to continue to allow local government greater control over the money it raises. Reforms to the design of the system will seek to make improvements to the functionality and stability of Local Government Finance.</w:t>
      </w:r>
    </w:p>
    <w:p w14:paraId="16CBEAA2" w14:textId="77777777" w:rsidR="008F28F8" w:rsidRPr="00A0462C" w:rsidRDefault="008F28F8" w:rsidP="00A32399">
      <w:pPr>
        <w:spacing w:after="240" w:line="240" w:lineRule="auto"/>
        <w:ind w:left="720" w:hanging="720"/>
        <w:rPr>
          <w:color w:val="000000"/>
        </w:rPr>
      </w:pPr>
      <w:r w:rsidRPr="00A0462C">
        <w:rPr>
          <w:color w:val="000000"/>
        </w:rPr>
        <w:t>1.5</w:t>
      </w:r>
      <w:r w:rsidRPr="00A0462C">
        <w:rPr>
          <w:color w:val="000000"/>
        </w:rPr>
        <w:tab/>
        <w:t>A commitment was made to the Steering Group and Technical Working Group that a series of technical papers would be shared with the Technical Working Group for discussion and published on the Local Government Association (LGA) website. A suggested forward look of these was shared with the Working and Steering Groups in November 2017.</w:t>
      </w:r>
    </w:p>
    <w:p w14:paraId="27F4FBF4" w14:textId="77777777" w:rsidR="008F28F8" w:rsidRPr="00A0462C" w:rsidRDefault="008F28F8" w:rsidP="00A32399">
      <w:pPr>
        <w:spacing w:after="240" w:line="240" w:lineRule="auto"/>
        <w:ind w:left="720" w:hanging="720"/>
        <w:rPr>
          <w:color w:val="000000"/>
        </w:rPr>
      </w:pPr>
      <w:r w:rsidRPr="00A0462C">
        <w:rPr>
          <w:color w:val="000000"/>
        </w:rPr>
        <w:t>1.6</w:t>
      </w:r>
      <w:r w:rsidRPr="00A0462C">
        <w:rPr>
          <w:color w:val="000000"/>
        </w:rPr>
        <w:tab/>
        <w:t xml:space="preserve">Taken together these technical papers will raise a number of questions about the proposed rates retention scheme, on which the Government is seeking views. </w:t>
      </w:r>
    </w:p>
    <w:p w14:paraId="7C7294D5" w14:textId="77777777" w:rsidR="008F28F8" w:rsidRPr="00A0462C" w:rsidRDefault="008F28F8" w:rsidP="00752EB2">
      <w:pPr>
        <w:spacing w:after="240" w:line="240" w:lineRule="auto"/>
        <w:ind w:left="426" w:hanging="426"/>
        <w:rPr>
          <w:color w:val="000000"/>
        </w:rPr>
      </w:pPr>
      <w:r w:rsidRPr="00A0462C">
        <w:rPr>
          <w:color w:val="000000"/>
        </w:rPr>
        <w:lastRenderedPageBreak/>
        <w:t>1.7</w:t>
      </w:r>
      <w:r w:rsidRPr="00A0462C">
        <w:rPr>
          <w:color w:val="000000"/>
        </w:rPr>
        <w:tab/>
      </w:r>
      <w:r w:rsidR="00A32399">
        <w:rPr>
          <w:color w:val="000000"/>
        </w:rPr>
        <w:tab/>
      </w:r>
      <w:r w:rsidRPr="00A0462C">
        <w:rPr>
          <w:color w:val="000000"/>
        </w:rPr>
        <w:t>This is one of seven core technical papers. The full list is:</w:t>
      </w:r>
    </w:p>
    <w:p w14:paraId="52C49D5F" w14:textId="77777777" w:rsidR="008F28F8" w:rsidRPr="00A0462C" w:rsidRDefault="008F28F8" w:rsidP="00752EB2">
      <w:pPr>
        <w:spacing w:after="240" w:line="240" w:lineRule="auto"/>
        <w:ind w:left="426" w:hanging="426"/>
        <w:contextualSpacing/>
        <w:rPr>
          <w:color w:val="000000"/>
        </w:rPr>
      </w:pPr>
      <w:r w:rsidRPr="00A0462C">
        <w:rPr>
          <w:color w:val="000000"/>
        </w:rPr>
        <w:t>Paper 1:</w:t>
      </w:r>
      <w:r w:rsidRPr="00A0462C">
        <w:rPr>
          <w:color w:val="000000"/>
        </w:rPr>
        <w:tab/>
        <w:t>The Central and Local Rating Lists</w:t>
      </w:r>
    </w:p>
    <w:p w14:paraId="5BD6383A" w14:textId="77777777" w:rsidR="008F28F8" w:rsidRPr="00A0462C" w:rsidRDefault="008F28F8" w:rsidP="00752EB2">
      <w:pPr>
        <w:spacing w:after="240" w:line="240" w:lineRule="auto"/>
        <w:ind w:left="426" w:hanging="426"/>
        <w:contextualSpacing/>
        <w:rPr>
          <w:b/>
          <w:color w:val="000000"/>
        </w:rPr>
      </w:pPr>
      <w:r w:rsidRPr="00A0462C">
        <w:rPr>
          <w:b/>
          <w:color w:val="000000"/>
        </w:rPr>
        <w:t>Paper 2:</w:t>
      </w:r>
      <w:r w:rsidRPr="00A0462C">
        <w:rPr>
          <w:b/>
          <w:color w:val="000000"/>
        </w:rPr>
        <w:tab/>
        <w:t>The Safety Net, Levy &amp; Tier Splits - Risk and Gearing</w:t>
      </w:r>
    </w:p>
    <w:p w14:paraId="4437E66E" w14:textId="77777777" w:rsidR="008F28F8" w:rsidRPr="00A0462C" w:rsidRDefault="008F28F8" w:rsidP="00752EB2">
      <w:pPr>
        <w:spacing w:after="240" w:line="240" w:lineRule="auto"/>
        <w:ind w:left="426" w:hanging="426"/>
        <w:contextualSpacing/>
        <w:rPr>
          <w:color w:val="000000"/>
        </w:rPr>
      </w:pPr>
      <w:r w:rsidRPr="00A0462C">
        <w:rPr>
          <w:color w:val="000000"/>
        </w:rPr>
        <w:t>Paper 3:</w:t>
      </w:r>
      <w:r w:rsidRPr="00A0462C">
        <w:rPr>
          <w:color w:val="000000"/>
        </w:rPr>
        <w:tab/>
        <w:t>Appeals and Loss Payments</w:t>
      </w:r>
    </w:p>
    <w:p w14:paraId="2F8FF03D" w14:textId="77777777" w:rsidR="008F28F8" w:rsidRPr="00A0462C" w:rsidRDefault="008F28F8" w:rsidP="00752EB2">
      <w:pPr>
        <w:spacing w:after="240" w:line="240" w:lineRule="auto"/>
        <w:ind w:left="426" w:hanging="426"/>
        <w:contextualSpacing/>
        <w:rPr>
          <w:color w:val="000000"/>
        </w:rPr>
      </w:pPr>
      <w:r w:rsidRPr="00A0462C">
        <w:rPr>
          <w:color w:val="000000"/>
        </w:rPr>
        <w:t>Paper 4:</w:t>
      </w:r>
      <w:r w:rsidRPr="00A0462C">
        <w:rPr>
          <w:color w:val="000000"/>
        </w:rPr>
        <w:tab/>
        <w:t>Resets, Measuring Growth and Revaluation</w:t>
      </w:r>
    </w:p>
    <w:p w14:paraId="40002BAD" w14:textId="77777777" w:rsidR="008F28F8" w:rsidRPr="00A0462C" w:rsidRDefault="008F28F8" w:rsidP="00752EB2">
      <w:pPr>
        <w:spacing w:after="240" w:line="240" w:lineRule="auto"/>
        <w:ind w:left="426" w:hanging="426"/>
        <w:contextualSpacing/>
        <w:rPr>
          <w:color w:val="000000"/>
        </w:rPr>
      </w:pPr>
      <w:r w:rsidRPr="00A0462C">
        <w:rPr>
          <w:color w:val="000000"/>
        </w:rPr>
        <w:t>Paper 5:</w:t>
      </w:r>
      <w:r w:rsidRPr="00A0462C">
        <w:rPr>
          <w:color w:val="000000"/>
        </w:rPr>
        <w:tab/>
        <w:t>Transitional Arrangements</w:t>
      </w:r>
    </w:p>
    <w:p w14:paraId="61986BAE" w14:textId="77777777" w:rsidR="008F28F8" w:rsidRPr="00A0462C" w:rsidRDefault="008F28F8" w:rsidP="00752EB2">
      <w:pPr>
        <w:spacing w:after="240" w:line="240" w:lineRule="auto"/>
        <w:ind w:left="426" w:hanging="426"/>
        <w:contextualSpacing/>
        <w:rPr>
          <w:color w:val="000000"/>
        </w:rPr>
      </w:pPr>
      <w:r w:rsidRPr="00A0462C">
        <w:rPr>
          <w:color w:val="000000"/>
        </w:rPr>
        <w:t>Paper 6:</w:t>
      </w:r>
      <w:r w:rsidRPr="00A0462C">
        <w:rPr>
          <w:color w:val="000000"/>
        </w:rPr>
        <w:tab/>
        <w:t>Pooling</w:t>
      </w:r>
    </w:p>
    <w:p w14:paraId="2F67D844" w14:textId="77777777" w:rsidR="008F28F8" w:rsidRPr="00A0462C" w:rsidRDefault="008F28F8" w:rsidP="00AF2102">
      <w:pPr>
        <w:spacing w:after="240" w:line="240" w:lineRule="auto"/>
        <w:ind w:left="1440" w:hanging="1440"/>
        <w:rPr>
          <w:color w:val="000000"/>
        </w:rPr>
      </w:pPr>
      <w:r w:rsidRPr="00A0462C">
        <w:rPr>
          <w:color w:val="000000"/>
        </w:rPr>
        <w:t>Paper 7:</w:t>
      </w:r>
      <w:r w:rsidRPr="00A0462C">
        <w:rPr>
          <w:color w:val="000000"/>
        </w:rPr>
        <w:tab/>
        <w:t>Proposed Overall Short Term Package and Future Reform Using Primary Legislation</w:t>
      </w:r>
    </w:p>
    <w:p w14:paraId="3DE06B51" w14:textId="77777777" w:rsidR="00AF2102" w:rsidRPr="00AF2102" w:rsidRDefault="008F28F8" w:rsidP="00A32399">
      <w:pPr>
        <w:spacing w:after="600" w:line="240" w:lineRule="auto"/>
        <w:ind w:left="720" w:hanging="720"/>
        <w:jc w:val="both"/>
        <w:rPr>
          <w:color w:val="000000"/>
        </w:rPr>
      </w:pPr>
      <w:r w:rsidRPr="00A0462C">
        <w:rPr>
          <w:color w:val="000000"/>
        </w:rPr>
        <w:t>1.8</w:t>
      </w:r>
      <w:r w:rsidRPr="00A0462C">
        <w:rPr>
          <w:color w:val="000000"/>
        </w:rPr>
        <w:tab/>
        <w:t xml:space="preserve">We expect that these will be supplemented by other papers in response to Technical Working Group discussions. Additional papers will be announced as need for them arises. </w:t>
      </w:r>
    </w:p>
    <w:p w14:paraId="6581C842" w14:textId="77777777" w:rsidR="00A32399" w:rsidRDefault="00A32399" w:rsidP="00A11D2F">
      <w:pPr>
        <w:spacing w:after="240" w:line="240" w:lineRule="auto"/>
        <w:rPr>
          <w:sz w:val="36"/>
          <w:szCs w:val="36"/>
        </w:rPr>
      </w:pPr>
      <w:r>
        <w:rPr>
          <w:sz w:val="36"/>
          <w:szCs w:val="36"/>
        </w:rPr>
        <w:t>Background</w:t>
      </w:r>
    </w:p>
    <w:p w14:paraId="3EEC70E8" w14:textId="391A885A" w:rsidR="007E3093" w:rsidRPr="00876BF7" w:rsidRDefault="007E3093" w:rsidP="00A11D2F">
      <w:pPr>
        <w:spacing w:after="240" w:line="240" w:lineRule="auto"/>
        <w:ind w:left="720" w:hanging="720"/>
        <w:rPr>
          <w:sz w:val="36"/>
          <w:szCs w:val="36"/>
        </w:rPr>
      </w:pPr>
      <w:r>
        <w:t>2.1</w:t>
      </w:r>
      <w:r>
        <w:tab/>
        <w:t xml:space="preserve">At present, </w:t>
      </w:r>
      <w:r w:rsidR="00C315F8">
        <w:t>the local share of</w:t>
      </w:r>
      <w:r>
        <w:t xml:space="preserve"> business rates income </w:t>
      </w:r>
      <w:r w:rsidRPr="00520417">
        <w:t>is divided between tiers of local government</w:t>
      </w:r>
      <w:r w:rsidR="00A32399">
        <w:t xml:space="preserve"> in two tier areas</w:t>
      </w:r>
      <w:r w:rsidRPr="00520417">
        <w:t xml:space="preserve"> according to a </w:t>
      </w:r>
      <w:r w:rsidRPr="007E3093">
        <w:rPr>
          <w:b/>
        </w:rPr>
        <w:t>tier split</w:t>
      </w:r>
      <w:r w:rsidRPr="00520417">
        <w:t xml:space="preserve"> </w:t>
      </w:r>
      <w:r>
        <w:t xml:space="preserve">of </w:t>
      </w:r>
      <w:r w:rsidRPr="00520417">
        <w:t>80</w:t>
      </w:r>
      <w:r>
        <w:t xml:space="preserve">% to lower tiers and </w:t>
      </w:r>
      <w:r w:rsidRPr="00520417">
        <w:t>20</w:t>
      </w:r>
      <w:r>
        <w:t>% to upper</w:t>
      </w:r>
      <w:r w:rsidR="00305A10">
        <w:rPr>
          <w:rStyle w:val="FootnoteReference"/>
        </w:rPr>
        <w:footnoteReference w:id="2"/>
      </w:r>
      <w:r>
        <w:t xml:space="preserve">.  </w:t>
      </w:r>
      <w:r w:rsidRPr="007E3093">
        <w:rPr>
          <w:color w:val="000000"/>
        </w:rPr>
        <w:t xml:space="preserve">Although tariffs and top-ups redistribute the </w:t>
      </w:r>
      <w:proofErr w:type="spellStart"/>
      <w:r w:rsidRPr="007E3093">
        <w:rPr>
          <w:color w:val="000000"/>
        </w:rPr>
        <w:t>baselined</w:t>
      </w:r>
      <w:proofErr w:type="spellEnd"/>
      <w:r w:rsidRPr="007E3093">
        <w:rPr>
          <w:color w:val="000000"/>
        </w:rPr>
        <w:t xml:space="preserve"> income, any growth or reduction in business rates rests with authorities according to the original tier split.</w:t>
      </w:r>
      <w:r>
        <w:t xml:space="preserve"> This</w:t>
      </w:r>
      <w:r w:rsidRPr="00520417">
        <w:t xml:space="preserve"> produces a </w:t>
      </w:r>
      <w:r w:rsidRPr="00D539D7">
        <w:t>gearing</w:t>
      </w:r>
      <w:r w:rsidRPr="00520417">
        <w:t xml:space="preserve"> effect </w:t>
      </w:r>
      <w:r>
        <w:t xml:space="preserve">reflecting </w:t>
      </w:r>
      <w:r w:rsidRPr="007E3093">
        <w:rPr>
          <w:color w:val="000000"/>
        </w:rPr>
        <w:t xml:space="preserve">the amount of local business rates that a council is able to raise, compared to the amount it is assessed to ‘need’ as its baseline funding level. </w:t>
      </w:r>
    </w:p>
    <w:p w14:paraId="0FB44176" w14:textId="77777777" w:rsidR="009660E9" w:rsidRDefault="007E3093" w:rsidP="00A11D2F">
      <w:pPr>
        <w:spacing w:after="240" w:line="240" w:lineRule="auto"/>
        <w:ind w:left="720" w:hanging="720"/>
        <w:jc w:val="both"/>
      </w:pPr>
      <w:r>
        <w:t xml:space="preserve">2.2 </w:t>
      </w:r>
      <w:r>
        <w:tab/>
      </w:r>
      <w:r w:rsidRPr="00520417">
        <w:t>The level of this gearing produces a varying level of risk</w:t>
      </w:r>
      <w:r>
        <w:t>.</w:t>
      </w:r>
      <w:r w:rsidRPr="00520417">
        <w:t xml:space="preserve"> </w:t>
      </w:r>
      <w:r>
        <w:t xml:space="preserve">Where a council (at present, typically a district council) receives a tier split that gives them a much higher amount in business rates than they “need”, a small percentage growth or reduction in business </w:t>
      </w:r>
      <w:r w:rsidRPr="00BF40C3">
        <w:t xml:space="preserve">rates produces a disproportionately high effect on their final income, meaning they enjoy large benefits but suffer higher risk.  Conversely, where a council (typically a county) receives a much lower amount in business rates than they need they have low risks, but low rewards.  </w:t>
      </w:r>
    </w:p>
    <w:p w14:paraId="114002CB" w14:textId="77777777" w:rsidR="007E3093" w:rsidRPr="00D539D7" w:rsidRDefault="009660E9" w:rsidP="00A11D2F">
      <w:pPr>
        <w:autoSpaceDE w:val="0"/>
        <w:autoSpaceDN w:val="0"/>
        <w:adjustRightInd w:val="0"/>
        <w:spacing w:after="240" w:line="240" w:lineRule="auto"/>
        <w:ind w:left="720" w:hanging="720"/>
        <w:jc w:val="both"/>
      </w:pPr>
      <w:r>
        <w:t>2.3</w:t>
      </w:r>
      <w:r>
        <w:tab/>
      </w:r>
      <w:r w:rsidR="007E3093" w:rsidRPr="00BF40C3">
        <w:t xml:space="preserve">Councils with high gearing are therefore much more likely to trigger the </w:t>
      </w:r>
      <w:r w:rsidR="007E3093" w:rsidRPr="009660E9">
        <w:rPr>
          <w:b/>
        </w:rPr>
        <w:t>safety net</w:t>
      </w:r>
      <w:r w:rsidR="007E3093" w:rsidRPr="00BF40C3">
        <w:t xml:space="preserve"> mechanism, as this protects local authority income when it falls below a certain level.  It does this by guaranteeing that no local authority will see its </w:t>
      </w:r>
      <w:r w:rsidR="007E3093" w:rsidRPr="009660E9">
        <w:rPr>
          <w:iCs/>
        </w:rPr>
        <w:t>retained rates income</w:t>
      </w:r>
      <w:r w:rsidR="007E3093" w:rsidRPr="00BF40C3">
        <w:t xml:space="preserve"> fall beyond a threshold</w:t>
      </w:r>
      <w:r w:rsidR="007E3093">
        <w:t xml:space="preserve"> – currently set </w:t>
      </w:r>
      <w:r w:rsidR="007E3093" w:rsidRPr="00BF40C3">
        <w:t xml:space="preserve">7.5% below an authority’s index linked </w:t>
      </w:r>
      <w:r w:rsidR="007E3093" w:rsidRPr="009660E9">
        <w:rPr>
          <w:iCs/>
        </w:rPr>
        <w:t>baseline funding level</w:t>
      </w:r>
      <w:r w:rsidR="007E3093" w:rsidRPr="00BF40C3">
        <w:t xml:space="preserve">. In practice, this means that every local authority is guaranteed to receive at least 92.5% of its </w:t>
      </w:r>
      <w:r w:rsidR="007E3093" w:rsidRPr="009660E9">
        <w:rPr>
          <w:iCs/>
        </w:rPr>
        <w:t xml:space="preserve">baseline funding </w:t>
      </w:r>
      <w:r w:rsidR="007E3093" w:rsidRPr="00D539D7">
        <w:t>level.</w:t>
      </w:r>
    </w:p>
    <w:p w14:paraId="5FB7DEB1" w14:textId="77777777" w:rsidR="00B909F2" w:rsidRPr="00876BF7" w:rsidRDefault="009660E9" w:rsidP="00A11D2F">
      <w:pPr>
        <w:autoSpaceDE w:val="0"/>
        <w:autoSpaceDN w:val="0"/>
        <w:adjustRightInd w:val="0"/>
        <w:spacing w:after="600" w:line="240" w:lineRule="auto"/>
        <w:ind w:left="720" w:hanging="720"/>
        <w:jc w:val="both"/>
      </w:pPr>
      <w:r>
        <w:t>2.4</w:t>
      </w:r>
      <w:r>
        <w:tab/>
      </w:r>
      <w:r w:rsidR="007E3093" w:rsidRPr="00F56DDB">
        <w:t xml:space="preserve">At present, the safety net is funded through a </w:t>
      </w:r>
      <w:r w:rsidR="007E3093" w:rsidRPr="009660E9">
        <w:rPr>
          <w:b/>
        </w:rPr>
        <w:t>levy</w:t>
      </w:r>
      <w:r w:rsidR="007E3093" w:rsidRPr="00F56DDB">
        <w:t xml:space="preserve"> paid on growth in business rates income and through a top-slice on Revenue Support Grant.</w:t>
      </w:r>
      <w:r w:rsidR="007E3093" w:rsidRPr="00BF40C3">
        <w:t xml:space="preserve"> </w:t>
      </w:r>
      <w:r w:rsidR="007E3093">
        <w:t xml:space="preserve"> The levy is set as a proportion of the growth, on a sliding scale based on the gearing of the authority in question, but with a maximum of 50%. </w:t>
      </w:r>
    </w:p>
    <w:p w14:paraId="2BE707F1" w14:textId="77777777" w:rsidR="00F60224" w:rsidRPr="00AF2102" w:rsidRDefault="00F60224" w:rsidP="00A11D2F">
      <w:pPr>
        <w:spacing w:after="240" w:line="240" w:lineRule="auto"/>
        <w:rPr>
          <w:sz w:val="36"/>
          <w:szCs w:val="36"/>
        </w:rPr>
      </w:pPr>
      <w:r w:rsidRPr="00AF2102">
        <w:rPr>
          <w:sz w:val="36"/>
          <w:szCs w:val="36"/>
        </w:rPr>
        <w:lastRenderedPageBreak/>
        <w:t xml:space="preserve">Overview of this paper </w:t>
      </w:r>
    </w:p>
    <w:p w14:paraId="592861A5" w14:textId="77777777" w:rsidR="00F60224" w:rsidRPr="00876BF7" w:rsidRDefault="00A32399" w:rsidP="00A11D2F">
      <w:pPr>
        <w:spacing w:after="240" w:line="240" w:lineRule="auto"/>
        <w:ind w:left="720" w:hanging="720"/>
        <w:rPr>
          <w:color w:val="000000"/>
        </w:rPr>
      </w:pPr>
      <w:r>
        <w:rPr>
          <w:color w:val="000000"/>
        </w:rPr>
        <w:t>3.1</w:t>
      </w:r>
      <w:r>
        <w:rPr>
          <w:color w:val="000000"/>
        </w:rPr>
        <w:tab/>
      </w:r>
      <w:r w:rsidR="00F60224" w:rsidRPr="00A32399">
        <w:rPr>
          <w:color w:val="000000"/>
        </w:rPr>
        <w:t xml:space="preserve">This paper </w:t>
      </w:r>
      <w:r w:rsidR="00013897">
        <w:rPr>
          <w:color w:val="000000"/>
        </w:rPr>
        <w:t xml:space="preserve">sets out </w:t>
      </w:r>
      <w:r w:rsidR="00F60224" w:rsidRPr="00A32399">
        <w:rPr>
          <w:color w:val="000000"/>
        </w:rPr>
        <w:t xml:space="preserve">options for how to ensure that the retained business rates system continues to incentivise growth while providing appropriate protection from reduction in business rates income </w:t>
      </w:r>
      <w:r w:rsidR="00F60224">
        <w:t xml:space="preserve">when </w:t>
      </w:r>
      <w:r w:rsidR="00013897">
        <w:t xml:space="preserve">75% business rates retention is introduced, aimed to be </w:t>
      </w:r>
      <w:r w:rsidR="00F60224">
        <w:t>in 2020/21</w:t>
      </w:r>
      <w:r w:rsidR="00F60224" w:rsidRPr="00A32399">
        <w:rPr>
          <w:color w:val="000000"/>
        </w:rPr>
        <w:t xml:space="preserve">.  </w:t>
      </w:r>
    </w:p>
    <w:p w14:paraId="7D36E083" w14:textId="77777777" w:rsidR="00F60224" w:rsidRPr="00A32399" w:rsidRDefault="00A32399" w:rsidP="00A11D2F">
      <w:pPr>
        <w:spacing w:after="240" w:line="240" w:lineRule="auto"/>
        <w:ind w:left="720" w:hanging="720"/>
        <w:jc w:val="both"/>
        <w:rPr>
          <w:color w:val="000000"/>
        </w:rPr>
      </w:pPr>
      <w:r>
        <w:rPr>
          <w:color w:val="000000"/>
        </w:rPr>
        <w:t>3.2</w:t>
      </w:r>
      <w:r>
        <w:rPr>
          <w:color w:val="000000"/>
        </w:rPr>
        <w:tab/>
      </w:r>
      <w:r w:rsidR="00F60224" w:rsidRPr="00A32399">
        <w:rPr>
          <w:color w:val="000000"/>
        </w:rPr>
        <w:t>In particular, it</w:t>
      </w:r>
      <w:r w:rsidR="00F60224" w:rsidRPr="00756299">
        <w:t xml:space="preserve"> </w:t>
      </w:r>
      <w:r w:rsidR="00F60224">
        <w:t>discusses the options for reform of the safety net and</w:t>
      </w:r>
      <w:r w:rsidR="00013897">
        <w:t xml:space="preserve"> tier split mechanisms</w:t>
      </w:r>
      <w:r w:rsidR="00F60224">
        <w:t>, and the future of the levy</w:t>
      </w:r>
      <w:r w:rsidR="00F60224" w:rsidRPr="00A32399">
        <w:rPr>
          <w:color w:val="000000"/>
        </w:rPr>
        <w:t>, including</w:t>
      </w:r>
      <w:r w:rsidR="00876BF7">
        <w:rPr>
          <w:color w:val="000000"/>
        </w:rPr>
        <w:t>:</w:t>
      </w:r>
    </w:p>
    <w:p w14:paraId="3D4FFF2C" w14:textId="77777777" w:rsidR="00F60224" w:rsidRPr="00A32399" w:rsidRDefault="00F60224" w:rsidP="00A11D2F">
      <w:pPr>
        <w:pStyle w:val="ListParagraph"/>
        <w:numPr>
          <w:ilvl w:val="0"/>
          <w:numId w:val="1"/>
        </w:numPr>
        <w:spacing w:after="240" w:line="240" w:lineRule="auto"/>
        <w:jc w:val="both"/>
        <w:rPr>
          <w:color w:val="000000"/>
        </w:rPr>
      </w:pPr>
      <w:r>
        <w:t>H</w:t>
      </w:r>
      <w:r w:rsidRPr="00161D2C">
        <w:t>ow</w:t>
      </w:r>
      <w:r>
        <w:t xml:space="preserve"> revised</w:t>
      </w:r>
      <w:r w:rsidRPr="00161D2C">
        <w:t xml:space="preserve"> t</w:t>
      </w:r>
      <w:r>
        <w:t xml:space="preserve">ier splits could </w:t>
      </w:r>
      <w:r w:rsidRPr="00161D2C">
        <w:t>adjust gearing and thereby</w:t>
      </w:r>
      <w:r w:rsidR="00013897">
        <w:t xml:space="preserve"> the balance of</w:t>
      </w:r>
      <w:r w:rsidRPr="00161D2C">
        <w:t xml:space="preserve"> risk</w:t>
      </w:r>
      <w:r w:rsidR="00013897">
        <w:t xml:space="preserve"> and reward,</w:t>
      </w:r>
      <w:r w:rsidRPr="003F147A">
        <w:t xml:space="preserve"> </w:t>
      </w:r>
      <w:r w:rsidRPr="00520417">
        <w:t xml:space="preserve">avoiding the </w:t>
      </w:r>
      <w:r>
        <w:t xml:space="preserve">need for </w:t>
      </w:r>
      <w:r w:rsidRPr="00520417">
        <w:t xml:space="preserve">highly geared local authorities </w:t>
      </w:r>
      <w:r>
        <w:t>to trigger</w:t>
      </w:r>
      <w:r w:rsidRPr="00520417">
        <w:t xml:space="preserve"> the safety</w:t>
      </w:r>
      <w:r>
        <w:t xml:space="preserve"> net, and what different options might mean; </w:t>
      </w:r>
    </w:p>
    <w:p w14:paraId="40FCFEF2" w14:textId="77777777" w:rsidR="00F60224" w:rsidRPr="00A32399" w:rsidRDefault="00F60224" w:rsidP="00A11D2F">
      <w:pPr>
        <w:pStyle w:val="ListParagraph"/>
        <w:numPr>
          <w:ilvl w:val="0"/>
          <w:numId w:val="1"/>
        </w:numPr>
        <w:spacing w:after="240" w:line="240" w:lineRule="auto"/>
        <w:jc w:val="both"/>
        <w:rPr>
          <w:color w:val="000000"/>
        </w:rPr>
      </w:pPr>
      <w:r>
        <w:t>Whether local authorities should have a role in d</w:t>
      </w:r>
      <w:r w:rsidR="00013897">
        <w:t>eveloping their own tier splits;</w:t>
      </w:r>
    </w:p>
    <w:p w14:paraId="44CD5A16" w14:textId="59EC9FC8" w:rsidR="00F60224" w:rsidRPr="00A32399" w:rsidRDefault="00F60224" w:rsidP="00A11D2F">
      <w:pPr>
        <w:pStyle w:val="ListParagraph"/>
        <w:numPr>
          <w:ilvl w:val="0"/>
          <w:numId w:val="1"/>
        </w:numPr>
        <w:spacing w:after="240" w:line="240" w:lineRule="auto"/>
        <w:jc w:val="both"/>
        <w:rPr>
          <w:color w:val="000000"/>
        </w:rPr>
      </w:pPr>
      <w:r>
        <w:t>At what level (or levels) the safety net should operate;</w:t>
      </w:r>
    </w:p>
    <w:p w14:paraId="1505E579" w14:textId="77777777" w:rsidR="00F60224" w:rsidRPr="00A32399" w:rsidRDefault="00F60224" w:rsidP="00A11D2F">
      <w:pPr>
        <w:pStyle w:val="ListParagraph"/>
        <w:numPr>
          <w:ilvl w:val="0"/>
          <w:numId w:val="1"/>
        </w:numPr>
        <w:spacing w:after="240" w:line="240" w:lineRule="auto"/>
        <w:jc w:val="both"/>
        <w:rPr>
          <w:color w:val="000000"/>
        </w:rPr>
      </w:pPr>
      <w:r w:rsidRPr="00A32399">
        <w:rPr>
          <w:color w:val="000000"/>
        </w:rPr>
        <w:t xml:space="preserve">How </w:t>
      </w:r>
      <w:r w:rsidR="00013897">
        <w:rPr>
          <w:color w:val="000000"/>
        </w:rPr>
        <w:t>the safety net should be funded;</w:t>
      </w:r>
      <w:r w:rsidR="00876BF7">
        <w:rPr>
          <w:color w:val="000000"/>
        </w:rPr>
        <w:t xml:space="preserve"> and</w:t>
      </w:r>
    </w:p>
    <w:p w14:paraId="1E410084" w14:textId="77777777" w:rsidR="009A27B3" w:rsidRPr="00876BF7" w:rsidRDefault="00F60224" w:rsidP="00A11D2F">
      <w:pPr>
        <w:pStyle w:val="ListParagraph"/>
        <w:numPr>
          <w:ilvl w:val="0"/>
          <w:numId w:val="1"/>
        </w:numPr>
        <w:spacing w:after="240" w:line="240" w:lineRule="auto"/>
        <w:jc w:val="both"/>
        <w:rPr>
          <w:color w:val="000000"/>
        </w:rPr>
      </w:pPr>
      <w:r w:rsidRPr="00A32399">
        <w:rPr>
          <w:color w:val="000000"/>
        </w:rPr>
        <w:t>Whether (when legislation permits) Government should still seek to abolish the levy, or whether it should be retained to address concerns about disproportionate growth benefits.</w:t>
      </w:r>
      <w:r w:rsidRPr="00520417">
        <w:t xml:space="preserve"> </w:t>
      </w:r>
    </w:p>
    <w:p w14:paraId="3EBD8C37" w14:textId="77777777" w:rsidR="009A27B3" w:rsidRDefault="009A27B3" w:rsidP="00A11D2F">
      <w:pPr>
        <w:spacing w:after="240" w:line="240" w:lineRule="auto"/>
        <w:ind w:left="720" w:hanging="720"/>
        <w:jc w:val="both"/>
      </w:pPr>
      <w:r>
        <w:t>3.2</w:t>
      </w:r>
      <w:r>
        <w:tab/>
        <w:t>The working group are asked to consider the implication of combinations of options as well as the merits of individual options</w:t>
      </w:r>
      <w:r w:rsidR="00185B06">
        <w:t>.</w:t>
      </w:r>
    </w:p>
    <w:p w14:paraId="08B8DFAB" w14:textId="77777777" w:rsidR="009A27B3" w:rsidRPr="00876BF7" w:rsidRDefault="009A27B3" w:rsidP="00A11D2F">
      <w:pPr>
        <w:spacing w:after="240" w:line="240" w:lineRule="auto"/>
        <w:ind w:left="720" w:hanging="720"/>
        <w:jc w:val="both"/>
        <w:rPr>
          <w:b/>
        </w:rPr>
      </w:pPr>
      <w:r>
        <w:rPr>
          <w:b/>
        </w:rPr>
        <w:t>Legislative</w:t>
      </w:r>
      <w:r w:rsidRPr="009A27B3">
        <w:rPr>
          <w:b/>
        </w:rPr>
        <w:t xml:space="preserve"> considerations</w:t>
      </w:r>
    </w:p>
    <w:p w14:paraId="376953C0" w14:textId="3FFE0EE1" w:rsidR="009A27B3" w:rsidRDefault="009A27B3" w:rsidP="00A11D2F">
      <w:pPr>
        <w:spacing w:after="240" w:line="240" w:lineRule="auto"/>
        <w:ind w:left="720" w:hanging="720"/>
      </w:pPr>
      <w:r>
        <w:t>3.3</w:t>
      </w:r>
      <w:r>
        <w:tab/>
      </w:r>
      <w:r w:rsidRPr="00D539D7">
        <w:rPr>
          <w:color w:val="000000"/>
        </w:rPr>
        <w:t>The</w:t>
      </w:r>
      <w:r w:rsidR="00185B06">
        <w:t xml:space="preserve"> previous Local Government</w:t>
      </w:r>
      <w:r w:rsidRPr="00520417">
        <w:t xml:space="preserve"> Finance B</w:t>
      </w:r>
      <w:r>
        <w:t>ill, which fell upon dissolution of Parliament ahe</w:t>
      </w:r>
      <w:r w:rsidRPr="00D539D7">
        <w:rPr>
          <w:color w:val="000000"/>
        </w:rPr>
        <w:t>ad of the 2017 General Election, would have</w:t>
      </w:r>
      <w:r w:rsidR="00273902">
        <w:rPr>
          <w:color w:val="000000"/>
        </w:rPr>
        <w:t>:</w:t>
      </w:r>
      <w:r w:rsidRPr="00D539D7">
        <w:rPr>
          <w:color w:val="000000"/>
        </w:rPr>
        <w:t xml:space="preserve"> provided the framework to deliver 100% business rate retention</w:t>
      </w:r>
      <w:r w:rsidR="00273902">
        <w:rPr>
          <w:color w:val="000000"/>
        </w:rPr>
        <w:t>;</w:t>
      </w:r>
      <w:r w:rsidRPr="00D539D7">
        <w:rPr>
          <w:color w:val="000000"/>
        </w:rPr>
        <w:t xml:space="preserve"> provided new flexibilities to reduce rates and add a new infrastructure levy</w:t>
      </w:r>
      <w:r w:rsidR="00273902">
        <w:rPr>
          <w:color w:val="000000"/>
        </w:rPr>
        <w:t>;</w:t>
      </w:r>
      <w:r w:rsidRPr="00D539D7">
        <w:rPr>
          <w:color w:val="000000"/>
        </w:rPr>
        <w:t xml:space="preserve"> and provided the framework to deliver reform to how the local government finance system works. </w:t>
      </w:r>
      <w:r w:rsidR="00185B06">
        <w:rPr>
          <w:color w:val="000000"/>
        </w:rPr>
        <w:t xml:space="preserve">There is unlikely to </w:t>
      </w:r>
      <w:r w:rsidR="0079329D">
        <w:rPr>
          <w:color w:val="000000"/>
        </w:rPr>
        <w:t>be a further</w:t>
      </w:r>
      <w:r w:rsidR="00185B06">
        <w:rPr>
          <w:color w:val="000000"/>
        </w:rPr>
        <w:t xml:space="preserve"> opportunity to legislate for reform with primary legislation</w:t>
      </w:r>
      <w:r w:rsidR="009D57F5">
        <w:rPr>
          <w:color w:val="000000"/>
        </w:rPr>
        <w:t xml:space="preserve"> </w:t>
      </w:r>
      <w:r w:rsidR="0079329D">
        <w:rPr>
          <w:color w:val="000000"/>
        </w:rPr>
        <w:t>during this Parliament</w:t>
      </w:r>
      <w:r w:rsidR="00A11D2F">
        <w:rPr>
          <w:color w:val="000000"/>
        </w:rPr>
        <w:t>ary session</w:t>
      </w:r>
      <w:r w:rsidR="00185B06">
        <w:rPr>
          <w:color w:val="000000"/>
        </w:rPr>
        <w:t>.</w:t>
      </w:r>
    </w:p>
    <w:p w14:paraId="5EBEC22B" w14:textId="77777777" w:rsidR="00876BF7" w:rsidRDefault="009A27B3" w:rsidP="00A11D2F">
      <w:pPr>
        <w:spacing w:after="600" w:line="240" w:lineRule="auto"/>
        <w:ind w:left="720" w:hanging="720"/>
      </w:pPr>
      <w:r>
        <w:t xml:space="preserve">3.4 </w:t>
      </w:r>
      <w:r>
        <w:tab/>
      </w:r>
      <w:r w:rsidR="00185B06">
        <w:t>Therefore the</w:t>
      </w:r>
      <w:r w:rsidR="00013897">
        <w:t xml:space="preserve"> options presented are suggested reforms that could b</w:t>
      </w:r>
      <w:r>
        <w:t>e</w:t>
      </w:r>
      <w:r w:rsidR="00013897">
        <w:t xml:space="preserve"> implemented via secondary legislation when 75% business rates retention is introduced. However the Working Group are also asked </w:t>
      </w:r>
      <w:r>
        <w:t xml:space="preserve">to consider </w:t>
      </w:r>
      <w:r w:rsidR="00F60224">
        <w:t xml:space="preserve">any recommendations for future reform </w:t>
      </w:r>
      <w:r>
        <w:t>that could be enacted if primary legislation was brought forward at a later date.</w:t>
      </w:r>
      <w:r w:rsidR="00F60224">
        <w:t xml:space="preserve"> </w:t>
      </w:r>
    </w:p>
    <w:p w14:paraId="572BC828" w14:textId="77777777" w:rsidR="00F60224" w:rsidRPr="00A11D2F" w:rsidRDefault="00F60224" w:rsidP="00A11D2F">
      <w:pPr>
        <w:spacing w:after="240" w:line="240" w:lineRule="auto"/>
        <w:ind w:left="720" w:hanging="720"/>
      </w:pPr>
      <w:r w:rsidRPr="00AF2102">
        <w:rPr>
          <w:sz w:val="36"/>
          <w:szCs w:val="36"/>
        </w:rPr>
        <w:t>Previous Discussion</w:t>
      </w:r>
    </w:p>
    <w:p w14:paraId="45AA8CE2" w14:textId="108D9D04" w:rsidR="00F60224" w:rsidRDefault="00185B06" w:rsidP="00A11D2F">
      <w:pPr>
        <w:spacing w:after="240" w:line="240" w:lineRule="auto"/>
        <w:ind w:left="720" w:hanging="720"/>
      </w:pPr>
      <w:r>
        <w:t xml:space="preserve">4.1 </w:t>
      </w:r>
      <w:r>
        <w:tab/>
      </w:r>
      <w:r w:rsidR="00F60224" w:rsidRPr="00520417">
        <w:t>The</w:t>
      </w:r>
      <w:r w:rsidR="00F60224">
        <w:t xml:space="preserve"> System Design Wo</w:t>
      </w:r>
      <w:r>
        <w:t xml:space="preserve">rking Group has considered several </w:t>
      </w:r>
      <w:r w:rsidR="00F60224">
        <w:t xml:space="preserve">previous papers on tier splits, gearing, the safety net, and the levy. </w:t>
      </w:r>
      <w:r>
        <w:t>Views were also sought f</w:t>
      </w:r>
      <w:r w:rsidR="00273902">
        <w:t>rom</w:t>
      </w:r>
      <w:r>
        <w:t xml:space="preserve"> the local government sector through the consultation held in 2017 on the implementation of 100% business rates retention.</w:t>
      </w:r>
    </w:p>
    <w:p w14:paraId="3AEB9896" w14:textId="77777777" w:rsidR="00F60224" w:rsidRPr="00CB55EB" w:rsidRDefault="00185B06" w:rsidP="00BC1935">
      <w:pPr>
        <w:spacing w:line="240" w:lineRule="auto"/>
        <w:ind w:left="720" w:hanging="720"/>
      </w:pPr>
      <w:r>
        <w:t>4.2</w:t>
      </w:r>
      <w:r>
        <w:tab/>
      </w:r>
      <w:r w:rsidR="00F60224">
        <w:t xml:space="preserve">On the </w:t>
      </w:r>
      <w:r w:rsidR="00F60224" w:rsidRPr="00185B06">
        <w:rPr>
          <w:b/>
        </w:rPr>
        <w:t>tier split</w:t>
      </w:r>
      <w:r w:rsidR="00F60224">
        <w:t>, discussion</w:t>
      </w:r>
      <w:r>
        <w:t xml:space="preserve"> has</w:t>
      </w:r>
      <w:r w:rsidR="00F60224">
        <w:t xml:space="preserve"> focussed on the potential for authorities to be able to determine their own tier split.  The group considered that there would need to be a default position where agreement could not be reached. Two </w:t>
      </w:r>
      <w:r w:rsidR="00F60224">
        <w:lastRenderedPageBreak/>
        <w:t>possibilities were considered: firstly that if authoritie</w:t>
      </w:r>
      <w:r w:rsidR="00F60224" w:rsidRPr="00E22295">
        <w:t xml:space="preserve">s could not agree, then </w:t>
      </w:r>
      <w:r w:rsidR="00F60224">
        <w:t xml:space="preserve">they would retain </w:t>
      </w:r>
      <w:r w:rsidR="00F60224" w:rsidRPr="00E22295">
        <w:t xml:space="preserve">no growth </w:t>
      </w:r>
      <w:r w:rsidR="00F60224">
        <w:t>or, a</w:t>
      </w:r>
      <w:r w:rsidR="00F60224" w:rsidRPr="00E22295">
        <w:t>lternatively, if areas could not agree, then a fall b</w:t>
      </w:r>
      <w:r w:rsidR="00F60224">
        <w:t>ack position would be activated.</w:t>
      </w:r>
      <w:r w:rsidR="00F60224" w:rsidRPr="00C44352" w:rsidDel="00C44352">
        <w:t xml:space="preserve"> </w:t>
      </w:r>
      <w:r w:rsidR="00F60224">
        <w:t xml:space="preserve">  In addition, at a</w:t>
      </w:r>
      <w:r w:rsidR="00F60224" w:rsidRPr="00C44352">
        <w:t xml:space="preserve"> meeting of the Working Group on 15 November 2017, concerns were raised about the possibility of reforms creating ‘big winners’, especially if the levy were to be scrapped. </w:t>
      </w:r>
    </w:p>
    <w:p w14:paraId="7B498E33" w14:textId="77777777" w:rsidR="00F60224" w:rsidRDefault="00185B06" w:rsidP="00BC1935">
      <w:pPr>
        <w:spacing w:line="240" w:lineRule="auto"/>
        <w:ind w:left="720" w:hanging="720"/>
      </w:pPr>
      <w:r>
        <w:t>4.3</w:t>
      </w:r>
      <w:r>
        <w:tab/>
      </w:r>
      <w:r w:rsidR="00F60224" w:rsidRPr="00CB55EB">
        <w:t xml:space="preserve">On </w:t>
      </w:r>
      <w:r w:rsidR="00F60224" w:rsidRPr="00185B06">
        <w:rPr>
          <w:b/>
        </w:rPr>
        <w:t>gearing</w:t>
      </w:r>
      <w:r w:rsidR="00F60224" w:rsidRPr="00CB55EB">
        <w:t xml:space="preserve">, </w:t>
      </w:r>
      <w:r w:rsidR="00F60224">
        <w:t>some l</w:t>
      </w:r>
      <w:r w:rsidR="00F60224" w:rsidRPr="00CB55EB">
        <w:t>ow</w:t>
      </w:r>
      <w:r w:rsidR="00F60224">
        <w:t>ly</w:t>
      </w:r>
      <w:r w:rsidR="00F60224" w:rsidRPr="00CB55EB">
        <w:t xml:space="preserve"> geared</w:t>
      </w:r>
      <w:r w:rsidR="00F60224">
        <w:t xml:space="preserve"> authorities</w:t>
      </w:r>
      <w:r w:rsidR="00F60224" w:rsidRPr="00520417">
        <w:t xml:space="preserve"> highlighted the difficulty in making significant increases to their budgets via business rates growth. </w:t>
      </w:r>
      <w:r w:rsidR="00F60224" w:rsidRPr="00BB5096">
        <w:t>Highly geared</w:t>
      </w:r>
      <w:r w:rsidR="00F60224" w:rsidRPr="00520417">
        <w:t xml:space="preserve"> authorities </w:t>
      </w:r>
      <w:r w:rsidR="00F60224">
        <w:t xml:space="preserve">stressed the </w:t>
      </w:r>
      <w:r w:rsidR="00F60224" w:rsidRPr="00520417">
        <w:t>higher levels of risk</w:t>
      </w:r>
      <w:r w:rsidR="00F60224">
        <w:t xml:space="preserve"> they face. C</w:t>
      </w:r>
      <w:r w:rsidR="00F60224" w:rsidRPr="00CB55EB">
        <w:t xml:space="preserve">onsideration was given to changing the responsibilities of the different tiers if their gearing changes. Sharing risk, reward and responsibilities over a wider geographic area was also suggested. </w:t>
      </w:r>
    </w:p>
    <w:p w14:paraId="4FE14751" w14:textId="77777777" w:rsidR="00F60224" w:rsidRDefault="00185B06" w:rsidP="00BC1935">
      <w:pPr>
        <w:spacing w:line="240" w:lineRule="auto"/>
        <w:ind w:left="720" w:hanging="720"/>
      </w:pPr>
      <w:r>
        <w:t>4.4</w:t>
      </w:r>
      <w:r>
        <w:tab/>
      </w:r>
      <w:r w:rsidR="00F60224">
        <w:t xml:space="preserve">On the </w:t>
      </w:r>
      <w:r w:rsidR="00F60224" w:rsidRPr="00185B06">
        <w:rPr>
          <w:b/>
        </w:rPr>
        <w:t>safety net</w:t>
      </w:r>
      <w:r w:rsidR="00F60224">
        <w:t xml:space="preserve">, the Working Group considered whether its purpose should be as currently determined, i.e. to provide a back-up for when income drops below a sustainable level, or whether it should go further and provide a back-up beyond an authority’s determined need when income from growth above the business rates baseline drops significantly. </w:t>
      </w:r>
    </w:p>
    <w:p w14:paraId="1079D3F5" w14:textId="23CD5CAD" w:rsidR="00F60224" w:rsidRDefault="00BC1935" w:rsidP="00876BF7">
      <w:pPr>
        <w:pStyle w:val="ListParagraph"/>
        <w:spacing w:line="240" w:lineRule="auto"/>
        <w:ind w:hanging="720"/>
      </w:pPr>
      <w:r>
        <w:t>4.5</w:t>
      </w:r>
      <w:r>
        <w:tab/>
      </w:r>
      <w:r w:rsidR="00F60224">
        <w:t xml:space="preserve">Under the previous government the </w:t>
      </w:r>
      <w:r w:rsidR="00F60224" w:rsidRPr="00BD1DDB">
        <w:rPr>
          <w:b/>
        </w:rPr>
        <w:t>levy</w:t>
      </w:r>
      <w:r w:rsidR="00F60224">
        <w:t xml:space="preserve"> was to be scrapped. The Working Group therefore considered two options for funding the safety net without the levy. These were: using central list income or top slicing business rates income</w:t>
      </w:r>
      <w:r w:rsidR="009D57F5">
        <w:t xml:space="preserve">; and </w:t>
      </w:r>
      <w:r w:rsidR="00F545EC">
        <w:t>t</w:t>
      </w:r>
      <w:r w:rsidR="00F60224">
        <w:t>he possibility of using a pool to jointly manage risk and reward was also raised.</w:t>
      </w:r>
    </w:p>
    <w:p w14:paraId="2CC51634" w14:textId="77777777" w:rsidR="00F60224" w:rsidRDefault="00BC1935" w:rsidP="00BC1935">
      <w:pPr>
        <w:spacing w:line="240" w:lineRule="auto"/>
        <w:ind w:left="720" w:hanging="720"/>
      </w:pPr>
      <w:r>
        <w:t>4.6</w:t>
      </w:r>
      <w:r>
        <w:tab/>
      </w:r>
      <w:r w:rsidR="00F60224">
        <w:t xml:space="preserve">Following Technical Working Group discussions of these ideas, the Government consulted ratepayers and local government in the Further Consultation on the Design of the Reformed System. </w:t>
      </w:r>
    </w:p>
    <w:p w14:paraId="1FF18536" w14:textId="77777777" w:rsidR="00F60224" w:rsidRDefault="00BC1935" w:rsidP="00BC1935">
      <w:pPr>
        <w:spacing w:line="240" w:lineRule="auto"/>
        <w:ind w:left="720" w:hanging="720"/>
      </w:pPr>
      <w:r>
        <w:t>4.7</w:t>
      </w:r>
      <w:r>
        <w:tab/>
      </w:r>
      <w:r w:rsidR="00F60224" w:rsidRPr="00C262B8">
        <w:t xml:space="preserve">9% of respondents suggested keeping the </w:t>
      </w:r>
      <w:r w:rsidR="00F60224" w:rsidRPr="00BC1935">
        <w:rPr>
          <w:b/>
        </w:rPr>
        <w:t xml:space="preserve">tier split </w:t>
      </w:r>
      <w:r w:rsidR="00F60224" w:rsidRPr="00C262B8">
        <w:t xml:space="preserve">as it is and 31% suggested change. Of this 31%, 19% favoured local agreements and 12% wanted a different split. </w:t>
      </w:r>
      <w:r w:rsidR="00F60224">
        <w:t xml:space="preserve">  Some respondents argued that </w:t>
      </w:r>
      <w:r w:rsidR="00F60224" w:rsidRPr="00E660A7">
        <w:t>establishing</w:t>
      </w:r>
      <w:r w:rsidR="00F60224">
        <w:t xml:space="preserve"> </w:t>
      </w:r>
      <w:r w:rsidR="00F60224" w:rsidRPr="00E660A7">
        <w:t xml:space="preserve">uniform tier splits for the 100% business rates retention system was </w:t>
      </w:r>
      <w:r w:rsidR="00F60224">
        <w:t xml:space="preserve">not </w:t>
      </w:r>
      <w:r w:rsidR="00F60224" w:rsidRPr="00E660A7">
        <w:t>appropriate at this stage. T</w:t>
      </w:r>
      <w:r w:rsidR="00F60224">
        <w:t>here were two dominant lines of argument for this:</w:t>
      </w:r>
      <w:r w:rsidR="00F60224" w:rsidRPr="00E660A7">
        <w:t xml:space="preserve"> </w:t>
      </w:r>
      <w:r w:rsidR="00F60224">
        <w:t xml:space="preserve">firstly, </w:t>
      </w:r>
      <w:r w:rsidR="00F60224" w:rsidRPr="00E660A7">
        <w:t>that universal tier splits were no longer workable</w:t>
      </w:r>
      <w:r w:rsidR="00F60224">
        <w:t xml:space="preserve"> and, secondly,</w:t>
      </w:r>
      <w:r w:rsidR="00F60224" w:rsidRPr="00E660A7">
        <w:t xml:space="preserve"> that tier splits should be decided after it is determined what responsibilities will be devolved. </w:t>
      </w:r>
    </w:p>
    <w:p w14:paraId="0F902490" w14:textId="77777777" w:rsidR="00F60224" w:rsidRPr="00BC1935" w:rsidRDefault="00BC1935" w:rsidP="00BC1935">
      <w:pPr>
        <w:spacing w:line="240" w:lineRule="auto"/>
        <w:ind w:left="720" w:hanging="720"/>
        <w:rPr>
          <w:color w:val="000000"/>
        </w:rPr>
      </w:pPr>
      <w:r>
        <w:rPr>
          <w:color w:val="000000"/>
        </w:rPr>
        <w:t>4.8</w:t>
      </w:r>
      <w:r>
        <w:rPr>
          <w:color w:val="000000"/>
        </w:rPr>
        <w:tab/>
      </w:r>
      <w:r w:rsidR="00F60224" w:rsidRPr="00BC1935">
        <w:rPr>
          <w:color w:val="000000"/>
        </w:rPr>
        <w:t xml:space="preserve">73% of responses were in favour of increasing the </w:t>
      </w:r>
      <w:r w:rsidR="00F60224" w:rsidRPr="00BC1935">
        <w:rPr>
          <w:b/>
          <w:color w:val="000000"/>
        </w:rPr>
        <w:t>safety net</w:t>
      </w:r>
      <w:r w:rsidR="00F60224" w:rsidRPr="00BC1935">
        <w:rPr>
          <w:color w:val="000000"/>
        </w:rPr>
        <w:t xml:space="preserve"> threshold to a figure between 95 and 100 </w:t>
      </w:r>
      <w:proofErr w:type="spellStart"/>
      <w:r w:rsidR="00F60224" w:rsidRPr="00BC1935">
        <w:rPr>
          <w:color w:val="000000"/>
        </w:rPr>
        <w:t>percent</w:t>
      </w:r>
      <w:proofErr w:type="spellEnd"/>
      <w:r w:rsidR="00F60224" w:rsidRPr="00BC1935">
        <w:rPr>
          <w:color w:val="000000"/>
        </w:rPr>
        <w:t>. However, some felt the current threshold was sufficient, noting that the need for the safety-net would be greatly reduced with centrally managed appeals.</w:t>
      </w:r>
    </w:p>
    <w:p w14:paraId="27D767C7" w14:textId="77777777" w:rsidR="004407F7" w:rsidRPr="00A11D2F" w:rsidRDefault="00BC1935" w:rsidP="00A11D2F">
      <w:pPr>
        <w:spacing w:after="600" w:line="240" w:lineRule="auto"/>
        <w:ind w:left="720" w:hanging="720"/>
        <w:rPr>
          <w:sz w:val="36"/>
        </w:rPr>
      </w:pPr>
      <w:r>
        <w:rPr>
          <w:color w:val="000000"/>
        </w:rPr>
        <w:t>4.9</w:t>
      </w:r>
      <w:r>
        <w:rPr>
          <w:color w:val="000000"/>
        </w:rPr>
        <w:tab/>
      </w:r>
      <w:r w:rsidR="00F60224" w:rsidRPr="00BC1935">
        <w:rPr>
          <w:color w:val="000000"/>
        </w:rPr>
        <w:t xml:space="preserve">The consultation did not ask about the </w:t>
      </w:r>
      <w:r w:rsidR="00F60224" w:rsidRPr="00BC1935">
        <w:rPr>
          <w:b/>
          <w:color w:val="000000"/>
        </w:rPr>
        <w:t>levy</w:t>
      </w:r>
      <w:r w:rsidR="00F60224" w:rsidRPr="00BC1935">
        <w:rPr>
          <w:color w:val="000000"/>
        </w:rPr>
        <w:t>, but a number of responses commented that removing the levy would take away the main incentive to pooling.</w:t>
      </w:r>
      <w:r w:rsidR="00876BF7">
        <w:rPr>
          <w:sz w:val="36"/>
        </w:rPr>
        <w:t xml:space="preserve"> </w:t>
      </w:r>
    </w:p>
    <w:p w14:paraId="0DB5115E" w14:textId="77777777" w:rsidR="00591248" w:rsidRPr="00DD47BF" w:rsidRDefault="00A32399" w:rsidP="00591248">
      <w:pPr>
        <w:pStyle w:val="BodyText"/>
        <w:ind w:left="720" w:hanging="720"/>
      </w:pPr>
      <w:r>
        <w:rPr>
          <w:sz w:val="36"/>
        </w:rPr>
        <w:t xml:space="preserve">Developing </w:t>
      </w:r>
      <w:r w:rsidR="00591248">
        <w:rPr>
          <w:sz w:val="36"/>
        </w:rPr>
        <w:t>a new tier split</w:t>
      </w:r>
    </w:p>
    <w:p w14:paraId="7667EEFA" w14:textId="11D0F4E7" w:rsidR="00591248" w:rsidRDefault="00BC1935" w:rsidP="006B004B">
      <w:pPr>
        <w:spacing w:after="240"/>
        <w:ind w:left="567" w:hanging="567"/>
      </w:pPr>
      <w:r>
        <w:t>5.1</w:t>
      </w:r>
      <w:r w:rsidR="00591248">
        <w:tab/>
        <w:t>It is our proposal to retain the ti</w:t>
      </w:r>
      <w:r w:rsidR="0096132A">
        <w:t>er split mechanism when 75% business rates retention is introduced</w:t>
      </w:r>
      <w:r w:rsidR="00591248">
        <w:t xml:space="preserve"> as the most appropriate way to distribute business rates income in </w:t>
      </w:r>
      <w:r w:rsidR="00D05BB8">
        <w:t>multi</w:t>
      </w:r>
      <w:r w:rsidR="00591248">
        <w:t xml:space="preserve"> tier area</w:t>
      </w:r>
      <w:r w:rsidR="00D05BB8">
        <w:t>s</w:t>
      </w:r>
      <w:r w:rsidR="00591248">
        <w:t xml:space="preserve"> between billing authorities and </w:t>
      </w:r>
      <w:proofErr w:type="spellStart"/>
      <w:r w:rsidR="00591248">
        <w:t>precepting</w:t>
      </w:r>
      <w:proofErr w:type="spellEnd"/>
      <w:r w:rsidR="00591248">
        <w:t xml:space="preserve"> authorities.</w:t>
      </w:r>
    </w:p>
    <w:p w14:paraId="0C47F6FE" w14:textId="18500B80" w:rsidR="00094B46" w:rsidRDefault="00BC1935" w:rsidP="006B004B">
      <w:pPr>
        <w:spacing w:after="240"/>
        <w:ind w:left="567" w:hanging="567"/>
      </w:pPr>
      <w:r>
        <w:lastRenderedPageBreak/>
        <w:t>5.2</w:t>
      </w:r>
      <w:r w:rsidR="00094B46" w:rsidRPr="00E94177">
        <w:tab/>
        <w:t>The proposals on tier splits in this section of the paper</w:t>
      </w:r>
      <w:r w:rsidR="00E94177" w:rsidRPr="00E94177">
        <w:t xml:space="preserve"> address potential reform options for</w:t>
      </w:r>
      <w:r w:rsidR="00E94177">
        <w:t xml:space="preserve"> the introduction of 75% business rates, aimed to be in 2020/21. Changing the tier split does</w:t>
      </w:r>
      <w:r w:rsidR="00D05BB8">
        <w:t xml:space="preserve"> </w:t>
      </w:r>
      <w:r w:rsidR="00E94177">
        <w:t>n</w:t>
      </w:r>
      <w:r w:rsidR="00D05BB8">
        <w:t>o</w:t>
      </w:r>
      <w:r w:rsidR="00E94177">
        <w:t>t require a change in primary legislation</w:t>
      </w:r>
      <w:r w:rsidR="00F60224">
        <w:t>.</w:t>
      </w:r>
    </w:p>
    <w:p w14:paraId="3FDB1FA7" w14:textId="77777777" w:rsidR="00E94177" w:rsidRDefault="00BC1935" w:rsidP="00E94177">
      <w:pPr>
        <w:spacing w:after="240"/>
        <w:ind w:left="567" w:hanging="567"/>
      </w:pPr>
      <w:r>
        <w:t>5.3</w:t>
      </w:r>
      <w:r w:rsidR="00E94177">
        <w:tab/>
        <w:t>It is proposed t</w:t>
      </w:r>
      <w:r w:rsidR="00F60224">
        <w:t xml:space="preserve">hat the tier split for </w:t>
      </w:r>
      <w:r w:rsidR="00E94177">
        <w:t>Fire and Rescue Authorities remains unchanged from the current 1% of business rates</w:t>
      </w:r>
      <w:r w:rsidR="00F60224">
        <w:t xml:space="preserve"> across the areas they cover and therefore they are not in scope for the reforms outlined in this paper.</w:t>
      </w:r>
    </w:p>
    <w:p w14:paraId="545A180B" w14:textId="77777777" w:rsidR="00591248" w:rsidRDefault="00BC1935" w:rsidP="006B004B">
      <w:pPr>
        <w:spacing w:after="240"/>
        <w:ind w:left="567" w:hanging="567"/>
      </w:pPr>
      <w:r>
        <w:t>5.4</w:t>
      </w:r>
      <w:r w:rsidR="00591248">
        <w:tab/>
        <w:t>In considering whether there should be reform of the tier split mechanism</w:t>
      </w:r>
      <w:r w:rsidR="00E94177">
        <w:t xml:space="preserve"> for local authorities</w:t>
      </w:r>
      <w:r w:rsidR="00591248">
        <w:t xml:space="preserve"> going forward two questions need to be addressed. Firstly, has the current tier split operated as anticipated and met the objectives of minimising the risk carried by county councils and providing significant incentives for district councils? Secondly, do those objectives still hold true and is the tier split in its current format the most appropriate way of meeting the objectives of the new system?</w:t>
      </w:r>
    </w:p>
    <w:p w14:paraId="1F5937B0" w14:textId="51D5EF36" w:rsidR="00591248" w:rsidRPr="00C1539A" w:rsidRDefault="00591248" w:rsidP="006B004B">
      <w:pPr>
        <w:spacing w:after="240"/>
        <w:ind w:left="567" w:hanging="567"/>
        <w:rPr>
          <w:b/>
        </w:rPr>
      </w:pPr>
      <w:r w:rsidRPr="00C1539A">
        <w:rPr>
          <w:b/>
        </w:rPr>
        <w:t>Distribution</w:t>
      </w:r>
      <w:r w:rsidR="009D5F59">
        <w:rPr>
          <w:b/>
        </w:rPr>
        <w:t xml:space="preserve"> of risk and reward in the current tier</w:t>
      </w:r>
      <w:r w:rsidRPr="00C1539A">
        <w:rPr>
          <w:b/>
        </w:rPr>
        <w:t xml:space="preserve"> split</w:t>
      </w:r>
    </w:p>
    <w:p w14:paraId="3CBA1EAC" w14:textId="32A58D39" w:rsidR="00591248" w:rsidRDefault="00BC1935" w:rsidP="006B004B">
      <w:pPr>
        <w:spacing w:after="240"/>
        <w:ind w:left="567" w:hanging="567"/>
        <w:rPr>
          <w:highlight w:val="yellow"/>
        </w:rPr>
      </w:pPr>
      <w:r>
        <w:t>5.5</w:t>
      </w:r>
      <w:r w:rsidR="00591248" w:rsidRPr="003F4A6E">
        <w:t xml:space="preserve"> </w:t>
      </w:r>
      <w:r w:rsidR="00591248" w:rsidRPr="003F4A6E">
        <w:tab/>
      </w:r>
      <w:r w:rsidR="00613081" w:rsidRPr="003F4A6E">
        <w:t xml:space="preserve">The table below summarises growth above baseline funding levels by class of authority, based on 2018-19 </w:t>
      </w:r>
      <w:r w:rsidR="009D5F59">
        <w:t>NNDR1 (National Non-Domestic Rates</w:t>
      </w:r>
      <w:r w:rsidR="00613081" w:rsidRPr="003F4A6E">
        <w:t xml:space="preserve"> 1 form) returns. The table includes growth from business rates pilots.</w:t>
      </w:r>
      <w:r w:rsidR="009D5F59">
        <w:t xml:space="preserve"> The table does not include the impact of the levy on growth or  safety net payments so does </w:t>
      </w:r>
      <w:r w:rsidR="009D5F59" w:rsidRPr="009902C5">
        <w:rPr>
          <w:u w:val="single"/>
        </w:rPr>
        <w:t>not</w:t>
      </w:r>
      <w:r w:rsidR="009D5F59">
        <w:t xml:space="preserve"> represent the income actually</w:t>
      </w:r>
      <w:r w:rsidR="009902C5">
        <w:t xml:space="preserve"> retained by local authorities.</w:t>
      </w:r>
    </w:p>
    <w:tbl>
      <w:tblPr>
        <w:tblW w:w="0" w:type="auto"/>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3402"/>
        <w:gridCol w:w="1560"/>
        <w:gridCol w:w="1984"/>
        <w:gridCol w:w="2119"/>
      </w:tblGrid>
      <w:tr w:rsidR="00193FF3" w14:paraId="4CEBDBD6" w14:textId="77777777" w:rsidTr="00193FF3">
        <w:trPr>
          <w:trHeight w:val="255"/>
        </w:trPr>
        <w:tc>
          <w:tcPr>
            <w:tcW w:w="3402" w:type="dxa"/>
            <w:shd w:val="clear" w:color="auto" w:fill="B6DDE8" w:themeFill="accent5" w:themeFillTint="66"/>
            <w:noWrap/>
            <w:tcMar>
              <w:top w:w="0" w:type="dxa"/>
              <w:left w:w="108" w:type="dxa"/>
              <w:bottom w:w="0" w:type="dxa"/>
              <w:right w:w="108" w:type="dxa"/>
            </w:tcMar>
          </w:tcPr>
          <w:p w14:paraId="4B378E1E" w14:textId="77777777" w:rsidR="00193FF3" w:rsidRPr="00193FF3" w:rsidRDefault="00193FF3" w:rsidP="00E94177">
            <w:pPr>
              <w:rPr>
                <w:b/>
                <w:bCs/>
                <w:sz w:val="22"/>
                <w:szCs w:val="22"/>
              </w:rPr>
            </w:pPr>
            <w:r w:rsidRPr="00193FF3">
              <w:rPr>
                <w:b/>
                <w:bCs/>
                <w:sz w:val="22"/>
                <w:szCs w:val="22"/>
              </w:rPr>
              <w:t>Classification of Local Authority</w:t>
            </w:r>
          </w:p>
        </w:tc>
        <w:tc>
          <w:tcPr>
            <w:tcW w:w="1560" w:type="dxa"/>
            <w:shd w:val="clear" w:color="auto" w:fill="B6DDE8" w:themeFill="accent5" w:themeFillTint="66"/>
            <w:noWrap/>
            <w:tcMar>
              <w:top w:w="0" w:type="dxa"/>
              <w:left w:w="108" w:type="dxa"/>
              <w:bottom w:w="0" w:type="dxa"/>
              <w:right w:w="108" w:type="dxa"/>
            </w:tcMar>
          </w:tcPr>
          <w:p w14:paraId="2D53E260" w14:textId="77777777" w:rsidR="00193FF3" w:rsidRPr="00193FF3" w:rsidRDefault="00193FF3" w:rsidP="00E94177">
            <w:pPr>
              <w:jc w:val="right"/>
              <w:rPr>
                <w:b/>
                <w:bCs/>
                <w:sz w:val="22"/>
                <w:szCs w:val="22"/>
              </w:rPr>
            </w:pPr>
            <w:r w:rsidRPr="00193FF3">
              <w:rPr>
                <w:b/>
                <w:bCs/>
                <w:sz w:val="22"/>
                <w:szCs w:val="22"/>
              </w:rPr>
              <w:t>Aggregate Local Growth (£m)</w:t>
            </w:r>
          </w:p>
        </w:tc>
        <w:tc>
          <w:tcPr>
            <w:tcW w:w="1984" w:type="dxa"/>
            <w:shd w:val="clear" w:color="auto" w:fill="B6DDE8" w:themeFill="accent5" w:themeFillTint="66"/>
            <w:noWrap/>
            <w:tcMar>
              <w:top w:w="0" w:type="dxa"/>
              <w:left w:w="108" w:type="dxa"/>
              <w:bottom w:w="0" w:type="dxa"/>
              <w:right w:w="108" w:type="dxa"/>
            </w:tcMar>
          </w:tcPr>
          <w:p w14:paraId="06204FAD" w14:textId="77777777" w:rsidR="00193FF3" w:rsidRPr="00193FF3" w:rsidRDefault="00193FF3" w:rsidP="00E94177">
            <w:pPr>
              <w:jc w:val="right"/>
              <w:rPr>
                <w:b/>
                <w:bCs/>
                <w:sz w:val="22"/>
                <w:szCs w:val="22"/>
              </w:rPr>
            </w:pPr>
            <w:r w:rsidRPr="00193FF3">
              <w:rPr>
                <w:b/>
                <w:bCs/>
                <w:sz w:val="22"/>
                <w:szCs w:val="22"/>
              </w:rPr>
              <w:t>Aggregate Baseline Funding Level (£m)</w:t>
            </w:r>
          </w:p>
        </w:tc>
        <w:tc>
          <w:tcPr>
            <w:tcW w:w="2119" w:type="dxa"/>
            <w:shd w:val="clear" w:color="auto" w:fill="B6DDE8" w:themeFill="accent5" w:themeFillTint="66"/>
            <w:noWrap/>
            <w:tcMar>
              <w:top w:w="0" w:type="dxa"/>
              <w:left w:w="108" w:type="dxa"/>
              <w:bottom w:w="0" w:type="dxa"/>
              <w:right w:w="108" w:type="dxa"/>
            </w:tcMar>
          </w:tcPr>
          <w:p w14:paraId="209D4850" w14:textId="77777777" w:rsidR="00193FF3" w:rsidRPr="00193FF3" w:rsidRDefault="00193FF3" w:rsidP="00E94177">
            <w:pPr>
              <w:jc w:val="right"/>
              <w:rPr>
                <w:b/>
                <w:bCs/>
                <w:sz w:val="22"/>
                <w:szCs w:val="22"/>
              </w:rPr>
            </w:pPr>
            <w:r w:rsidRPr="00193FF3">
              <w:rPr>
                <w:b/>
                <w:bCs/>
                <w:sz w:val="22"/>
                <w:szCs w:val="22"/>
              </w:rPr>
              <w:t>Growth as a proportion of Baseline Funding Level</w:t>
            </w:r>
          </w:p>
        </w:tc>
      </w:tr>
      <w:tr w:rsidR="00193FF3" w14:paraId="701844A5" w14:textId="77777777" w:rsidTr="00184A33">
        <w:trPr>
          <w:trHeight w:val="255"/>
        </w:trPr>
        <w:tc>
          <w:tcPr>
            <w:tcW w:w="3402" w:type="dxa"/>
            <w:noWrap/>
            <w:tcMar>
              <w:top w:w="0" w:type="dxa"/>
              <w:left w:w="108" w:type="dxa"/>
              <w:bottom w:w="0" w:type="dxa"/>
              <w:right w:w="108" w:type="dxa"/>
            </w:tcMar>
            <w:hideMark/>
          </w:tcPr>
          <w:p w14:paraId="0F5D721E" w14:textId="77777777" w:rsidR="00193FF3" w:rsidRPr="00193FF3" w:rsidRDefault="00193FF3">
            <w:pPr>
              <w:rPr>
                <w:bCs/>
                <w:sz w:val="20"/>
                <w:szCs w:val="20"/>
              </w:rPr>
            </w:pPr>
            <w:r w:rsidRPr="00193FF3">
              <w:rPr>
                <w:bCs/>
                <w:sz w:val="20"/>
                <w:szCs w:val="20"/>
              </w:rPr>
              <w:t>Unitary Authorities</w:t>
            </w:r>
          </w:p>
        </w:tc>
        <w:tc>
          <w:tcPr>
            <w:tcW w:w="1560" w:type="dxa"/>
            <w:noWrap/>
            <w:tcMar>
              <w:top w:w="0" w:type="dxa"/>
              <w:left w:w="108" w:type="dxa"/>
              <w:bottom w:w="0" w:type="dxa"/>
              <w:right w:w="108" w:type="dxa"/>
            </w:tcMar>
            <w:hideMark/>
          </w:tcPr>
          <w:p w14:paraId="0EEFA66B" w14:textId="77777777" w:rsidR="00193FF3" w:rsidRPr="003F4A6E" w:rsidRDefault="00193FF3">
            <w:pPr>
              <w:jc w:val="right"/>
              <w:rPr>
                <w:sz w:val="20"/>
                <w:szCs w:val="20"/>
              </w:rPr>
            </w:pPr>
            <w:r w:rsidRPr="003F4A6E">
              <w:rPr>
                <w:sz w:val="20"/>
                <w:szCs w:val="20"/>
              </w:rPr>
              <w:t>407</w:t>
            </w:r>
          </w:p>
        </w:tc>
        <w:tc>
          <w:tcPr>
            <w:tcW w:w="1984" w:type="dxa"/>
            <w:noWrap/>
            <w:tcMar>
              <w:top w:w="0" w:type="dxa"/>
              <w:left w:w="108" w:type="dxa"/>
              <w:bottom w:w="0" w:type="dxa"/>
              <w:right w:w="108" w:type="dxa"/>
            </w:tcMar>
            <w:hideMark/>
          </w:tcPr>
          <w:p w14:paraId="1AD00F38" w14:textId="77777777" w:rsidR="00193FF3" w:rsidRPr="003F4A6E" w:rsidRDefault="00193FF3">
            <w:pPr>
              <w:jc w:val="right"/>
              <w:rPr>
                <w:sz w:val="20"/>
                <w:szCs w:val="20"/>
              </w:rPr>
            </w:pPr>
            <w:r w:rsidRPr="003F4A6E">
              <w:rPr>
                <w:sz w:val="20"/>
                <w:szCs w:val="20"/>
              </w:rPr>
              <w:t>2,396</w:t>
            </w:r>
          </w:p>
        </w:tc>
        <w:tc>
          <w:tcPr>
            <w:tcW w:w="2119" w:type="dxa"/>
            <w:noWrap/>
            <w:tcMar>
              <w:top w:w="0" w:type="dxa"/>
              <w:left w:w="108" w:type="dxa"/>
              <w:bottom w:w="0" w:type="dxa"/>
              <w:right w:w="108" w:type="dxa"/>
            </w:tcMar>
            <w:hideMark/>
          </w:tcPr>
          <w:p w14:paraId="3AE4A199" w14:textId="77777777" w:rsidR="00193FF3" w:rsidRPr="003F4A6E" w:rsidRDefault="00193FF3">
            <w:pPr>
              <w:jc w:val="right"/>
              <w:rPr>
                <w:sz w:val="20"/>
                <w:szCs w:val="20"/>
              </w:rPr>
            </w:pPr>
            <w:r w:rsidRPr="003F4A6E">
              <w:rPr>
                <w:sz w:val="20"/>
                <w:szCs w:val="20"/>
              </w:rPr>
              <w:t>17%</w:t>
            </w:r>
          </w:p>
        </w:tc>
      </w:tr>
      <w:tr w:rsidR="00193FF3" w14:paraId="2E401FCE" w14:textId="77777777" w:rsidTr="00184A33">
        <w:trPr>
          <w:trHeight w:val="255"/>
        </w:trPr>
        <w:tc>
          <w:tcPr>
            <w:tcW w:w="3402" w:type="dxa"/>
            <w:noWrap/>
            <w:tcMar>
              <w:top w:w="0" w:type="dxa"/>
              <w:left w:w="108" w:type="dxa"/>
              <w:bottom w:w="0" w:type="dxa"/>
              <w:right w:w="108" w:type="dxa"/>
            </w:tcMar>
            <w:hideMark/>
          </w:tcPr>
          <w:p w14:paraId="6E0E5484" w14:textId="77777777" w:rsidR="00193FF3" w:rsidRPr="00193FF3" w:rsidRDefault="00193FF3">
            <w:pPr>
              <w:rPr>
                <w:bCs/>
                <w:sz w:val="20"/>
                <w:szCs w:val="20"/>
              </w:rPr>
            </w:pPr>
            <w:r w:rsidRPr="00193FF3">
              <w:rPr>
                <w:bCs/>
                <w:sz w:val="20"/>
                <w:szCs w:val="20"/>
              </w:rPr>
              <w:t>Metropolitan Districts</w:t>
            </w:r>
          </w:p>
        </w:tc>
        <w:tc>
          <w:tcPr>
            <w:tcW w:w="1560" w:type="dxa"/>
            <w:noWrap/>
            <w:tcMar>
              <w:top w:w="0" w:type="dxa"/>
              <w:left w:w="108" w:type="dxa"/>
              <w:bottom w:w="0" w:type="dxa"/>
              <w:right w:w="108" w:type="dxa"/>
            </w:tcMar>
            <w:hideMark/>
          </w:tcPr>
          <w:p w14:paraId="36CD3F6B" w14:textId="77777777" w:rsidR="00193FF3" w:rsidRPr="003F4A6E" w:rsidRDefault="00193FF3">
            <w:pPr>
              <w:jc w:val="right"/>
              <w:rPr>
                <w:sz w:val="20"/>
                <w:szCs w:val="20"/>
              </w:rPr>
            </w:pPr>
            <w:r w:rsidRPr="003F4A6E">
              <w:rPr>
                <w:sz w:val="20"/>
                <w:szCs w:val="20"/>
              </w:rPr>
              <w:t>433</w:t>
            </w:r>
          </w:p>
        </w:tc>
        <w:tc>
          <w:tcPr>
            <w:tcW w:w="1984" w:type="dxa"/>
            <w:noWrap/>
            <w:tcMar>
              <w:top w:w="0" w:type="dxa"/>
              <w:left w:w="108" w:type="dxa"/>
              <w:bottom w:w="0" w:type="dxa"/>
              <w:right w:w="108" w:type="dxa"/>
            </w:tcMar>
            <w:hideMark/>
          </w:tcPr>
          <w:p w14:paraId="7B06C243" w14:textId="77777777" w:rsidR="00193FF3" w:rsidRPr="003F4A6E" w:rsidRDefault="00193FF3">
            <w:pPr>
              <w:jc w:val="right"/>
              <w:rPr>
                <w:sz w:val="20"/>
                <w:szCs w:val="20"/>
              </w:rPr>
            </w:pPr>
            <w:r w:rsidRPr="003F4A6E">
              <w:rPr>
                <w:sz w:val="20"/>
                <w:szCs w:val="20"/>
              </w:rPr>
              <w:t>2,971</w:t>
            </w:r>
          </w:p>
        </w:tc>
        <w:tc>
          <w:tcPr>
            <w:tcW w:w="2119" w:type="dxa"/>
            <w:noWrap/>
            <w:tcMar>
              <w:top w:w="0" w:type="dxa"/>
              <w:left w:w="108" w:type="dxa"/>
              <w:bottom w:w="0" w:type="dxa"/>
              <w:right w:w="108" w:type="dxa"/>
            </w:tcMar>
            <w:hideMark/>
          </w:tcPr>
          <w:p w14:paraId="4D576EBD" w14:textId="77777777" w:rsidR="00193FF3" w:rsidRPr="003F4A6E" w:rsidRDefault="00193FF3">
            <w:pPr>
              <w:jc w:val="right"/>
              <w:rPr>
                <w:sz w:val="20"/>
                <w:szCs w:val="20"/>
              </w:rPr>
            </w:pPr>
            <w:r w:rsidRPr="003F4A6E">
              <w:rPr>
                <w:sz w:val="20"/>
                <w:szCs w:val="20"/>
              </w:rPr>
              <w:t>15%</w:t>
            </w:r>
          </w:p>
        </w:tc>
      </w:tr>
      <w:tr w:rsidR="00193FF3" w14:paraId="7AF6E6C3" w14:textId="77777777" w:rsidTr="00184A33">
        <w:trPr>
          <w:trHeight w:val="255"/>
        </w:trPr>
        <w:tc>
          <w:tcPr>
            <w:tcW w:w="3402" w:type="dxa"/>
            <w:noWrap/>
            <w:tcMar>
              <w:top w:w="0" w:type="dxa"/>
              <w:left w:w="108" w:type="dxa"/>
              <w:bottom w:w="0" w:type="dxa"/>
              <w:right w:w="108" w:type="dxa"/>
            </w:tcMar>
            <w:hideMark/>
          </w:tcPr>
          <w:p w14:paraId="6D10DED3" w14:textId="77777777" w:rsidR="00193FF3" w:rsidRPr="00193FF3" w:rsidRDefault="00193FF3">
            <w:pPr>
              <w:rPr>
                <w:bCs/>
                <w:sz w:val="20"/>
                <w:szCs w:val="20"/>
              </w:rPr>
            </w:pPr>
            <w:r w:rsidRPr="00193FF3">
              <w:rPr>
                <w:bCs/>
                <w:sz w:val="20"/>
                <w:szCs w:val="20"/>
              </w:rPr>
              <w:t>Shire Counties</w:t>
            </w:r>
          </w:p>
        </w:tc>
        <w:tc>
          <w:tcPr>
            <w:tcW w:w="1560" w:type="dxa"/>
            <w:noWrap/>
            <w:tcMar>
              <w:top w:w="0" w:type="dxa"/>
              <w:left w:w="108" w:type="dxa"/>
              <w:bottom w:w="0" w:type="dxa"/>
              <w:right w:w="108" w:type="dxa"/>
            </w:tcMar>
            <w:hideMark/>
          </w:tcPr>
          <w:p w14:paraId="3B413F50" w14:textId="77777777" w:rsidR="00193FF3" w:rsidRPr="003F4A6E" w:rsidRDefault="00193FF3">
            <w:pPr>
              <w:jc w:val="right"/>
              <w:rPr>
                <w:sz w:val="20"/>
                <w:szCs w:val="20"/>
              </w:rPr>
            </w:pPr>
            <w:r w:rsidRPr="003F4A6E">
              <w:rPr>
                <w:sz w:val="20"/>
                <w:szCs w:val="20"/>
              </w:rPr>
              <w:t>105</w:t>
            </w:r>
          </w:p>
        </w:tc>
        <w:tc>
          <w:tcPr>
            <w:tcW w:w="1984" w:type="dxa"/>
            <w:noWrap/>
            <w:tcMar>
              <w:top w:w="0" w:type="dxa"/>
              <w:left w:w="108" w:type="dxa"/>
              <w:bottom w:w="0" w:type="dxa"/>
              <w:right w:w="108" w:type="dxa"/>
            </w:tcMar>
            <w:hideMark/>
          </w:tcPr>
          <w:p w14:paraId="5126A0E0" w14:textId="77777777" w:rsidR="00193FF3" w:rsidRPr="003F4A6E" w:rsidRDefault="00193FF3">
            <w:pPr>
              <w:jc w:val="right"/>
              <w:rPr>
                <w:sz w:val="20"/>
                <w:szCs w:val="20"/>
              </w:rPr>
            </w:pPr>
            <w:r w:rsidRPr="003F4A6E">
              <w:rPr>
                <w:sz w:val="20"/>
                <w:szCs w:val="20"/>
              </w:rPr>
              <w:t>2,565</w:t>
            </w:r>
          </w:p>
        </w:tc>
        <w:tc>
          <w:tcPr>
            <w:tcW w:w="2119" w:type="dxa"/>
            <w:noWrap/>
            <w:tcMar>
              <w:top w:w="0" w:type="dxa"/>
              <w:left w:w="108" w:type="dxa"/>
              <w:bottom w:w="0" w:type="dxa"/>
              <w:right w:w="108" w:type="dxa"/>
            </w:tcMar>
            <w:hideMark/>
          </w:tcPr>
          <w:p w14:paraId="51F68FC9" w14:textId="77777777" w:rsidR="00193FF3" w:rsidRPr="003F4A6E" w:rsidRDefault="00193FF3">
            <w:pPr>
              <w:jc w:val="right"/>
              <w:rPr>
                <w:sz w:val="20"/>
                <w:szCs w:val="20"/>
              </w:rPr>
            </w:pPr>
            <w:r w:rsidRPr="003F4A6E">
              <w:rPr>
                <w:sz w:val="20"/>
                <w:szCs w:val="20"/>
              </w:rPr>
              <w:t>4%</w:t>
            </w:r>
          </w:p>
        </w:tc>
      </w:tr>
      <w:tr w:rsidR="00193FF3" w14:paraId="6E67247B" w14:textId="77777777" w:rsidTr="00184A33">
        <w:trPr>
          <w:trHeight w:val="255"/>
        </w:trPr>
        <w:tc>
          <w:tcPr>
            <w:tcW w:w="3402" w:type="dxa"/>
            <w:noWrap/>
            <w:tcMar>
              <w:top w:w="0" w:type="dxa"/>
              <w:left w:w="108" w:type="dxa"/>
              <w:bottom w:w="0" w:type="dxa"/>
              <w:right w:w="108" w:type="dxa"/>
            </w:tcMar>
            <w:hideMark/>
          </w:tcPr>
          <w:p w14:paraId="6CFFB163" w14:textId="77777777" w:rsidR="00193FF3" w:rsidRPr="00193FF3" w:rsidRDefault="00193FF3">
            <w:pPr>
              <w:rPr>
                <w:bCs/>
                <w:sz w:val="20"/>
                <w:szCs w:val="20"/>
              </w:rPr>
            </w:pPr>
            <w:r w:rsidRPr="00193FF3">
              <w:rPr>
                <w:bCs/>
                <w:sz w:val="20"/>
                <w:szCs w:val="20"/>
              </w:rPr>
              <w:t>Shire Districts</w:t>
            </w:r>
          </w:p>
        </w:tc>
        <w:tc>
          <w:tcPr>
            <w:tcW w:w="1560" w:type="dxa"/>
            <w:noWrap/>
            <w:tcMar>
              <w:top w:w="0" w:type="dxa"/>
              <w:left w:w="108" w:type="dxa"/>
              <w:bottom w:w="0" w:type="dxa"/>
              <w:right w:w="108" w:type="dxa"/>
            </w:tcMar>
            <w:hideMark/>
          </w:tcPr>
          <w:p w14:paraId="28450832" w14:textId="77777777" w:rsidR="00193FF3" w:rsidRPr="003F4A6E" w:rsidRDefault="00193FF3">
            <w:pPr>
              <w:jc w:val="right"/>
              <w:rPr>
                <w:sz w:val="20"/>
                <w:szCs w:val="20"/>
              </w:rPr>
            </w:pPr>
            <w:r w:rsidRPr="003F4A6E">
              <w:rPr>
                <w:sz w:val="20"/>
                <w:szCs w:val="20"/>
              </w:rPr>
              <w:t>612</w:t>
            </w:r>
          </w:p>
        </w:tc>
        <w:tc>
          <w:tcPr>
            <w:tcW w:w="1984" w:type="dxa"/>
            <w:noWrap/>
            <w:tcMar>
              <w:top w:w="0" w:type="dxa"/>
              <w:left w:w="108" w:type="dxa"/>
              <w:bottom w:w="0" w:type="dxa"/>
              <w:right w:w="108" w:type="dxa"/>
            </w:tcMar>
            <w:hideMark/>
          </w:tcPr>
          <w:p w14:paraId="7B5828EC" w14:textId="77777777" w:rsidR="00193FF3" w:rsidRPr="003F4A6E" w:rsidRDefault="00193FF3">
            <w:pPr>
              <w:jc w:val="right"/>
              <w:rPr>
                <w:sz w:val="20"/>
                <w:szCs w:val="20"/>
              </w:rPr>
            </w:pPr>
            <w:r w:rsidRPr="003F4A6E">
              <w:rPr>
                <w:sz w:val="20"/>
                <w:szCs w:val="20"/>
              </w:rPr>
              <w:t>551</w:t>
            </w:r>
          </w:p>
        </w:tc>
        <w:tc>
          <w:tcPr>
            <w:tcW w:w="2119" w:type="dxa"/>
            <w:noWrap/>
            <w:tcMar>
              <w:top w:w="0" w:type="dxa"/>
              <w:left w:w="108" w:type="dxa"/>
              <w:bottom w:w="0" w:type="dxa"/>
              <w:right w:w="108" w:type="dxa"/>
            </w:tcMar>
            <w:hideMark/>
          </w:tcPr>
          <w:p w14:paraId="0026DFDF" w14:textId="77777777" w:rsidR="00193FF3" w:rsidRPr="003F4A6E" w:rsidRDefault="00193FF3">
            <w:pPr>
              <w:jc w:val="right"/>
              <w:rPr>
                <w:sz w:val="20"/>
                <w:szCs w:val="20"/>
              </w:rPr>
            </w:pPr>
            <w:r w:rsidRPr="003F4A6E">
              <w:rPr>
                <w:sz w:val="20"/>
                <w:szCs w:val="20"/>
              </w:rPr>
              <w:t>111%</w:t>
            </w:r>
          </w:p>
        </w:tc>
      </w:tr>
      <w:tr w:rsidR="00193FF3" w14:paraId="189A5CEB" w14:textId="77777777" w:rsidTr="00184A33">
        <w:trPr>
          <w:trHeight w:val="255"/>
        </w:trPr>
        <w:tc>
          <w:tcPr>
            <w:tcW w:w="3402" w:type="dxa"/>
            <w:noWrap/>
            <w:tcMar>
              <w:top w:w="0" w:type="dxa"/>
              <w:left w:w="108" w:type="dxa"/>
              <w:bottom w:w="0" w:type="dxa"/>
              <w:right w:w="108" w:type="dxa"/>
            </w:tcMar>
            <w:hideMark/>
          </w:tcPr>
          <w:p w14:paraId="05EF84EA" w14:textId="77777777" w:rsidR="00193FF3" w:rsidRPr="00193FF3" w:rsidRDefault="00193FF3">
            <w:pPr>
              <w:rPr>
                <w:bCs/>
                <w:sz w:val="20"/>
                <w:szCs w:val="20"/>
              </w:rPr>
            </w:pPr>
            <w:r w:rsidRPr="00193FF3">
              <w:rPr>
                <w:bCs/>
                <w:sz w:val="20"/>
                <w:szCs w:val="20"/>
              </w:rPr>
              <w:t>London Boroughs</w:t>
            </w:r>
          </w:p>
        </w:tc>
        <w:tc>
          <w:tcPr>
            <w:tcW w:w="1560" w:type="dxa"/>
            <w:noWrap/>
            <w:tcMar>
              <w:top w:w="0" w:type="dxa"/>
              <w:left w:w="108" w:type="dxa"/>
              <w:bottom w:w="0" w:type="dxa"/>
              <w:right w:w="108" w:type="dxa"/>
            </w:tcMar>
            <w:hideMark/>
          </w:tcPr>
          <w:p w14:paraId="50CABB08" w14:textId="77777777" w:rsidR="00193FF3" w:rsidRPr="003F4A6E" w:rsidRDefault="00193FF3">
            <w:pPr>
              <w:jc w:val="right"/>
              <w:rPr>
                <w:sz w:val="20"/>
                <w:szCs w:val="20"/>
              </w:rPr>
            </w:pPr>
            <w:r w:rsidRPr="003F4A6E">
              <w:rPr>
                <w:sz w:val="20"/>
                <w:szCs w:val="20"/>
              </w:rPr>
              <w:t>584</w:t>
            </w:r>
          </w:p>
        </w:tc>
        <w:tc>
          <w:tcPr>
            <w:tcW w:w="1984" w:type="dxa"/>
            <w:noWrap/>
            <w:tcMar>
              <w:top w:w="0" w:type="dxa"/>
              <w:left w:w="108" w:type="dxa"/>
              <w:bottom w:w="0" w:type="dxa"/>
              <w:right w:w="108" w:type="dxa"/>
            </w:tcMar>
            <w:hideMark/>
          </w:tcPr>
          <w:p w14:paraId="0C75FA53" w14:textId="77777777" w:rsidR="00193FF3" w:rsidRPr="003F4A6E" w:rsidRDefault="00193FF3">
            <w:pPr>
              <w:jc w:val="right"/>
              <w:rPr>
                <w:sz w:val="20"/>
                <w:szCs w:val="20"/>
              </w:rPr>
            </w:pPr>
            <w:r w:rsidRPr="003F4A6E">
              <w:rPr>
                <w:sz w:val="20"/>
                <w:szCs w:val="20"/>
              </w:rPr>
              <w:t>2,127</w:t>
            </w:r>
          </w:p>
        </w:tc>
        <w:tc>
          <w:tcPr>
            <w:tcW w:w="2119" w:type="dxa"/>
            <w:noWrap/>
            <w:tcMar>
              <w:top w:w="0" w:type="dxa"/>
              <w:left w:w="108" w:type="dxa"/>
              <w:bottom w:w="0" w:type="dxa"/>
              <w:right w:w="108" w:type="dxa"/>
            </w:tcMar>
            <w:hideMark/>
          </w:tcPr>
          <w:p w14:paraId="25110285" w14:textId="77777777" w:rsidR="00193FF3" w:rsidRPr="003F4A6E" w:rsidRDefault="00193FF3">
            <w:pPr>
              <w:jc w:val="right"/>
              <w:rPr>
                <w:sz w:val="20"/>
                <w:szCs w:val="20"/>
              </w:rPr>
            </w:pPr>
            <w:r w:rsidRPr="003F4A6E">
              <w:rPr>
                <w:sz w:val="20"/>
                <w:szCs w:val="20"/>
              </w:rPr>
              <w:t>27%</w:t>
            </w:r>
          </w:p>
        </w:tc>
      </w:tr>
      <w:tr w:rsidR="00193FF3" w14:paraId="2CA3EF89" w14:textId="77777777" w:rsidTr="00184A33">
        <w:trPr>
          <w:trHeight w:val="255"/>
        </w:trPr>
        <w:tc>
          <w:tcPr>
            <w:tcW w:w="3402" w:type="dxa"/>
            <w:noWrap/>
            <w:tcMar>
              <w:top w:w="0" w:type="dxa"/>
              <w:left w:w="108" w:type="dxa"/>
              <w:bottom w:w="0" w:type="dxa"/>
              <w:right w:w="108" w:type="dxa"/>
            </w:tcMar>
            <w:hideMark/>
          </w:tcPr>
          <w:p w14:paraId="74EB6A7A" w14:textId="77777777" w:rsidR="00193FF3" w:rsidRPr="00193FF3" w:rsidRDefault="00193FF3">
            <w:pPr>
              <w:rPr>
                <w:bCs/>
                <w:sz w:val="20"/>
                <w:szCs w:val="20"/>
              </w:rPr>
            </w:pPr>
            <w:r w:rsidRPr="00193FF3">
              <w:rPr>
                <w:bCs/>
                <w:sz w:val="20"/>
                <w:szCs w:val="20"/>
              </w:rPr>
              <w:t>Greater London Authority</w:t>
            </w:r>
          </w:p>
        </w:tc>
        <w:tc>
          <w:tcPr>
            <w:tcW w:w="1560" w:type="dxa"/>
            <w:noWrap/>
            <w:tcMar>
              <w:top w:w="0" w:type="dxa"/>
              <w:left w:w="108" w:type="dxa"/>
              <w:bottom w:w="0" w:type="dxa"/>
              <w:right w:w="108" w:type="dxa"/>
            </w:tcMar>
            <w:hideMark/>
          </w:tcPr>
          <w:p w14:paraId="0660B2A0" w14:textId="77777777" w:rsidR="00193FF3" w:rsidRPr="003F4A6E" w:rsidRDefault="00193FF3">
            <w:pPr>
              <w:jc w:val="right"/>
              <w:rPr>
                <w:sz w:val="20"/>
                <w:szCs w:val="20"/>
              </w:rPr>
            </w:pPr>
            <w:r w:rsidRPr="003F4A6E">
              <w:rPr>
                <w:sz w:val="20"/>
                <w:szCs w:val="20"/>
              </w:rPr>
              <w:t>317</w:t>
            </w:r>
          </w:p>
        </w:tc>
        <w:tc>
          <w:tcPr>
            <w:tcW w:w="1984" w:type="dxa"/>
            <w:noWrap/>
            <w:tcMar>
              <w:top w:w="0" w:type="dxa"/>
              <w:left w:w="108" w:type="dxa"/>
              <w:bottom w:w="0" w:type="dxa"/>
              <w:right w:w="108" w:type="dxa"/>
            </w:tcMar>
            <w:hideMark/>
          </w:tcPr>
          <w:p w14:paraId="46B1519B" w14:textId="77777777" w:rsidR="00193FF3" w:rsidRPr="003F4A6E" w:rsidRDefault="00193FF3">
            <w:pPr>
              <w:jc w:val="right"/>
              <w:rPr>
                <w:sz w:val="20"/>
                <w:szCs w:val="20"/>
              </w:rPr>
            </w:pPr>
            <w:r w:rsidRPr="003F4A6E">
              <w:rPr>
                <w:sz w:val="20"/>
                <w:szCs w:val="20"/>
              </w:rPr>
              <w:t>1,039</w:t>
            </w:r>
          </w:p>
        </w:tc>
        <w:tc>
          <w:tcPr>
            <w:tcW w:w="2119" w:type="dxa"/>
            <w:noWrap/>
            <w:tcMar>
              <w:top w:w="0" w:type="dxa"/>
              <w:left w:w="108" w:type="dxa"/>
              <w:bottom w:w="0" w:type="dxa"/>
              <w:right w:w="108" w:type="dxa"/>
            </w:tcMar>
            <w:hideMark/>
          </w:tcPr>
          <w:p w14:paraId="1B948AF7" w14:textId="77777777" w:rsidR="00193FF3" w:rsidRPr="003F4A6E" w:rsidRDefault="00193FF3">
            <w:pPr>
              <w:jc w:val="right"/>
              <w:rPr>
                <w:sz w:val="20"/>
                <w:szCs w:val="20"/>
              </w:rPr>
            </w:pPr>
            <w:r w:rsidRPr="003F4A6E">
              <w:rPr>
                <w:sz w:val="20"/>
                <w:szCs w:val="20"/>
              </w:rPr>
              <w:t>31%</w:t>
            </w:r>
          </w:p>
        </w:tc>
      </w:tr>
      <w:tr w:rsidR="00193FF3" w14:paraId="629ED930" w14:textId="77777777" w:rsidTr="00184A33">
        <w:trPr>
          <w:trHeight w:val="255"/>
        </w:trPr>
        <w:tc>
          <w:tcPr>
            <w:tcW w:w="3402" w:type="dxa"/>
            <w:noWrap/>
            <w:tcMar>
              <w:top w:w="0" w:type="dxa"/>
              <w:left w:w="108" w:type="dxa"/>
              <w:bottom w:w="0" w:type="dxa"/>
              <w:right w:w="108" w:type="dxa"/>
            </w:tcMar>
            <w:hideMark/>
          </w:tcPr>
          <w:p w14:paraId="28293163" w14:textId="77777777" w:rsidR="00193FF3" w:rsidRPr="00193FF3" w:rsidRDefault="00193FF3">
            <w:pPr>
              <w:rPr>
                <w:bCs/>
                <w:sz w:val="20"/>
                <w:szCs w:val="20"/>
              </w:rPr>
            </w:pPr>
            <w:r w:rsidRPr="00193FF3">
              <w:rPr>
                <w:bCs/>
                <w:sz w:val="20"/>
                <w:szCs w:val="20"/>
              </w:rPr>
              <w:t>Fire &amp; Rescue Authorities</w:t>
            </w:r>
          </w:p>
        </w:tc>
        <w:tc>
          <w:tcPr>
            <w:tcW w:w="1560" w:type="dxa"/>
            <w:noWrap/>
            <w:tcMar>
              <w:top w:w="0" w:type="dxa"/>
              <w:left w:w="108" w:type="dxa"/>
              <w:bottom w:w="0" w:type="dxa"/>
              <w:right w:w="108" w:type="dxa"/>
            </w:tcMar>
            <w:hideMark/>
          </w:tcPr>
          <w:p w14:paraId="4F587BE7" w14:textId="77777777" w:rsidR="00193FF3" w:rsidRPr="003F4A6E" w:rsidRDefault="00193FF3">
            <w:pPr>
              <w:jc w:val="right"/>
              <w:rPr>
                <w:sz w:val="20"/>
                <w:szCs w:val="20"/>
              </w:rPr>
            </w:pPr>
            <w:r w:rsidRPr="003F4A6E">
              <w:rPr>
                <w:sz w:val="20"/>
                <w:szCs w:val="20"/>
              </w:rPr>
              <w:t>17</w:t>
            </w:r>
          </w:p>
        </w:tc>
        <w:tc>
          <w:tcPr>
            <w:tcW w:w="1984" w:type="dxa"/>
            <w:noWrap/>
            <w:tcMar>
              <w:top w:w="0" w:type="dxa"/>
              <w:left w:w="108" w:type="dxa"/>
              <w:bottom w:w="0" w:type="dxa"/>
              <w:right w:w="108" w:type="dxa"/>
            </w:tcMar>
            <w:hideMark/>
          </w:tcPr>
          <w:p w14:paraId="10963E10" w14:textId="77777777" w:rsidR="00193FF3" w:rsidRPr="003F4A6E" w:rsidRDefault="00193FF3">
            <w:pPr>
              <w:jc w:val="right"/>
              <w:rPr>
                <w:sz w:val="20"/>
                <w:szCs w:val="20"/>
              </w:rPr>
            </w:pPr>
            <w:r w:rsidRPr="003F4A6E">
              <w:rPr>
                <w:sz w:val="20"/>
                <w:szCs w:val="20"/>
              </w:rPr>
              <w:t>352</w:t>
            </w:r>
          </w:p>
        </w:tc>
        <w:tc>
          <w:tcPr>
            <w:tcW w:w="2119" w:type="dxa"/>
            <w:noWrap/>
            <w:tcMar>
              <w:top w:w="0" w:type="dxa"/>
              <w:left w:w="108" w:type="dxa"/>
              <w:bottom w:w="0" w:type="dxa"/>
              <w:right w:w="108" w:type="dxa"/>
            </w:tcMar>
            <w:hideMark/>
          </w:tcPr>
          <w:p w14:paraId="6ED7A9ED" w14:textId="77777777" w:rsidR="00193FF3" w:rsidRPr="003F4A6E" w:rsidRDefault="00193FF3">
            <w:pPr>
              <w:jc w:val="right"/>
              <w:rPr>
                <w:sz w:val="20"/>
                <w:szCs w:val="20"/>
              </w:rPr>
            </w:pPr>
            <w:r w:rsidRPr="003F4A6E">
              <w:rPr>
                <w:sz w:val="20"/>
                <w:szCs w:val="20"/>
              </w:rPr>
              <w:t>5%</w:t>
            </w:r>
          </w:p>
        </w:tc>
      </w:tr>
    </w:tbl>
    <w:p w14:paraId="02FEFC74" w14:textId="77777777" w:rsidR="000F5B0C" w:rsidRDefault="000F5B0C" w:rsidP="000F5B0C">
      <w:pPr>
        <w:spacing w:after="240"/>
      </w:pPr>
    </w:p>
    <w:p w14:paraId="0B27A4D8" w14:textId="77777777" w:rsidR="00613081" w:rsidRPr="000A7A01" w:rsidRDefault="00BC1935" w:rsidP="00BC1935">
      <w:pPr>
        <w:spacing w:after="240"/>
        <w:ind w:left="567" w:hanging="567"/>
        <w:rPr>
          <w:highlight w:val="yellow"/>
        </w:rPr>
      </w:pPr>
      <w:r>
        <w:t>5.6</w:t>
      </w:r>
      <w:r>
        <w:tab/>
      </w:r>
      <w:r w:rsidR="00613081" w:rsidRPr="003F4A6E">
        <w:t>Although Shire Districts and London Boroughs have</w:t>
      </w:r>
      <w:r w:rsidR="009D5F59">
        <w:t xml:space="preserve"> experienced</w:t>
      </w:r>
      <w:r w:rsidR="00613081" w:rsidRPr="003F4A6E">
        <w:t xml:space="preserve"> similar absolute levels of growth (~£600m)</w:t>
      </w:r>
      <w:r w:rsidR="009D5F59">
        <w:t xml:space="preserve"> since 2013/14,</w:t>
      </w:r>
      <w:r w:rsidR="00613081" w:rsidRPr="003F4A6E">
        <w:t xml:space="preserve"> it is</w:t>
      </w:r>
      <w:r w:rsidR="009D5F59">
        <w:t xml:space="preserve"> also</w:t>
      </w:r>
      <w:r w:rsidR="00613081" w:rsidRPr="003F4A6E">
        <w:t xml:space="preserve"> clear that Shire Districts have </w:t>
      </w:r>
      <w:r w:rsidR="009D5F59">
        <w:t xml:space="preserve">seen significantly higher growth than any other classification of </w:t>
      </w:r>
      <w:r w:rsidR="009D5F59">
        <w:lastRenderedPageBreak/>
        <w:t>local authority when this is expressed as a proportion of baseline funding</w:t>
      </w:r>
      <w:r w:rsidR="00613081" w:rsidRPr="003F4A6E">
        <w:t xml:space="preserve">. Unsurprisingly Shire Counties (and Fire and Rescue Authorities) have only seen very small amounts of growth relative to their baseline funding levels </w:t>
      </w:r>
      <w:r w:rsidR="003F4A6E" w:rsidRPr="003F4A6E">
        <w:t>as they are top-up</w:t>
      </w:r>
      <w:r w:rsidR="003F4A6E">
        <w:t xml:space="preserve"> authorities. </w:t>
      </w:r>
    </w:p>
    <w:p w14:paraId="0AEB9684" w14:textId="77777777" w:rsidR="00184A33" w:rsidRDefault="00BC1935" w:rsidP="00A11D2F">
      <w:pPr>
        <w:spacing w:after="240" w:line="240" w:lineRule="auto"/>
        <w:ind w:left="567" w:hanging="567"/>
      </w:pPr>
      <w:r>
        <w:t>5.7</w:t>
      </w:r>
      <w:r w:rsidR="00591248" w:rsidRPr="003D16C7">
        <w:tab/>
      </w:r>
      <w:r w:rsidR="00184A33" w:rsidRPr="003D16C7">
        <w:t>Below</w:t>
      </w:r>
      <w:r w:rsidR="00184A33">
        <w:t xml:space="preserve"> is a table which summarises the total amount in safety net payments paid to local authorities</w:t>
      </w:r>
      <w:r w:rsidR="003D16C7">
        <w:t xml:space="preserve"> since 2013 </w:t>
      </w:r>
      <w:r w:rsidR="009D5F59">
        <w:t xml:space="preserve">again divided </w:t>
      </w:r>
      <w:r w:rsidR="003D16C7">
        <w:t>by</w:t>
      </w:r>
      <w:r w:rsidR="00184A33">
        <w:t xml:space="preserve"> local authority classification. </w:t>
      </w:r>
    </w:p>
    <w:p w14:paraId="0AF9F839" w14:textId="77777777" w:rsidR="000F5B0C" w:rsidRDefault="00BC1935" w:rsidP="00BC1935">
      <w:pPr>
        <w:spacing w:after="240"/>
        <w:ind w:left="567" w:hanging="567"/>
      </w:pPr>
      <w:r>
        <w:t>5.8</w:t>
      </w:r>
      <w:r>
        <w:tab/>
      </w:r>
      <w:r w:rsidR="003D16C7">
        <w:t>No county h</w:t>
      </w:r>
      <w:r w:rsidR="00AC6C2D">
        <w:t>as received a safety net payment</w:t>
      </w:r>
      <w:r w:rsidR="004E4A7B">
        <w:t xml:space="preserve"> reflecting the fact that the current tier split has made all county councils top-up authorities. A large proportion of local authorities that have received safety net payments are shire districts, as a consequence of them being highly geared.</w:t>
      </w:r>
    </w:p>
    <w:tbl>
      <w:tblPr>
        <w:tblpPr w:leftFromText="180" w:rightFromText="180" w:vertAnchor="page" w:horzAnchor="margin" w:tblpXSpec="center" w:tblpY="5727"/>
        <w:tblW w:w="114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2093"/>
        <w:gridCol w:w="1417"/>
        <w:gridCol w:w="709"/>
        <w:gridCol w:w="1276"/>
        <w:gridCol w:w="567"/>
        <w:gridCol w:w="1276"/>
        <w:gridCol w:w="640"/>
        <w:gridCol w:w="1202"/>
        <w:gridCol w:w="567"/>
        <w:gridCol w:w="1134"/>
        <w:gridCol w:w="567"/>
      </w:tblGrid>
      <w:tr w:rsidR="00A11D2F" w14:paraId="3DA988DA" w14:textId="77777777" w:rsidTr="00A11D2F">
        <w:trPr>
          <w:trHeight w:val="255"/>
        </w:trPr>
        <w:tc>
          <w:tcPr>
            <w:tcW w:w="2093" w:type="dxa"/>
            <w:vMerge w:val="restart"/>
            <w:shd w:val="clear" w:color="auto" w:fill="B6DDE8" w:themeFill="accent5" w:themeFillTint="66"/>
            <w:noWrap/>
            <w:tcMar>
              <w:top w:w="0" w:type="dxa"/>
              <w:left w:w="108" w:type="dxa"/>
              <w:bottom w:w="0" w:type="dxa"/>
              <w:right w:w="108" w:type="dxa"/>
            </w:tcMar>
          </w:tcPr>
          <w:p w14:paraId="40D6BEB1" w14:textId="77777777" w:rsidR="00A11D2F" w:rsidRPr="00193FF3" w:rsidRDefault="00A11D2F" w:rsidP="00A11D2F">
            <w:pPr>
              <w:rPr>
                <w:b/>
                <w:bCs/>
                <w:sz w:val="22"/>
                <w:szCs w:val="22"/>
              </w:rPr>
            </w:pPr>
            <w:r w:rsidRPr="00193FF3">
              <w:rPr>
                <w:b/>
                <w:bCs/>
                <w:sz w:val="22"/>
                <w:szCs w:val="22"/>
              </w:rPr>
              <w:t>Classification of Local Authority</w:t>
            </w:r>
          </w:p>
        </w:tc>
        <w:tc>
          <w:tcPr>
            <w:tcW w:w="2126" w:type="dxa"/>
            <w:gridSpan w:val="2"/>
            <w:shd w:val="clear" w:color="auto" w:fill="B6DDE8" w:themeFill="accent5" w:themeFillTint="66"/>
            <w:noWrap/>
            <w:tcMar>
              <w:top w:w="0" w:type="dxa"/>
              <w:left w:w="108" w:type="dxa"/>
              <w:bottom w:w="0" w:type="dxa"/>
              <w:right w:w="108" w:type="dxa"/>
            </w:tcMar>
          </w:tcPr>
          <w:p w14:paraId="095E61B9" w14:textId="77777777" w:rsidR="00A11D2F" w:rsidRDefault="00A11D2F" w:rsidP="00A11D2F">
            <w:pPr>
              <w:jc w:val="right"/>
              <w:rPr>
                <w:b/>
                <w:bCs/>
                <w:sz w:val="22"/>
                <w:szCs w:val="22"/>
              </w:rPr>
            </w:pPr>
            <w:r>
              <w:rPr>
                <w:b/>
                <w:bCs/>
                <w:sz w:val="22"/>
                <w:szCs w:val="22"/>
              </w:rPr>
              <w:t>2013</w:t>
            </w:r>
          </w:p>
        </w:tc>
        <w:tc>
          <w:tcPr>
            <w:tcW w:w="1843" w:type="dxa"/>
            <w:gridSpan w:val="2"/>
            <w:shd w:val="clear" w:color="auto" w:fill="B6DDE8" w:themeFill="accent5" w:themeFillTint="66"/>
          </w:tcPr>
          <w:p w14:paraId="04D7AC62" w14:textId="77777777" w:rsidR="00A11D2F" w:rsidRDefault="00A11D2F" w:rsidP="00A11D2F">
            <w:pPr>
              <w:jc w:val="right"/>
              <w:rPr>
                <w:b/>
                <w:bCs/>
                <w:sz w:val="22"/>
                <w:szCs w:val="22"/>
              </w:rPr>
            </w:pPr>
            <w:r>
              <w:rPr>
                <w:b/>
                <w:bCs/>
                <w:sz w:val="22"/>
                <w:szCs w:val="22"/>
              </w:rPr>
              <w:t>2014</w:t>
            </w:r>
          </w:p>
        </w:tc>
        <w:tc>
          <w:tcPr>
            <w:tcW w:w="1916" w:type="dxa"/>
            <w:gridSpan w:val="2"/>
            <w:shd w:val="clear" w:color="auto" w:fill="B6DDE8" w:themeFill="accent5" w:themeFillTint="66"/>
          </w:tcPr>
          <w:p w14:paraId="60FCEB97" w14:textId="77777777" w:rsidR="00A11D2F" w:rsidRDefault="00A11D2F" w:rsidP="00A11D2F">
            <w:pPr>
              <w:jc w:val="right"/>
              <w:rPr>
                <w:b/>
                <w:bCs/>
                <w:sz w:val="22"/>
                <w:szCs w:val="22"/>
              </w:rPr>
            </w:pPr>
            <w:r>
              <w:rPr>
                <w:b/>
                <w:bCs/>
                <w:sz w:val="22"/>
                <w:szCs w:val="22"/>
              </w:rPr>
              <w:t>2015</w:t>
            </w:r>
          </w:p>
        </w:tc>
        <w:tc>
          <w:tcPr>
            <w:tcW w:w="1769" w:type="dxa"/>
            <w:gridSpan w:val="2"/>
            <w:shd w:val="clear" w:color="auto" w:fill="B6DDE8" w:themeFill="accent5" w:themeFillTint="66"/>
          </w:tcPr>
          <w:p w14:paraId="61E6DE57" w14:textId="77777777" w:rsidR="00A11D2F" w:rsidRDefault="00A11D2F" w:rsidP="00A11D2F">
            <w:pPr>
              <w:jc w:val="right"/>
              <w:rPr>
                <w:b/>
                <w:bCs/>
                <w:sz w:val="22"/>
                <w:szCs w:val="22"/>
              </w:rPr>
            </w:pPr>
            <w:r>
              <w:rPr>
                <w:b/>
                <w:bCs/>
                <w:sz w:val="22"/>
                <w:szCs w:val="22"/>
              </w:rPr>
              <w:t>2016</w:t>
            </w:r>
          </w:p>
        </w:tc>
        <w:tc>
          <w:tcPr>
            <w:tcW w:w="1701" w:type="dxa"/>
            <w:gridSpan w:val="2"/>
            <w:shd w:val="clear" w:color="auto" w:fill="B6DDE8" w:themeFill="accent5" w:themeFillTint="66"/>
          </w:tcPr>
          <w:p w14:paraId="70EC8B51" w14:textId="77777777" w:rsidR="00A11D2F" w:rsidRDefault="00A11D2F" w:rsidP="00A11D2F">
            <w:pPr>
              <w:jc w:val="right"/>
              <w:rPr>
                <w:b/>
                <w:bCs/>
                <w:sz w:val="22"/>
                <w:szCs w:val="22"/>
              </w:rPr>
            </w:pPr>
            <w:r>
              <w:rPr>
                <w:b/>
                <w:bCs/>
                <w:sz w:val="22"/>
                <w:szCs w:val="22"/>
              </w:rPr>
              <w:t>2017</w:t>
            </w:r>
          </w:p>
        </w:tc>
      </w:tr>
      <w:tr w:rsidR="00A11D2F" w14:paraId="2110280A" w14:textId="77777777" w:rsidTr="00A11D2F">
        <w:trPr>
          <w:trHeight w:val="255"/>
        </w:trPr>
        <w:tc>
          <w:tcPr>
            <w:tcW w:w="2093" w:type="dxa"/>
            <w:vMerge/>
            <w:shd w:val="clear" w:color="auto" w:fill="B6DDE8" w:themeFill="accent5" w:themeFillTint="66"/>
            <w:noWrap/>
            <w:tcMar>
              <w:top w:w="0" w:type="dxa"/>
              <w:left w:w="108" w:type="dxa"/>
              <w:bottom w:w="0" w:type="dxa"/>
              <w:right w:w="108" w:type="dxa"/>
            </w:tcMar>
          </w:tcPr>
          <w:p w14:paraId="2BF3F8BA" w14:textId="77777777" w:rsidR="00A11D2F" w:rsidRPr="00193FF3" w:rsidRDefault="00A11D2F" w:rsidP="00A11D2F">
            <w:pPr>
              <w:rPr>
                <w:b/>
                <w:bCs/>
                <w:sz w:val="22"/>
                <w:szCs w:val="22"/>
              </w:rPr>
            </w:pPr>
          </w:p>
        </w:tc>
        <w:tc>
          <w:tcPr>
            <w:tcW w:w="1417" w:type="dxa"/>
            <w:shd w:val="clear" w:color="auto" w:fill="B6DDE8" w:themeFill="accent5" w:themeFillTint="66"/>
            <w:noWrap/>
            <w:tcMar>
              <w:top w:w="0" w:type="dxa"/>
              <w:left w:w="108" w:type="dxa"/>
              <w:bottom w:w="0" w:type="dxa"/>
              <w:right w:w="108" w:type="dxa"/>
            </w:tcMar>
          </w:tcPr>
          <w:p w14:paraId="4999AFC4" w14:textId="77777777" w:rsidR="00A11D2F" w:rsidRPr="00193FF3" w:rsidRDefault="00A11D2F" w:rsidP="00A11D2F">
            <w:pPr>
              <w:jc w:val="right"/>
              <w:rPr>
                <w:b/>
                <w:bCs/>
                <w:sz w:val="22"/>
                <w:szCs w:val="22"/>
              </w:rPr>
            </w:pPr>
            <w:r>
              <w:rPr>
                <w:b/>
                <w:bCs/>
                <w:sz w:val="22"/>
                <w:szCs w:val="22"/>
              </w:rPr>
              <w:t>Total Safety Net Payments (£m)</w:t>
            </w:r>
          </w:p>
        </w:tc>
        <w:tc>
          <w:tcPr>
            <w:tcW w:w="709" w:type="dxa"/>
            <w:shd w:val="clear" w:color="auto" w:fill="B6DDE8" w:themeFill="accent5" w:themeFillTint="66"/>
            <w:noWrap/>
            <w:tcMar>
              <w:top w:w="0" w:type="dxa"/>
              <w:left w:w="108" w:type="dxa"/>
              <w:bottom w:w="0" w:type="dxa"/>
              <w:right w:w="108" w:type="dxa"/>
            </w:tcMar>
          </w:tcPr>
          <w:p w14:paraId="27F8D4E3" w14:textId="77777777" w:rsidR="00A11D2F" w:rsidRPr="00193FF3" w:rsidRDefault="00A11D2F" w:rsidP="00A11D2F">
            <w:pPr>
              <w:jc w:val="right"/>
              <w:rPr>
                <w:b/>
                <w:bCs/>
                <w:sz w:val="22"/>
                <w:szCs w:val="22"/>
              </w:rPr>
            </w:pPr>
            <w:r>
              <w:rPr>
                <w:b/>
                <w:bCs/>
                <w:sz w:val="22"/>
                <w:szCs w:val="22"/>
              </w:rPr>
              <w:t>No of LAs</w:t>
            </w:r>
          </w:p>
        </w:tc>
        <w:tc>
          <w:tcPr>
            <w:tcW w:w="1276" w:type="dxa"/>
            <w:shd w:val="clear" w:color="auto" w:fill="B6DDE8" w:themeFill="accent5" w:themeFillTint="66"/>
          </w:tcPr>
          <w:p w14:paraId="100BC469" w14:textId="77777777" w:rsidR="00A11D2F" w:rsidRPr="00193FF3" w:rsidRDefault="00A11D2F" w:rsidP="00A11D2F">
            <w:pPr>
              <w:jc w:val="right"/>
              <w:rPr>
                <w:b/>
                <w:bCs/>
                <w:sz w:val="22"/>
                <w:szCs w:val="22"/>
              </w:rPr>
            </w:pPr>
            <w:r>
              <w:rPr>
                <w:b/>
                <w:bCs/>
                <w:sz w:val="22"/>
                <w:szCs w:val="22"/>
              </w:rPr>
              <w:t>Total Safety Net Payments (£m)</w:t>
            </w:r>
          </w:p>
        </w:tc>
        <w:tc>
          <w:tcPr>
            <w:tcW w:w="567" w:type="dxa"/>
            <w:shd w:val="clear" w:color="auto" w:fill="B6DDE8" w:themeFill="accent5" w:themeFillTint="66"/>
          </w:tcPr>
          <w:p w14:paraId="2E7AAF9C" w14:textId="77777777" w:rsidR="00A11D2F" w:rsidRPr="00193FF3" w:rsidRDefault="00A11D2F" w:rsidP="00A11D2F">
            <w:pPr>
              <w:jc w:val="right"/>
              <w:rPr>
                <w:b/>
                <w:bCs/>
                <w:sz w:val="22"/>
                <w:szCs w:val="22"/>
              </w:rPr>
            </w:pPr>
            <w:r>
              <w:rPr>
                <w:b/>
                <w:bCs/>
                <w:sz w:val="22"/>
                <w:szCs w:val="22"/>
              </w:rPr>
              <w:t>No of LAs</w:t>
            </w:r>
          </w:p>
        </w:tc>
        <w:tc>
          <w:tcPr>
            <w:tcW w:w="1276" w:type="dxa"/>
            <w:shd w:val="clear" w:color="auto" w:fill="B6DDE8" w:themeFill="accent5" w:themeFillTint="66"/>
          </w:tcPr>
          <w:p w14:paraId="33AFC7BE" w14:textId="77777777" w:rsidR="00A11D2F" w:rsidRPr="00193FF3" w:rsidRDefault="00A11D2F" w:rsidP="00A11D2F">
            <w:pPr>
              <w:jc w:val="right"/>
              <w:rPr>
                <w:b/>
                <w:bCs/>
                <w:sz w:val="22"/>
                <w:szCs w:val="22"/>
              </w:rPr>
            </w:pPr>
            <w:r>
              <w:rPr>
                <w:b/>
                <w:bCs/>
                <w:sz w:val="22"/>
                <w:szCs w:val="22"/>
              </w:rPr>
              <w:t>Total Safety Net Payments (£m)</w:t>
            </w:r>
          </w:p>
        </w:tc>
        <w:tc>
          <w:tcPr>
            <w:tcW w:w="640" w:type="dxa"/>
            <w:shd w:val="clear" w:color="auto" w:fill="B6DDE8" w:themeFill="accent5" w:themeFillTint="66"/>
          </w:tcPr>
          <w:p w14:paraId="798E9637" w14:textId="77777777" w:rsidR="00A11D2F" w:rsidRPr="00193FF3" w:rsidRDefault="00A11D2F" w:rsidP="00A11D2F">
            <w:pPr>
              <w:jc w:val="right"/>
              <w:rPr>
                <w:b/>
                <w:bCs/>
                <w:sz w:val="22"/>
                <w:szCs w:val="22"/>
              </w:rPr>
            </w:pPr>
            <w:r>
              <w:rPr>
                <w:b/>
                <w:bCs/>
                <w:sz w:val="22"/>
                <w:szCs w:val="22"/>
              </w:rPr>
              <w:t>No of LAs</w:t>
            </w:r>
          </w:p>
        </w:tc>
        <w:tc>
          <w:tcPr>
            <w:tcW w:w="1202" w:type="dxa"/>
            <w:shd w:val="clear" w:color="auto" w:fill="B6DDE8" w:themeFill="accent5" w:themeFillTint="66"/>
          </w:tcPr>
          <w:p w14:paraId="6E25C625" w14:textId="77777777" w:rsidR="00A11D2F" w:rsidRPr="00193FF3" w:rsidRDefault="00A11D2F" w:rsidP="00A11D2F">
            <w:pPr>
              <w:jc w:val="right"/>
              <w:rPr>
                <w:b/>
                <w:bCs/>
                <w:sz w:val="22"/>
                <w:szCs w:val="22"/>
              </w:rPr>
            </w:pPr>
            <w:r>
              <w:rPr>
                <w:b/>
                <w:bCs/>
                <w:sz w:val="22"/>
                <w:szCs w:val="22"/>
              </w:rPr>
              <w:t>Total Safety Net Payments (£m)</w:t>
            </w:r>
          </w:p>
        </w:tc>
        <w:tc>
          <w:tcPr>
            <w:tcW w:w="567" w:type="dxa"/>
            <w:shd w:val="clear" w:color="auto" w:fill="B6DDE8" w:themeFill="accent5" w:themeFillTint="66"/>
          </w:tcPr>
          <w:p w14:paraId="3A2F778C" w14:textId="77777777" w:rsidR="00A11D2F" w:rsidRPr="00193FF3" w:rsidRDefault="00A11D2F" w:rsidP="00A11D2F">
            <w:pPr>
              <w:jc w:val="right"/>
              <w:rPr>
                <w:b/>
                <w:bCs/>
                <w:sz w:val="22"/>
                <w:szCs w:val="22"/>
              </w:rPr>
            </w:pPr>
            <w:r>
              <w:rPr>
                <w:b/>
                <w:bCs/>
                <w:sz w:val="22"/>
                <w:szCs w:val="22"/>
              </w:rPr>
              <w:t>No of LAs</w:t>
            </w:r>
          </w:p>
        </w:tc>
        <w:tc>
          <w:tcPr>
            <w:tcW w:w="1134" w:type="dxa"/>
            <w:shd w:val="clear" w:color="auto" w:fill="B6DDE8" w:themeFill="accent5" w:themeFillTint="66"/>
          </w:tcPr>
          <w:p w14:paraId="4A0A044F" w14:textId="77777777" w:rsidR="00A11D2F" w:rsidRPr="00193FF3" w:rsidRDefault="00A11D2F" w:rsidP="00A11D2F">
            <w:pPr>
              <w:jc w:val="right"/>
              <w:rPr>
                <w:b/>
                <w:bCs/>
                <w:sz w:val="22"/>
                <w:szCs w:val="22"/>
              </w:rPr>
            </w:pPr>
            <w:r>
              <w:rPr>
                <w:b/>
                <w:bCs/>
                <w:sz w:val="22"/>
                <w:szCs w:val="22"/>
              </w:rPr>
              <w:t>Total Safety Net Payments (£m)</w:t>
            </w:r>
          </w:p>
        </w:tc>
        <w:tc>
          <w:tcPr>
            <w:tcW w:w="567" w:type="dxa"/>
            <w:shd w:val="clear" w:color="auto" w:fill="B6DDE8" w:themeFill="accent5" w:themeFillTint="66"/>
          </w:tcPr>
          <w:p w14:paraId="7D542B5A" w14:textId="77777777" w:rsidR="00A11D2F" w:rsidRPr="00193FF3" w:rsidRDefault="00A11D2F" w:rsidP="00A11D2F">
            <w:pPr>
              <w:jc w:val="right"/>
              <w:rPr>
                <w:b/>
                <w:bCs/>
                <w:sz w:val="22"/>
                <w:szCs w:val="22"/>
              </w:rPr>
            </w:pPr>
            <w:r>
              <w:rPr>
                <w:b/>
                <w:bCs/>
                <w:sz w:val="22"/>
                <w:szCs w:val="22"/>
              </w:rPr>
              <w:t>No of LAs</w:t>
            </w:r>
          </w:p>
        </w:tc>
      </w:tr>
      <w:tr w:rsidR="00A11D2F" w14:paraId="50A2097E" w14:textId="77777777" w:rsidTr="00A11D2F">
        <w:trPr>
          <w:trHeight w:val="255"/>
        </w:trPr>
        <w:tc>
          <w:tcPr>
            <w:tcW w:w="2093" w:type="dxa"/>
            <w:noWrap/>
            <w:tcMar>
              <w:top w:w="0" w:type="dxa"/>
              <w:left w:w="108" w:type="dxa"/>
              <w:bottom w:w="0" w:type="dxa"/>
              <w:right w:w="108" w:type="dxa"/>
            </w:tcMar>
            <w:hideMark/>
          </w:tcPr>
          <w:p w14:paraId="03DCC35B" w14:textId="77777777" w:rsidR="00A11D2F" w:rsidRPr="00193FF3" w:rsidRDefault="00A11D2F" w:rsidP="00A11D2F">
            <w:pPr>
              <w:rPr>
                <w:bCs/>
                <w:sz w:val="20"/>
                <w:szCs w:val="20"/>
              </w:rPr>
            </w:pPr>
            <w:r w:rsidRPr="00193FF3">
              <w:rPr>
                <w:bCs/>
                <w:sz w:val="20"/>
                <w:szCs w:val="20"/>
              </w:rPr>
              <w:t>Unitary Authorities</w:t>
            </w:r>
          </w:p>
        </w:tc>
        <w:tc>
          <w:tcPr>
            <w:tcW w:w="1417" w:type="dxa"/>
            <w:noWrap/>
            <w:tcMar>
              <w:top w:w="0" w:type="dxa"/>
              <w:left w:w="108" w:type="dxa"/>
              <w:bottom w:w="0" w:type="dxa"/>
              <w:right w:w="108" w:type="dxa"/>
            </w:tcMar>
          </w:tcPr>
          <w:p w14:paraId="473F249E" w14:textId="77777777" w:rsidR="00A11D2F" w:rsidRPr="003F4A6E" w:rsidRDefault="00A11D2F" w:rsidP="00A11D2F">
            <w:pPr>
              <w:jc w:val="right"/>
              <w:rPr>
                <w:sz w:val="20"/>
                <w:szCs w:val="20"/>
              </w:rPr>
            </w:pPr>
            <w:r>
              <w:rPr>
                <w:sz w:val="20"/>
                <w:szCs w:val="20"/>
              </w:rPr>
              <w:t>9.4</w:t>
            </w:r>
          </w:p>
        </w:tc>
        <w:tc>
          <w:tcPr>
            <w:tcW w:w="709" w:type="dxa"/>
            <w:noWrap/>
            <w:tcMar>
              <w:top w:w="0" w:type="dxa"/>
              <w:left w:w="108" w:type="dxa"/>
              <w:bottom w:w="0" w:type="dxa"/>
              <w:right w:w="108" w:type="dxa"/>
            </w:tcMar>
          </w:tcPr>
          <w:p w14:paraId="5C6CA1D4" w14:textId="77777777" w:rsidR="00A11D2F" w:rsidRPr="003F4A6E" w:rsidRDefault="00A11D2F" w:rsidP="00A11D2F">
            <w:pPr>
              <w:jc w:val="right"/>
              <w:rPr>
                <w:sz w:val="20"/>
                <w:szCs w:val="20"/>
              </w:rPr>
            </w:pPr>
            <w:r>
              <w:rPr>
                <w:sz w:val="20"/>
                <w:szCs w:val="20"/>
              </w:rPr>
              <w:t>4</w:t>
            </w:r>
          </w:p>
        </w:tc>
        <w:tc>
          <w:tcPr>
            <w:tcW w:w="1276" w:type="dxa"/>
          </w:tcPr>
          <w:p w14:paraId="4E893973" w14:textId="77777777" w:rsidR="00A11D2F" w:rsidRPr="003F4A6E" w:rsidRDefault="00A11D2F" w:rsidP="00A11D2F">
            <w:pPr>
              <w:jc w:val="right"/>
              <w:rPr>
                <w:sz w:val="20"/>
                <w:szCs w:val="20"/>
              </w:rPr>
            </w:pPr>
            <w:r>
              <w:rPr>
                <w:sz w:val="20"/>
                <w:szCs w:val="20"/>
              </w:rPr>
              <w:t>4.7</w:t>
            </w:r>
          </w:p>
        </w:tc>
        <w:tc>
          <w:tcPr>
            <w:tcW w:w="567" w:type="dxa"/>
          </w:tcPr>
          <w:p w14:paraId="016DDF27" w14:textId="77777777" w:rsidR="00A11D2F" w:rsidRPr="003F4A6E" w:rsidRDefault="00A11D2F" w:rsidP="00A11D2F">
            <w:pPr>
              <w:jc w:val="right"/>
              <w:rPr>
                <w:sz w:val="20"/>
                <w:szCs w:val="20"/>
              </w:rPr>
            </w:pPr>
            <w:r>
              <w:rPr>
                <w:sz w:val="20"/>
                <w:szCs w:val="20"/>
              </w:rPr>
              <w:t>4</w:t>
            </w:r>
          </w:p>
        </w:tc>
        <w:tc>
          <w:tcPr>
            <w:tcW w:w="1276" w:type="dxa"/>
          </w:tcPr>
          <w:p w14:paraId="6F167DA2" w14:textId="77777777" w:rsidR="00A11D2F" w:rsidRPr="003F4A6E" w:rsidRDefault="00A11D2F" w:rsidP="00A11D2F">
            <w:pPr>
              <w:jc w:val="right"/>
              <w:rPr>
                <w:sz w:val="20"/>
                <w:szCs w:val="20"/>
              </w:rPr>
            </w:pPr>
            <w:r>
              <w:rPr>
                <w:sz w:val="20"/>
                <w:szCs w:val="20"/>
              </w:rPr>
              <w:t>24.5</w:t>
            </w:r>
          </w:p>
        </w:tc>
        <w:tc>
          <w:tcPr>
            <w:tcW w:w="640" w:type="dxa"/>
          </w:tcPr>
          <w:p w14:paraId="4CDE9EF9" w14:textId="77777777" w:rsidR="00A11D2F" w:rsidRPr="003F4A6E" w:rsidRDefault="00A11D2F" w:rsidP="00A11D2F">
            <w:pPr>
              <w:jc w:val="right"/>
              <w:rPr>
                <w:sz w:val="20"/>
                <w:szCs w:val="20"/>
              </w:rPr>
            </w:pPr>
            <w:r>
              <w:rPr>
                <w:sz w:val="20"/>
                <w:szCs w:val="20"/>
              </w:rPr>
              <w:t>2</w:t>
            </w:r>
          </w:p>
        </w:tc>
        <w:tc>
          <w:tcPr>
            <w:tcW w:w="1202" w:type="dxa"/>
          </w:tcPr>
          <w:p w14:paraId="138583DC" w14:textId="77777777" w:rsidR="00A11D2F" w:rsidRPr="003F4A6E" w:rsidRDefault="00A11D2F" w:rsidP="00A11D2F">
            <w:pPr>
              <w:jc w:val="right"/>
              <w:rPr>
                <w:sz w:val="20"/>
                <w:szCs w:val="20"/>
              </w:rPr>
            </w:pPr>
            <w:r>
              <w:rPr>
                <w:sz w:val="20"/>
                <w:szCs w:val="20"/>
              </w:rPr>
              <w:t>3.9</w:t>
            </w:r>
          </w:p>
        </w:tc>
        <w:tc>
          <w:tcPr>
            <w:tcW w:w="567" w:type="dxa"/>
          </w:tcPr>
          <w:p w14:paraId="04205AC1" w14:textId="77777777" w:rsidR="00A11D2F" w:rsidRPr="003F4A6E" w:rsidRDefault="00A11D2F" w:rsidP="00A11D2F">
            <w:pPr>
              <w:jc w:val="right"/>
              <w:rPr>
                <w:sz w:val="20"/>
                <w:szCs w:val="20"/>
              </w:rPr>
            </w:pPr>
            <w:r>
              <w:rPr>
                <w:sz w:val="20"/>
                <w:szCs w:val="20"/>
              </w:rPr>
              <w:t>1</w:t>
            </w:r>
          </w:p>
        </w:tc>
        <w:tc>
          <w:tcPr>
            <w:tcW w:w="1134" w:type="dxa"/>
          </w:tcPr>
          <w:p w14:paraId="68464AB2" w14:textId="77777777" w:rsidR="00A11D2F" w:rsidRPr="003F4A6E" w:rsidRDefault="00A11D2F" w:rsidP="00A11D2F">
            <w:pPr>
              <w:jc w:val="right"/>
              <w:rPr>
                <w:sz w:val="20"/>
                <w:szCs w:val="20"/>
              </w:rPr>
            </w:pPr>
            <w:r>
              <w:rPr>
                <w:sz w:val="20"/>
                <w:szCs w:val="20"/>
              </w:rPr>
              <w:t>1.6</w:t>
            </w:r>
          </w:p>
        </w:tc>
        <w:tc>
          <w:tcPr>
            <w:tcW w:w="567" w:type="dxa"/>
          </w:tcPr>
          <w:p w14:paraId="6BAC6B6C" w14:textId="77777777" w:rsidR="00A11D2F" w:rsidRPr="003F4A6E" w:rsidRDefault="00A11D2F" w:rsidP="00A11D2F">
            <w:pPr>
              <w:jc w:val="right"/>
              <w:rPr>
                <w:sz w:val="20"/>
                <w:szCs w:val="20"/>
              </w:rPr>
            </w:pPr>
            <w:r>
              <w:rPr>
                <w:sz w:val="20"/>
                <w:szCs w:val="20"/>
              </w:rPr>
              <w:t>1</w:t>
            </w:r>
          </w:p>
        </w:tc>
      </w:tr>
      <w:tr w:rsidR="00A11D2F" w14:paraId="19729AD6" w14:textId="77777777" w:rsidTr="00A11D2F">
        <w:trPr>
          <w:trHeight w:val="255"/>
        </w:trPr>
        <w:tc>
          <w:tcPr>
            <w:tcW w:w="2093" w:type="dxa"/>
            <w:noWrap/>
            <w:tcMar>
              <w:top w:w="0" w:type="dxa"/>
              <w:left w:w="108" w:type="dxa"/>
              <w:bottom w:w="0" w:type="dxa"/>
              <w:right w:w="108" w:type="dxa"/>
            </w:tcMar>
            <w:hideMark/>
          </w:tcPr>
          <w:p w14:paraId="7352F8F8" w14:textId="77777777" w:rsidR="00A11D2F" w:rsidRPr="00193FF3" w:rsidRDefault="00A11D2F" w:rsidP="00A11D2F">
            <w:pPr>
              <w:rPr>
                <w:bCs/>
                <w:sz w:val="20"/>
                <w:szCs w:val="20"/>
              </w:rPr>
            </w:pPr>
            <w:r w:rsidRPr="00193FF3">
              <w:rPr>
                <w:bCs/>
                <w:sz w:val="20"/>
                <w:szCs w:val="20"/>
              </w:rPr>
              <w:t>Metropolitan Districts</w:t>
            </w:r>
          </w:p>
        </w:tc>
        <w:tc>
          <w:tcPr>
            <w:tcW w:w="1417" w:type="dxa"/>
            <w:noWrap/>
            <w:tcMar>
              <w:top w:w="0" w:type="dxa"/>
              <w:left w:w="108" w:type="dxa"/>
              <w:bottom w:w="0" w:type="dxa"/>
              <w:right w:w="108" w:type="dxa"/>
            </w:tcMar>
          </w:tcPr>
          <w:p w14:paraId="512625E6" w14:textId="77777777" w:rsidR="00A11D2F" w:rsidRPr="003F4A6E" w:rsidRDefault="00A11D2F" w:rsidP="00A11D2F">
            <w:pPr>
              <w:jc w:val="right"/>
              <w:rPr>
                <w:sz w:val="20"/>
                <w:szCs w:val="20"/>
              </w:rPr>
            </w:pPr>
            <w:r>
              <w:rPr>
                <w:sz w:val="20"/>
                <w:szCs w:val="20"/>
              </w:rPr>
              <w:t>52.1</w:t>
            </w:r>
          </w:p>
        </w:tc>
        <w:tc>
          <w:tcPr>
            <w:tcW w:w="709" w:type="dxa"/>
            <w:noWrap/>
            <w:tcMar>
              <w:top w:w="0" w:type="dxa"/>
              <w:left w:w="108" w:type="dxa"/>
              <w:bottom w:w="0" w:type="dxa"/>
              <w:right w:w="108" w:type="dxa"/>
            </w:tcMar>
          </w:tcPr>
          <w:p w14:paraId="3F88C04C" w14:textId="77777777" w:rsidR="00A11D2F" w:rsidRPr="003F4A6E" w:rsidRDefault="00A11D2F" w:rsidP="00A11D2F">
            <w:pPr>
              <w:jc w:val="right"/>
              <w:rPr>
                <w:sz w:val="20"/>
                <w:szCs w:val="20"/>
              </w:rPr>
            </w:pPr>
            <w:r>
              <w:rPr>
                <w:sz w:val="20"/>
                <w:szCs w:val="20"/>
              </w:rPr>
              <w:t>3</w:t>
            </w:r>
          </w:p>
        </w:tc>
        <w:tc>
          <w:tcPr>
            <w:tcW w:w="1276" w:type="dxa"/>
          </w:tcPr>
          <w:p w14:paraId="7C45F1FB" w14:textId="77777777" w:rsidR="00A11D2F" w:rsidRPr="003F4A6E" w:rsidRDefault="00A11D2F" w:rsidP="00A11D2F">
            <w:pPr>
              <w:jc w:val="right"/>
              <w:rPr>
                <w:sz w:val="20"/>
                <w:szCs w:val="20"/>
              </w:rPr>
            </w:pPr>
            <w:r>
              <w:rPr>
                <w:sz w:val="20"/>
                <w:szCs w:val="20"/>
              </w:rPr>
              <w:t>0</w:t>
            </w:r>
          </w:p>
        </w:tc>
        <w:tc>
          <w:tcPr>
            <w:tcW w:w="567" w:type="dxa"/>
          </w:tcPr>
          <w:p w14:paraId="22612A3D" w14:textId="77777777" w:rsidR="00A11D2F" w:rsidRPr="003F4A6E" w:rsidRDefault="00A11D2F" w:rsidP="00A11D2F">
            <w:pPr>
              <w:jc w:val="right"/>
              <w:rPr>
                <w:sz w:val="20"/>
                <w:szCs w:val="20"/>
              </w:rPr>
            </w:pPr>
            <w:r>
              <w:rPr>
                <w:sz w:val="20"/>
                <w:szCs w:val="20"/>
              </w:rPr>
              <w:t>0</w:t>
            </w:r>
          </w:p>
        </w:tc>
        <w:tc>
          <w:tcPr>
            <w:tcW w:w="1276" w:type="dxa"/>
          </w:tcPr>
          <w:p w14:paraId="049E29F9" w14:textId="77777777" w:rsidR="00A11D2F" w:rsidRPr="003F4A6E" w:rsidRDefault="00A11D2F" w:rsidP="00A11D2F">
            <w:pPr>
              <w:jc w:val="right"/>
              <w:rPr>
                <w:sz w:val="20"/>
                <w:szCs w:val="20"/>
              </w:rPr>
            </w:pPr>
            <w:r>
              <w:rPr>
                <w:sz w:val="20"/>
                <w:szCs w:val="20"/>
              </w:rPr>
              <w:t>0</w:t>
            </w:r>
          </w:p>
        </w:tc>
        <w:tc>
          <w:tcPr>
            <w:tcW w:w="640" w:type="dxa"/>
          </w:tcPr>
          <w:p w14:paraId="42BCF7B2" w14:textId="77777777" w:rsidR="00A11D2F" w:rsidRPr="003F4A6E" w:rsidRDefault="00A11D2F" w:rsidP="00A11D2F">
            <w:pPr>
              <w:jc w:val="right"/>
              <w:rPr>
                <w:sz w:val="20"/>
                <w:szCs w:val="20"/>
              </w:rPr>
            </w:pPr>
            <w:r>
              <w:rPr>
                <w:sz w:val="20"/>
                <w:szCs w:val="20"/>
              </w:rPr>
              <w:t>0</w:t>
            </w:r>
          </w:p>
        </w:tc>
        <w:tc>
          <w:tcPr>
            <w:tcW w:w="1202" w:type="dxa"/>
          </w:tcPr>
          <w:p w14:paraId="66773104" w14:textId="77777777" w:rsidR="00A11D2F" w:rsidRPr="003F4A6E" w:rsidRDefault="00A11D2F" w:rsidP="00A11D2F">
            <w:pPr>
              <w:jc w:val="right"/>
              <w:rPr>
                <w:sz w:val="20"/>
                <w:szCs w:val="20"/>
              </w:rPr>
            </w:pPr>
            <w:r>
              <w:rPr>
                <w:sz w:val="20"/>
                <w:szCs w:val="20"/>
              </w:rPr>
              <w:t>0</w:t>
            </w:r>
          </w:p>
        </w:tc>
        <w:tc>
          <w:tcPr>
            <w:tcW w:w="567" w:type="dxa"/>
          </w:tcPr>
          <w:p w14:paraId="05A05FFE" w14:textId="77777777" w:rsidR="00A11D2F" w:rsidRPr="003F4A6E" w:rsidRDefault="00A11D2F" w:rsidP="00A11D2F">
            <w:pPr>
              <w:jc w:val="right"/>
              <w:rPr>
                <w:sz w:val="20"/>
                <w:szCs w:val="20"/>
              </w:rPr>
            </w:pPr>
            <w:r>
              <w:rPr>
                <w:sz w:val="20"/>
                <w:szCs w:val="20"/>
              </w:rPr>
              <w:t>0</w:t>
            </w:r>
          </w:p>
        </w:tc>
        <w:tc>
          <w:tcPr>
            <w:tcW w:w="1134" w:type="dxa"/>
          </w:tcPr>
          <w:p w14:paraId="748F3836" w14:textId="77777777" w:rsidR="00A11D2F" w:rsidRPr="003F4A6E" w:rsidRDefault="00A11D2F" w:rsidP="00A11D2F">
            <w:pPr>
              <w:jc w:val="right"/>
              <w:rPr>
                <w:sz w:val="20"/>
                <w:szCs w:val="20"/>
              </w:rPr>
            </w:pPr>
            <w:r>
              <w:rPr>
                <w:sz w:val="20"/>
                <w:szCs w:val="20"/>
              </w:rPr>
              <w:t>0</w:t>
            </w:r>
          </w:p>
        </w:tc>
        <w:tc>
          <w:tcPr>
            <w:tcW w:w="567" w:type="dxa"/>
          </w:tcPr>
          <w:p w14:paraId="356C5E83" w14:textId="77777777" w:rsidR="00A11D2F" w:rsidRPr="003F4A6E" w:rsidRDefault="00A11D2F" w:rsidP="00A11D2F">
            <w:pPr>
              <w:jc w:val="right"/>
              <w:rPr>
                <w:sz w:val="20"/>
                <w:szCs w:val="20"/>
              </w:rPr>
            </w:pPr>
            <w:r>
              <w:rPr>
                <w:sz w:val="20"/>
                <w:szCs w:val="20"/>
              </w:rPr>
              <w:t>0</w:t>
            </w:r>
          </w:p>
        </w:tc>
      </w:tr>
      <w:tr w:rsidR="00A11D2F" w14:paraId="6B9DDF3E" w14:textId="77777777" w:rsidTr="00A11D2F">
        <w:trPr>
          <w:trHeight w:val="255"/>
        </w:trPr>
        <w:tc>
          <w:tcPr>
            <w:tcW w:w="2093" w:type="dxa"/>
            <w:noWrap/>
            <w:tcMar>
              <w:top w:w="0" w:type="dxa"/>
              <w:left w:w="108" w:type="dxa"/>
              <w:bottom w:w="0" w:type="dxa"/>
              <w:right w:w="108" w:type="dxa"/>
            </w:tcMar>
            <w:hideMark/>
          </w:tcPr>
          <w:p w14:paraId="5CAAD603" w14:textId="77777777" w:rsidR="00A11D2F" w:rsidRPr="00193FF3" w:rsidRDefault="00A11D2F" w:rsidP="00A11D2F">
            <w:pPr>
              <w:rPr>
                <w:bCs/>
                <w:sz w:val="20"/>
                <w:szCs w:val="20"/>
              </w:rPr>
            </w:pPr>
            <w:r>
              <w:rPr>
                <w:bCs/>
                <w:sz w:val="20"/>
                <w:szCs w:val="20"/>
              </w:rPr>
              <w:t>London Boroughs</w:t>
            </w:r>
          </w:p>
        </w:tc>
        <w:tc>
          <w:tcPr>
            <w:tcW w:w="1417" w:type="dxa"/>
            <w:noWrap/>
            <w:tcMar>
              <w:top w:w="0" w:type="dxa"/>
              <w:left w:w="108" w:type="dxa"/>
              <w:bottom w:w="0" w:type="dxa"/>
              <w:right w:w="108" w:type="dxa"/>
            </w:tcMar>
          </w:tcPr>
          <w:p w14:paraId="20E11BDD" w14:textId="77777777" w:rsidR="00A11D2F" w:rsidRPr="003F4A6E" w:rsidRDefault="00A11D2F" w:rsidP="00A11D2F">
            <w:pPr>
              <w:jc w:val="right"/>
              <w:rPr>
                <w:sz w:val="20"/>
                <w:szCs w:val="20"/>
              </w:rPr>
            </w:pPr>
            <w:r>
              <w:rPr>
                <w:sz w:val="20"/>
                <w:szCs w:val="20"/>
              </w:rPr>
              <w:t>80.6</w:t>
            </w:r>
          </w:p>
        </w:tc>
        <w:tc>
          <w:tcPr>
            <w:tcW w:w="709" w:type="dxa"/>
            <w:noWrap/>
            <w:tcMar>
              <w:top w:w="0" w:type="dxa"/>
              <w:left w:w="108" w:type="dxa"/>
              <w:bottom w:w="0" w:type="dxa"/>
              <w:right w:w="108" w:type="dxa"/>
            </w:tcMar>
          </w:tcPr>
          <w:p w14:paraId="76F6C0E7" w14:textId="77777777" w:rsidR="00A11D2F" w:rsidRPr="003F4A6E" w:rsidRDefault="00A11D2F" w:rsidP="00A11D2F">
            <w:pPr>
              <w:jc w:val="right"/>
              <w:rPr>
                <w:sz w:val="20"/>
                <w:szCs w:val="20"/>
              </w:rPr>
            </w:pPr>
            <w:r>
              <w:rPr>
                <w:sz w:val="20"/>
                <w:szCs w:val="20"/>
              </w:rPr>
              <w:t>4</w:t>
            </w:r>
          </w:p>
        </w:tc>
        <w:tc>
          <w:tcPr>
            <w:tcW w:w="1276" w:type="dxa"/>
          </w:tcPr>
          <w:p w14:paraId="73535307" w14:textId="77777777" w:rsidR="00A11D2F" w:rsidRPr="003F4A6E" w:rsidRDefault="00A11D2F" w:rsidP="00A11D2F">
            <w:pPr>
              <w:jc w:val="right"/>
              <w:rPr>
                <w:sz w:val="20"/>
                <w:szCs w:val="20"/>
              </w:rPr>
            </w:pPr>
            <w:r>
              <w:rPr>
                <w:sz w:val="20"/>
                <w:szCs w:val="20"/>
              </w:rPr>
              <w:t>73.1</w:t>
            </w:r>
          </w:p>
        </w:tc>
        <w:tc>
          <w:tcPr>
            <w:tcW w:w="567" w:type="dxa"/>
          </w:tcPr>
          <w:p w14:paraId="5EA53026" w14:textId="77777777" w:rsidR="00A11D2F" w:rsidRPr="003F4A6E" w:rsidRDefault="00A11D2F" w:rsidP="00A11D2F">
            <w:pPr>
              <w:jc w:val="right"/>
              <w:rPr>
                <w:sz w:val="20"/>
                <w:szCs w:val="20"/>
              </w:rPr>
            </w:pPr>
            <w:r>
              <w:rPr>
                <w:sz w:val="20"/>
                <w:szCs w:val="20"/>
              </w:rPr>
              <w:t>3</w:t>
            </w:r>
          </w:p>
        </w:tc>
        <w:tc>
          <w:tcPr>
            <w:tcW w:w="1276" w:type="dxa"/>
          </w:tcPr>
          <w:p w14:paraId="0234FE58" w14:textId="77777777" w:rsidR="00A11D2F" w:rsidRPr="003F4A6E" w:rsidRDefault="00A11D2F" w:rsidP="00A11D2F">
            <w:pPr>
              <w:jc w:val="right"/>
              <w:rPr>
                <w:sz w:val="20"/>
                <w:szCs w:val="20"/>
              </w:rPr>
            </w:pPr>
            <w:r>
              <w:rPr>
                <w:sz w:val="20"/>
                <w:szCs w:val="20"/>
              </w:rPr>
              <w:t>58.3</w:t>
            </w:r>
          </w:p>
        </w:tc>
        <w:tc>
          <w:tcPr>
            <w:tcW w:w="640" w:type="dxa"/>
          </w:tcPr>
          <w:p w14:paraId="460E35F5" w14:textId="77777777" w:rsidR="00A11D2F" w:rsidRPr="003F4A6E" w:rsidRDefault="00A11D2F" w:rsidP="00A11D2F">
            <w:pPr>
              <w:jc w:val="right"/>
              <w:rPr>
                <w:sz w:val="20"/>
                <w:szCs w:val="20"/>
              </w:rPr>
            </w:pPr>
            <w:r>
              <w:rPr>
                <w:sz w:val="20"/>
                <w:szCs w:val="20"/>
              </w:rPr>
              <w:t>2</w:t>
            </w:r>
          </w:p>
        </w:tc>
        <w:tc>
          <w:tcPr>
            <w:tcW w:w="1202" w:type="dxa"/>
          </w:tcPr>
          <w:p w14:paraId="2A38D67E" w14:textId="77777777" w:rsidR="00A11D2F" w:rsidRPr="003F4A6E" w:rsidRDefault="00A11D2F" w:rsidP="00A11D2F">
            <w:pPr>
              <w:jc w:val="right"/>
              <w:rPr>
                <w:sz w:val="20"/>
                <w:szCs w:val="20"/>
              </w:rPr>
            </w:pPr>
            <w:r>
              <w:rPr>
                <w:sz w:val="20"/>
                <w:szCs w:val="20"/>
              </w:rPr>
              <w:t>0</w:t>
            </w:r>
          </w:p>
        </w:tc>
        <w:tc>
          <w:tcPr>
            <w:tcW w:w="567" w:type="dxa"/>
          </w:tcPr>
          <w:p w14:paraId="61896C20" w14:textId="77777777" w:rsidR="00A11D2F" w:rsidRPr="003F4A6E" w:rsidRDefault="00A11D2F" w:rsidP="00A11D2F">
            <w:pPr>
              <w:jc w:val="right"/>
              <w:rPr>
                <w:sz w:val="20"/>
                <w:szCs w:val="20"/>
              </w:rPr>
            </w:pPr>
            <w:r>
              <w:rPr>
                <w:sz w:val="20"/>
                <w:szCs w:val="20"/>
              </w:rPr>
              <w:t>0</w:t>
            </w:r>
          </w:p>
        </w:tc>
        <w:tc>
          <w:tcPr>
            <w:tcW w:w="1134" w:type="dxa"/>
          </w:tcPr>
          <w:p w14:paraId="7005E4FC" w14:textId="77777777" w:rsidR="00A11D2F" w:rsidRPr="003F4A6E" w:rsidRDefault="00A11D2F" w:rsidP="00A11D2F">
            <w:pPr>
              <w:jc w:val="right"/>
              <w:rPr>
                <w:sz w:val="20"/>
                <w:szCs w:val="20"/>
              </w:rPr>
            </w:pPr>
            <w:r>
              <w:rPr>
                <w:sz w:val="20"/>
                <w:szCs w:val="20"/>
              </w:rPr>
              <w:t>0.9</w:t>
            </w:r>
          </w:p>
        </w:tc>
        <w:tc>
          <w:tcPr>
            <w:tcW w:w="567" w:type="dxa"/>
          </w:tcPr>
          <w:p w14:paraId="2D2E7DD3" w14:textId="77777777" w:rsidR="00A11D2F" w:rsidRPr="003F4A6E" w:rsidRDefault="00A11D2F" w:rsidP="00A11D2F">
            <w:pPr>
              <w:jc w:val="right"/>
              <w:rPr>
                <w:sz w:val="20"/>
                <w:szCs w:val="20"/>
              </w:rPr>
            </w:pPr>
            <w:r>
              <w:rPr>
                <w:sz w:val="20"/>
                <w:szCs w:val="20"/>
              </w:rPr>
              <w:t>2</w:t>
            </w:r>
          </w:p>
        </w:tc>
      </w:tr>
      <w:tr w:rsidR="00A11D2F" w14:paraId="4A4DCEAE" w14:textId="77777777" w:rsidTr="00A11D2F">
        <w:trPr>
          <w:trHeight w:val="255"/>
        </w:trPr>
        <w:tc>
          <w:tcPr>
            <w:tcW w:w="2093" w:type="dxa"/>
            <w:noWrap/>
            <w:tcMar>
              <w:top w:w="0" w:type="dxa"/>
              <w:left w:w="108" w:type="dxa"/>
              <w:bottom w:w="0" w:type="dxa"/>
              <w:right w:w="108" w:type="dxa"/>
            </w:tcMar>
            <w:hideMark/>
          </w:tcPr>
          <w:p w14:paraId="228A3454" w14:textId="77777777" w:rsidR="00A11D2F" w:rsidRPr="00193FF3" w:rsidRDefault="00A11D2F" w:rsidP="00A11D2F">
            <w:pPr>
              <w:rPr>
                <w:bCs/>
                <w:sz w:val="20"/>
                <w:szCs w:val="20"/>
              </w:rPr>
            </w:pPr>
            <w:r w:rsidRPr="00193FF3">
              <w:rPr>
                <w:bCs/>
                <w:sz w:val="20"/>
                <w:szCs w:val="20"/>
              </w:rPr>
              <w:t>Shire Districts</w:t>
            </w:r>
          </w:p>
        </w:tc>
        <w:tc>
          <w:tcPr>
            <w:tcW w:w="1417" w:type="dxa"/>
            <w:noWrap/>
            <w:tcMar>
              <w:top w:w="0" w:type="dxa"/>
              <w:left w:w="108" w:type="dxa"/>
              <w:bottom w:w="0" w:type="dxa"/>
              <w:right w:w="108" w:type="dxa"/>
            </w:tcMar>
          </w:tcPr>
          <w:p w14:paraId="2B063616" w14:textId="77777777" w:rsidR="00A11D2F" w:rsidRPr="003F4A6E" w:rsidRDefault="00A11D2F" w:rsidP="00A11D2F">
            <w:pPr>
              <w:jc w:val="right"/>
              <w:rPr>
                <w:sz w:val="20"/>
                <w:szCs w:val="20"/>
              </w:rPr>
            </w:pPr>
            <w:r>
              <w:rPr>
                <w:sz w:val="20"/>
                <w:szCs w:val="20"/>
              </w:rPr>
              <w:t>57.3</w:t>
            </w:r>
          </w:p>
        </w:tc>
        <w:tc>
          <w:tcPr>
            <w:tcW w:w="709" w:type="dxa"/>
            <w:noWrap/>
            <w:tcMar>
              <w:top w:w="0" w:type="dxa"/>
              <w:left w:w="108" w:type="dxa"/>
              <w:bottom w:w="0" w:type="dxa"/>
              <w:right w:w="108" w:type="dxa"/>
            </w:tcMar>
          </w:tcPr>
          <w:p w14:paraId="2855ACFB" w14:textId="77777777" w:rsidR="00A11D2F" w:rsidRPr="003F4A6E" w:rsidRDefault="00A11D2F" w:rsidP="00A11D2F">
            <w:pPr>
              <w:jc w:val="right"/>
              <w:rPr>
                <w:sz w:val="20"/>
                <w:szCs w:val="20"/>
              </w:rPr>
            </w:pPr>
            <w:r>
              <w:rPr>
                <w:sz w:val="20"/>
                <w:szCs w:val="20"/>
              </w:rPr>
              <w:t>57</w:t>
            </w:r>
          </w:p>
        </w:tc>
        <w:tc>
          <w:tcPr>
            <w:tcW w:w="1276" w:type="dxa"/>
          </w:tcPr>
          <w:p w14:paraId="79D9DB7E" w14:textId="77777777" w:rsidR="00A11D2F" w:rsidRPr="003F4A6E" w:rsidRDefault="00A11D2F" w:rsidP="00A11D2F">
            <w:pPr>
              <w:jc w:val="right"/>
              <w:rPr>
                <w:sz w:val="20"/>
                <w:szCs w:val="20"/>
              </w:rPr>
            </w:pPr>
            <w:r>
              <w:rPr>
                <w:sz w:val="20"/>
                <w:szCs w:val="20"/>
              </w:rPr>
              <w:t>46.7</w:t>
            </w:r>
          </w:p>
        </w:tc>
        <w:tc>
          <w:tcPr>
            <w:tcW w:w="567" w:type="dxa"/>
          </w:tcPr>
          <w:p w14:paraId="35C66776" w14:textId="77777777" w:rsidR="00A11D2F" w:rsidRPr="003F4A6E" w:rsidRDefault="00A11D2F" w:rsidP="00A11D2F">
            <w:pPr>
              <w:jc w:val="right"/>
              <w:rPr>
                <w:sz w:val="20"/>
                <w:szCs w:val="20"/>
              </w:rPr>
            </w:pPr>
            <w:r>
              <w:rPr>
                <w:sz w:val="20"/>
                <w:szCs w:val="20"/>
              </w:rPr>
              <w:t>47</w:t>
            </w:r>
          </w:p>
        </w:tc>
        <w:tc>
          <w:tcPr>
            <w:tcW w:w="1276" w:type="dxa"/>
          </w:tcPr>
          <w:p w14:paraId="177BE8EB" w14:textId="77777777" w:rsidR="00A11D2F" w:rsidRPr="003F4A6E" w:rsidRDefault="00A11D2F" w:rsidP="00A11D2F">
            <w:pPr>
              <w:jc w:val="right"/>
              <w:rPr>
                <w:sz w:val="20"/>
                <w:szCs w:val="20"/>
              </w:rPr>
            </w:pPr>
            <w:r>
              <w:rPr>
                <w:sz w:val="20"/>
                <w:szCs w:val="20"/>
              </w:rPr>
              <w:t>33.8</w:t>
            </w:r>
          </w:p>
        </w:tc>
        <w:tc>
          <w:tcPr>
            <w:tcW w:w="640" w:type="dxa"/>
          </w:tcPr>
          <w:p w14:paraId="07A34B0D" w14:textId="77777777" w:rsidR="00A11D2F" w:rsidRPr="003F4A6E" w:rsidRDefault="00A11D2F" w:rsidP="00A11D2F">
            <w:pPr>
              <w:jc w:val="right"/>
              <w:rPr>
                <w:sz w:val="20"/>
                <w:szCs w:val="20"/>
              </w:rPr>
            </w:pPr>
            <w:r>
              <w:rPr>
                <w:sz w:val="20"/>
                <w:szCs w:val="20"/>
              </w:rPr>
              <w:t>22</w:t>
            </w:r>
          </w:p>
        </w:tc>
        <w:tc>
          <w:tcPr>
            <w:tcW w:w="1202" w:type="dxa"/>
          </w:tcPr>
          <w:p w14:paraId="1E82F6BC" w14:textId="77777777" w:rsidR="00A11D2F" w:rsidRPr="003F4A6E" w:rsidRDefault="00A11D2F" w:rsidP="00A11D2F">
            <w:pPr>
              <w:jc w:val="right"/>
              <w:rPr>
                <w:sz w:val="20"/>
                <w:szCs w:val="20"/>
              </w:rPr>
            </w:pPr>
            <w:r>
              <w:rPr>
                <w:sz w:val="20"/>
                <w:szCs w:val="20"/>
              </w:rPr>
              <w:t>9.6</w:t>
            </w:r>
          </w:p>
        </w:tc>
        <w:tc>
          <w:tcPr>
            <w:tcW w:w="567" w:type="dxa"/>
          </w:tcPr>
          <w:p w14:paraId="214048F0" w14:textId="77777777" w:rsidR="00A11D2F" w:rsidRPr="003F4A6E" w:rsidRDefault="00A11D2F" w:rsidP="00A11D2F">
            <w:pPr>
              <w:jc w:val="right"/>
              <w:rPr>
                <w:sz w:val="20"/>
                <w:szCs w:val="20"/>
              </w:rPr>
            </w:pPr>
            <w:r>
              <w:rPr>
                <w:sz w:val="20"/>
                <w:szCs w:val="20"/>
              </w:rPr>
              <w:t>10</w:t>
            </w:r>
          </w:p>
        </w:tc>
        <w:tc>
          <w:tcPr>
            <w:tcW w:w="1134" w:type="dxa"/>
          </w:tcPr>
          <w:p w14:paraId="3A3AF355" w14:textId="77777777" w:rsidR="00A11D2F" w:rsidRPr="003F4A6E" w:rsidRDefault="00A11D2F" w:rsidP="00A11D2F">
            <w:pPr>
              <w:jc w:val="right"/>
              <w:rPr>
                <w:sz w:val="20"/>
                <w:szCs w:val="20"/>
              </w:rPr>
            </w:pPr>
            <w:r>
              <w:rPr>
                <w:sz w:val="20"/>
                <w:szCs w:val="20"/>
              </w:rPr>
              <w:t>9.1</w:t>
            </w:r>
          </w:p>
        </w:tc>
        <w:tc>
          <w:tcPr>
            <w:tcW w:w="567" w:type="dxa"/>
          </w:tcPr>
          <w:p w14:paraId="0295DD0C" w14:textId="77777777" w:rsidR="00A11D2F" w:rsidRPr="003F4A6E" w:rsidRDefault="00A11D2F" w:rsidP="00A11D2F">
            <w:pPr>
              <w:jc w:val="right"/>
              <w:rPr>
                <w:sz w:val="20"/>
                <w:szCs w:val="20"/>
              </w:rPr>
            </w:pPr>
            <w:r>
              <w:rPr>
                <w:sz w:val="20"/>
                <w:szCs w:val="20"/>
              </w:rPr>
              <w:t>15</w:t>
            </w:r>
          </w:p>
        </w:tc>
      </w:tr>
      <w:tr w:rsidR="00A11D2F" w14:paraId="562F2808" w14:textId="77777777" w:rsidTr="00A11D2F">
        <w:trPr>
          <w:trHeight w:val="255"/>
        </w:trPr>
        <w:tc>
          <w:tcPr>
            <w:tcW w:w="2093" w:type="dxa"/>
            <w:noWrap/>
            <w:tcMar>
              <w:top w:w="0" w:type="dxa"/>
              <w:left w:w="108" w:type="dxa"/>
              <w:bottom w:w="0" w:type="dxa"/>
              <w:right w:w="108" w:type="dxa"/>
            </w:tcMar>
            <w:hideMark/>
          </w:tcPr>
          <w:p w14:paraId="25FEC155" w14:textId="77777777" w:rsidR="00A11D2F" w:rsidRPr="00193FF3" w:rsidRDefault="00A11D2F" w:rsidP="00A11D2F">
            <w:pPr>
              <w:rPr>
                <w:bCs/>
                <w:sz w:val="20"/>
                <w:szCs w:val="20"/>
              </w:rPr>
            </w:pPr>
            <w:r>
              <w:rPr>
                <w:bCs/>
                <w:sz w:val="20"/>
                <w:szCs w:val="20"/>
              </w:rPr>
              <w:t>Shire Counties</w:t>
            </w:r>
          </w:p>
        </w:tc>
        <w:tc>
          <w:tcPr>
            <w:tcW w:w="1417" w:type="dxa"/>
            <w:noWrap/>
            <w:tcMar>
              <w:top w:w="0" w:type="dxa"/>
              <w:left w:w="108" w:type="dxa"/>
              <w:bottom w:w="0" w:type="dxa"/>
              <w:right w:w="108" w:type="dxa"/>
            </w:tcMar>
          </w:tcPr>
          <w:p w14:paraId="394B955F" w14:textId="77777777" w:rsidR="00A11D2F" w:rsidRPr="003F4A6E" w:rsidRDefault="00A11D2F" w:rsidP="00A11D2F">
            <w:pPr>
              <w:jc w:val="right"/>
              <w:rPr>
                <w:sz w:val="20"/>
                <w:szCs w:val="20"/>
              </w:rPr>
            </w:pPr>
            <w:r>
              <w:rPr>
                <w:sz w:val="20"/>
                <w:szCs w:val="20"/>
              </w:rPr>
              <w:t>0</w:t>
            </w:r>
          </w:p>
        </w:tc>
        <w:tc>
          <w:tcPr>
            <w:tcW w:w="709" w:type="dxa"/>
            <w:noWrap/>
            <w:tcMar>
              <w:top w:w="0" w:type="dxa"/>
              <w:left w:w="108" w:type="dxa"/>
              <w:bottom w:w="0" w:type="dxa"/>
              <w:right w:w="108" w:type="dxa"/>
            </w:tcMar>
          </w:tcPr>
          <w:p w14:paraId="23AE3FE5" w14:textId="77777777" w:rsidR="00A11D2F" w:rsidRPr="003F4A6E" w:rsidRDefault="00A11D2F" w:rsidP="00A11D2F">
            <w:pPr>
              <w:jc w:val="right"/>
              <w:rPr>
                <w:sz w:val="20"/>
                <w:szCs w:val="20"/>
              </w:rPr>
            </w:pPr>
            <w:r>
              <w:rPr>
                <w:sz w:val="20"/>
                <w:szCs w:val="20"/>
              </w:rPr>
              <w:t>0</w:t>
            </w:r>
          </w:p>
        </w:tc>
        <w:tc>
          <w:tcPr>
            <w:tcW w:w="1276" w:type="dxa"/>
          </w:tcPr>
          <w:p w14:paraId="6ED5FA9F" w14:textId="77777777" w:rsidR="00A11D2F" w:rsidRPr="003F4A6E" w:rsidRDefault="00A11D2F" w:rsidP="00A11D2F">
            <w:pPr>
              <w:jc w:val="right"/>
              <w:rPr>
                <w:sz w:val="20"/>
                <w:szCs w:val="20"/>
              </w:rPr>
            </w:pPr>
            <w:r>
              <w:rPr>
                <w:sz w:val="20"/>
                <w:szCs w:val="20"/>
              </w:rPr>
              <w:t>0</w:t>
            </w:r>
          </w:p>
        </w:tc>
        <w:tc>
          <w:tcPr>
            <w:tcW w:w="567" w:type="dxa"/>
          </w:tcPr>
          <w:p w14:paraId="21FC9C13" w14:textId="77777777" w:rsidR="00A11D2F" w:rsidRPr="003F4A6E" w:rsidRDefault="00A11D2F" w:rsidP="00A11D2F">
            <w:pPr>
              <w:jc w:val="right"/>
              <w:rPr>
                <w:sz w:val="20"/>
                <w:szCs w:val="20"/>
              </w:rPr>
            </w:pPr>
            <w:r>
              <w:rPr>
                <w:sz w:val="20"/>
                <w:szCs w:val="20"/>
              </w:rPr>
              <w:t>0</w:t>
            </w:r>
          </w:p>
        </w:tc>
        <w:tc>
          <w:tcPr>
            <w:tcW w:w="1276" w:type="dxa"/>
          </w:tcPr>
          <w:p w14:paraId="72FC578C" w14:textId="77777777" w:rsidR="00A11D2F" w:rsidRPr="003F4A6E" w:rsidRDefault="00A11D2F" w:rsidP="00A11D2F">
            <w:pPr>
              <w:jc w:val="right"/>
              <w:rPr>
                <w:sz w:val="20"/>
                <w:szCs w:val="20"/>
              </w:rPr>
            </w:pPr>
            <w:r>
              <w:rPr>
                <w:sz w:val="20"/>
                <w:szCs w:val="20"/>
              </w:rPr>
              <w:t>0</w:t>
            </w:r>
          </w:p>
        </w:tc>
        <w:tc>
          <w:tcPr>
            <w:tcW w:w="640" w:type="dxa"/>
          </w:tcPr>
          <w:p w14:paraId="55B77D1C" w14:textId="77777777" w:rsidR="00A11D2F" w:rsidRPr="003F4A6E" w:rsidRDefault="00A11D2F" w:rsidP="00A11D2F">
            <w:pPr>
              <w:jc w:val="right"/>
              <w:rPr>
                <w:sz w:val="20"/>
                <w:szCs w:val="20"/>
              </w:rPr>
            </w:pPr>
            <w:r>
              <w:rPr>
                <w:sz w:val="20"/>
                <w:szCs w:val="20"/>
              </w:rPr>
              <w:t>0</w:t>
            </w:r>
          </w:p>
        </w:tc>
        <w:tc>
          <w:tcPr>
            <w:tcW w:w="1202" w:type="dxa"/>
          </w:tcPr>
          <w:p w14:paraId="7B4780B2" w14:textId="77777777" w:rsidR="00A11D2F" w:rsidRPr="003F4A6E" w:rsidRDefault="00A11D2F" w:rsidP="00A11D2F">
            <w:pPr>
              <w:jc w:val="right"/>
              <w:rPr>
                <w:sz w:val="20"/>
                <w:szCs w:val="20"/>
              </w:rPr>
            </w:pPr>
            <w:r>
              <w:rPr>
                <w:sz w:val="20"/>
                <w:szCs w:val="20"/>
              </w:rPr>
              <w:t>0</w:t>
            </w:r>
          </w:p>
        </w:tc>
        <w:tc>
          <w:tcPr>
            <w:tcW w:w="567" w:type="dxa"/>
          </w:tcPr>
          <w:p w14:paraId="01213197" w14:textId="77777777" w:rsidR="00A11D2F" w:rsidRPr="003F4A6E" w:rsidRDefault="00A11D2F" w:rsidP="00A11D2F">
            <w:pPr>
              <w:jc w:val="right"/>
              <w:rPr>
                <w:sz w:val="20"/>
                <w:szCs w:val="20"/>
              </w:rPr>
            </w:pPr>
            <w:r>
              <w:rPr>
                <w:sz w:val="20"/>
                <w:szCs w:val="20"/>
              </w:rPr>
              <w:t>0</w:t>
            </w:r>
          </w:p>
        </w:tc>
        <w:tc>
          <w:tcPr>
            <w:tcW w:w="1134" w:type="dxa"/>
          </w:tcPr>
          <w:p w14:paraId="71782A52" w14:textId="77777777" w:rsidR="00A11D2F" w:rsidRPr="003F4A6E" w:rsidRDefault="00A11D2F" w:rsidP="00A11D2F">
            <w:pPr>
              <w:jc w:val="right"/>
              <w:rPr>
                <w:sz w:val="20"/>
                <w:szCs w:val="20"/>
              </w:rPr>
            </w:pPr>
            <w:r>
              <w:rPr>
                <w:sz w:val="20"/>
                <w:szCs w:val="20"/>
              </w:rPr>
              <w:t>0</w:t>
            </w:r>
          </w:p>
        </w:tc>
        <w:tc>
          <w:tcPr>
            <w:tcW w:w="567" w:type="dxa"/>
          </w:tcPr>
          <w:p w14:paraId="29FC7C09" w14:textId="77777777" w:rsidR="00A11D2F" w:rsidRPr="003F4A6E" w:rsidRDefault="00A11D2F" w:rsidP="00A11D2F">
            <w:pPr>
              <w:jc w:val="right"/>
              <w:rPr>
                <w:sz w:val="20"/>
                <w:szCs w:val="20"/>
              </w:rPr>
            </w:pPr>
            <w:r>
              <w:rPr>
                <w:sz w:val="20"/>
                <w:szCs w:val="20"/>
              </w:rPr>
              <w:t>0</w:t>
            </w:r>
          </w:p>
        </w:tc>
      </w:tr>
      <w:tr w:rsidR="00A11D2F" w14:paraId="597F7520" w14:textId="77777777" w:rsidTr="00A11D2F">
        <w:trPr>
          <w:trHeight w:val="255"/>
        </w:trPr>
        <w:tc>
          <w:tcPr>
            <w:tcW w:w="2093" w:type="dxa"/>
            <w:noWrap/>
            <w:tcMar>
              <w:top w:w="0" w:type="dxa"/>
              <w:left w:w="108" w:type="dxa"/>
              <w:bottom w:w="0" w:type="dxa"/>
              <w:right w:w="108" w:type="dxa"/>
            </w:tcMar>
            <w:hideMark/>
          </w:tcPr>
          <w:p w14:paraId="6A1F8EAD" w14:textId="77777777" w:rsidR="00A11D2F" w:rsidRPr="000F5B0C" w:rsidRDefault="00A11D2F" w:rsidP="00A11D2F">
            <w:pPr>
              <w:rPr>
                <w:b/>
                <w:bCs/>
                <w:sz w:val="20"/>
                <w:szCs w:val="20"/>
              </w:rPr>
            </w:pPr>
            <w:r w:rsidRPr="000F5B0C">
              <w:rPr>
                <w:b/>
                <w:bCs/>
                <w:sz w:val="20"/>
                <w:szCs w:val="20"/>
              </w:rPr>
              <w:t>TOTAL</w:t>
            </w:r>
          </w:p>
        </w:tc>
        <w:tc>
          <w:tcPr>
            <w:tcW w:w="1417" w:type="dxa"/>
            <w:noWrap/>
            <w:tcMar>
              <w:top w:w="0" w:type="dxa"/>
              <w:left w:w="108" w:type="dxa"/>
              <w:bottom w:w="0" w:type="dxa"/>
              <w:right w:w="108" w:type="dxa"/>
            </w:tcMar>
          </w:tcPr>
          <w:p w14:paraId="57B15F88" w14:textId="77777777" w:rsidR="00A11D2F" w:rsidRPr="000F5B0C" w:rsidRDefault="00A11D2F" w:rsidP="00A11D2F">
            <w:pPr>
              <w:jc w:val="right"/>
              <w:rPr>
                <w:b/>
                <w:sz w:val="20"/>
                <w:szCs w:val="20"/>
              </w:rPr>
            </w:pPr>
            <w:r>
              <w:rPr>
                <w:b/>
                <w:sz w:val="20"/>
                <w:szCs w:val="20"/>
              </w:rPr>
              <w:t>199.3</w:t>
            </w:r>
          </w:p>
        </w:tc>
        <w:tc>
          <w:tcPr>
            <w:tcW w:w="709" w:type="dxa"/>
            <w:noWrap/>
            <w:tcMar>
              <w:top w:w="0" w:type="dxa"/>
              <w:left w:w="108" w:type="dxa"/>
              <w:bottom w:w="0" w:type="dxa"/>
              <w:right w:w="108" w:type="dxa"/>
            </w:tcMar>
          </w:tcPr>
          <w:p w14:paraId="4AAAD8B2" w14:textId="77777777" w:rsidR="00A11D2F" w:rsidRPr="000F5B0C" w:rsidRDefault="00A11D2F" w:rsidP="00A11D2F">
            <w:pPr>
              <w:jc w:val="right"/>
              <w:rPr>
                <w:b/>
                <w:sz w:val="20"/>
                <w:szCs w:val="20"/>
              </w:rPr>
            </w:pPr>
            <w:r>
              <w:rPr>
                <w:b/>
                <w:sz w:val="20"/>
                <w:szCs w:val="20"/>
              </w:rPr>
              <w:t>68</w:t>
            </w:r>
          </w:p>
        </w:tc>
        <w:tc>
          <w:tcPr>
            <w:tcW w:w="1276" w:type="dxa"/>
          </w:tcPr>
          <w:p w14:paraId="1747FAE9" w14:textId="77777777" w:rsidR="00A11D2F" w:rsidRPr="000F5B0C" w:rsidRDefault="00A11D2F" w:rsidP="00A11D2F">
            <w:pPr>
              <w:jc w:val="right"/>
              <w:rPr>
                <w:b/>
                <w:sz w:val="20"/>
                <w:szCs w:val="20"/>
              </w:rPr>
            </w:pPr>
            <w:r>
              <w:rPr>
                <w:b/>
                <w:sz w:val="20"/>
                <w:szCs w:val="20"/>
              </w:rPr>
              <w:t>124.6</w:t>
            </w:r>
          </w:p>
        </w:tc>
        <w:tc>
          <w:tcPr>
            <w:tcW w:w="567" w:type="dxa"/>
          </w:tcPr>
          <w:p w14:paraId="3F7172BE" w14:textId="77777777" w:rsidR="00A11D2F" w:rsidRPr="000F5B0C" w:rsidRDefault="00A11D2F" w:rsidP="00A11D2F">
            <w:pPr>
              <w:jc w:val="right"/>
              <w:rPr>
                <w:b/>
                <w:sz w:val="20"/>
                <w:szCs w:val="20"/>
              </w:rPr>
            </w:pPr>
            <w:r>
              <w:rPr>
                <w:b/>
                <w:sz w:val="20"/>
                <w:szCs w:val="20"/>
              </w:rPr>
              <w:t>54</w:t>
            </w:r>
          </w:p>
        </w:tc>
        <w:tc>
          <w:tcPr>
            <w:tcW w:w="1276" w:type="dxa"/>
          </w:tcPr>
          <w:p w14:paraId="7E4BC267" w14:textId="77777777" w:rsidR="00A11D2F" w:rsidRPr="000F5B0C" w:rsidRDefault="00A11D2F" w:rsidP="00A11D2F">
            <w:pPr>
              <w:jc w:val="right"/>
              <w:rPr>
                <w:b/>
                <w:sz w:val="20"/>
                <w:szCs w:val="20"/>
              </w:rPr>
            </w:pPr>
            <w:r>
              <w:rPr>
                <w:b/>
                <w:sz w:val="20"/>
                <w:szCs w:val="20"/>
              </w:rPr>
              <w:t>116.6</w:t>
            </w:r>
          </w:p>
        </w:tc>
        <w:tc>
          <w:tcPr>
            <w:tcW w:w="640" w:type="dxa"/>
          </w:tcPr>
          <w:p w14:paraId="3B6DF263" w14:textId="77777777" w:rsidR="00A11D2F" w:rsidRPr="000F5B0C" w:rsidRDefault="00A11D2F" w:rsidP="00A11D2F">
            <w:pPr>
              <w:jc w:val="right"/>
              <w:rPr>
                <w:b/>
                <w:sz w:val="20"/>
                <w:szCs w:val="20"/>
              </w:rPr>
            </w:pPr>
            <w:r>
              <w:rPr>
                <w:b/>
                <w:sz w:val="20"/>
                <w:szCs w:val="20"/>
              </w:rPr>
              <w:t>26</w:t>
            </w:r>
          </w:p>
        </w:tc>
        <w:tc>
          <w:tcPr>
            <w:tcW w:w="1202" w:type="dxa"/>
          </w:tcPr>
          <w:p w14:paraId="03F89B4E" w14:textId="77777777" w:rsidR="00A11D2F" w:rsidRPr="000F5B0C" w:rsidRDefault="00A11D2F" w:rsidP="00A11D2F">
            <w:pPr>
              <w:jc w:val="right"/>
              <w:rPr>
                <w:b/>
                <w:sz w:val="20"/>
                <w:szCs w:val="20"/>
              </w:rPr>
            </w:pPr>
            <w:r>
              <w:rPr>
                <w:b/>
                <w:sz w:val="20"/>
                <w:szCs w:val="20"/>
              </w:rPr>
              <w:t>13.5</w:t>
            </w:r>
          </w:p>
        </w:tc>
        <w:tc>
          <w:tcPr>
            <w:tcW w:w="567" w:type="dxa"/>
          </w:tcPr>
          <w:p w14:paraId="736AC2EB" w14:textId="77777777" w:rsidR="00A11D2F" w:rsidRPr="000F5B0C" w:rsidRDefault="00A11D2F" w:rsidP="00A11D2F">
            <w:pPr>
              <w:jc w:val="right"/>
              <w:rPr>
                <w:b/>
                <w:sz w:val="20"/>
                <w:szCs w:val="20"/>
              </w:rPr>
            </w:pPr>
            <w:r>
              <w:rPr>
                <w:b/>
                <w:sz w:val="20"/>
                <w:szCs w:val="20"/>
              </w:rPr>
              <w:t>11</w:t>
            </w:r>
          </w:p>
        </w:tc>
        <w:tc>
          <w:tcPr>
            <w:tcW w:w="1134" w:type="dxa"/>
          </w:tcPr>
          <w:p w14:paraId="61C4AB6D" w14:textId="77777777" w:rsidR="00A11D2F" w:rsidRPr="000F5B0C" w:rsidRDefault="00A11D2F" w:rsidP="00A11D2F">
            <w:pPr>
              <w:jc w:val="right"/>
              <w:rPr>
                <w:b/>
                <w:sz w:val="20"/>
                <w:szCs w:val="20"/>
              </w:rPr>
            </w:pPr>
            <w:r>
              <w:rPr>
                <w:b/>
                <w:sz w:val="20"/>
                <w:szCs w:val="20"/>
              </w:rPr>
              <w:t>11.5</w:t>
            </w:r>
          </w:p>
        </w:tc>
        <w:tc>
          <w:tcPr>
            <w:tcW w:w="567" w:type="dxa"/>
          </w:tcPr>
          <w:p w14:paraId="50F170C1" w14:textId="77777777" w:rsidR="00A11D2F" w:rsidRPr="000F5B0C" w:rsidRDefault="00A11D2F" w:rsidP="00A11D2F">
            <w:pPr>
              <w:jc w:val="right"/>
              <w:rPr>
                <w:b/>
                <w:sz w:val="20"/>
                <w:szCs w:val="20"/>
              </w:rPr>
            </w:pPr>
            <w:r>
              <w:rPr>
                <w:b/>
                <w:sz w:val="20"/>
                <w:szCs w:val="20"/>
              </w:rPr>
              <w:t>18</w:t>
            </w:r>
          </w:p>
        </w:tc>
      </w:tr>
    </w:tbl>
    <w:p w14:paraId="569E6635" w14:textId="77777777" w:rsidR="00876BF7" w:rsidRDefault="00876BF7" w:rsidP="00A11D2F">
      <w:pPr>
        <w:spacing w:after="240"/>
      </w:pPr>
    </w:p>
    <w:p w14:paraId="15C3DAD2" w14:textId="77777777" w:rsidR="00876BF7" w:rsidRDefault="00876BF7" w:rsidP="00BC1935">
      <w:pPr>
        <w:spacing w:after="240"/>
        <w:ind w:left="567" w:hanging="567"/>
      </w:pPr>
    </w:p>
    <w:p w14:paraId="15AE5C6B" w14:textId="77777777" w:rsidR="008450B8" w:rsidRDefault="00BC1935" w:rsidP="00E6669B">
      <w:pPr>
        <w:spacing w:after="240"/>
        <w:ind w:left="567" w:hanging="567"/>
      </w:pPr>
      <w:r>
        <w:t>5.9</w:t>
      </w:r>
      <w:r w:rsidR="009D5F59">
        <w:tab/>
        <w:t>The tables above demonstrate how fundamental the tier split</w:t>
      </w:r>
      <w:r w:rsidR="00E6669B">
        <w:t xml:space="preserve"> is to setting the levels of risk and potential for reward in two tier areas.</w:t>
      </w:r>
      <w:r w:rsidR="008450B8">
        <w:t xml:space="preserve"> In this respect the tier split has ensured that the risk carried by county councils is minimal and district councils benefit the most from any growth achieved. </w:t>
      </w:r>
    </w:p>
    <w:p w14:paraId="5D1C3C34" w14:textId="77777777" w:rsidR="009D5F59" w:rsidRPr="00B93BE5" w:rsidRDefault="00BC1935" w:rsidP="00BC1935">
      <w:pPr>
        <w:spacing w:after="240"/>
        <w:ind w:left="567" w:hanging="567"/>
      </w:pPr>
      <w:r>
        <w:t>5.10</w:t>
      </w:r>
      <w:r w:rsidR="008450B8">
        <w:t xml:space="preserve"> </w:t>
      </w:r>
      <w:r w:rsidR="008450B8">
        <w:tab/>
      </w:r>
      <w:r w:rsidR="00E6669B">
        <w:t xml:space="preserve"> As previously stated the numbers included do not represent the actual growth retained by local authorities and other elements of the system have the impact of lessening the distributional impact of the tier split. Most critical to this has been the levy on growth which has </w:t>
      </w:r>
      <w:r w:rsidR="008450B8">
        <w:t xml:space="preserve">had the impact of redistributing growth around the system. The Government intends to scrap the levy with the introduction of greater business rates retention </w:t>
      </w:r>
      <w:r w:rsidR="00447BA8">
        <w:t>which would result in a different actual distribution of risk and reward in two tier areas with no change to the tier split. Therefore i</w:t>
      </w:r>
      <w:r w:rsidR="008450B8">
        <w:t>t is also right to consider</w:t>
      </w:r>
      <w:r w:rsidR="00D05BB8">
        <w:t>,</w:t>
      </w:r>
      <w:r w:rsidR="00447BA8">
        <w:t xml:space="preserve"> as part of the reforms changing the </w:t>
      </w:r>
      <w:r w:rsidR="00447BA8">
        <w:lastRenderedPageBreak/>
        <w:t>tier split</w:t>
      </w:r>
      <w:r w:rsidR="00D05BB8">
        <w:t>,</w:t>
      </w:r>
      <w:r w:rsidR="00E6669B">
        <w:t xml:space="preserve"> </w:t>
      </w:r>
      <w:r w:rsidR="00447BA8">
        <w:t xml:space="preserve">whether the aim is to maintain or change the balance of risk and reward in the system </w:t>
      </w:r>
      <w:r w:rsidR="00E6669B">
        <w:t>(section</w:t>
      </w:r>
      <w:r>
        <w:t xml:space="preserve"> 7 </w:t>
      </w:r>
      <w:r w:rsidR="00E6669B">
        <w:t>deals with the future of the levy</w:t>
      </w:r>
      <w:r w:rsidR="008450B8">
        <w:t xml:space="preserve"> in more detail</w:t>
      </w:r>
      <w:r w:rsidR="00E6669B">
        <w:t>).</w:t>
      </w:r>
    </w:p>
    <w:p w14:paraId="1F3E6DBC" w14:textId="77777777" w:rsidR="00591248" w:rsidRPr="00C1539A" w:rsidRDefault="00591248" w:rsidP="006B004B">
      <w:pPr>
        <w:spacing w:after="240"/>
        <w:ind w:left="567" w:hanging="567"/>
        <w:rPr>
          <w:b/>
        </w:rPr>
      </w:pPr>
      <w:r w:rsidRPr="00C1539A">
        <w:rPr>
          <w:b/>
        </w:rPr>
        <w:t>What are the objectives for the tier split in the new system?</w:t>
      </w:r>
    </w:p>
    <w:p w14:paraId="39048CC7" w14:textId="299E29BA" w:rsidR="00591248" w:rsidRDefault="00BC1935" w:rsidP="006B004B">
      <w:pPr>
        <w:spacing w:after="240"/>
        <w:ind w:left="567" w:hanging="567"/>
      </w:pPr>
      <w:r>
        <w:t>5.11</w:t>
      </w:r>
      <w:r w:rsidR="00591248">
        <w:t xml:space="preserve"> </w:t>
      </w:r>
      <w:r w:rsidR="00591248">
        <w:tab/>
        <w:t>Striking the right balance between risk and reward for all local authorities will remain a core objective for the local government</w:t>
      </w:r>
      <w:r w:rsidR="00447BA8">
        <w:t xml:space="preserve"> finance</w:t>
      </w:r>
      <w:r w:rsidR="00591248">
        <w:t xml:space="preserve"> system with the move to 75</w:t>
      </w:r>
      <w:r w:rsidR="00447BA8">
        <w:t>% busine</w:t>
      </w:r>
      <w:r w:rsidR="009902C5">
        <w:t>ss rates retention</w:t>
      </w:r>
      <w:r w:rsidR="00591248">
        <w:t xml:space="preserve">. </w:t>
      </w:r>
      <w:r w:rsidR="0096132A">
        <w:t>One of the objectives of a</w:t>
      </w:r>
      <w:r w:rsidR="007B7435">
        <w:t xml:space="preserve"> future tier split should be to ensure that there is a sufficient incentive for all local authorities to grow the business rates base in their areas</w:t>
      </w:r>
      <w:r w:rsidR="009902C5">
        <w:t xml:space="preserve"> recognising  that all local authorities in two tier areas work together to generate growth.</w:t>
      </w:r>
    </w:p>
    <w:p w14:paraId="7E999311" w14:textId="12A35A64" w:rsidR="00703970" w:rsidRDefault="00BC1935" w:rsidP="006B004B">
      <w:pPr>
        <w:spacing w:after="240"/>
        <w:ind w:left="567" w:hanging="567"/>
      </w:pPr>
      <w:r>
        <w:t>5.12</w:t>
      </w:r>
      <w:r w:rsidR="007B7435">
        <w:t xml:space="preserve"> </w:t>
      </w:r>
      <w:r w:rsidR="007B7435">
        <w:tab/>
        <w:t>Fairness and consistency of outcomes</w:t>
      </w:r>
      <w:r w:rsidR="00591248">
        <w:t xml:space="preserve"> sho</w:t>
      </w:r>
      <w:r w:rsidR="007B7435">
        <w:t>uld also be important considerations</w:t>
      </w:r>
      <w:r w:rsidR="00591248">
        <w:t xml:space="preserve"> </w:t>
      </w:r>
      <w:r w:rsidR="007B7435">
        <w:t>in reforming the business rates retention system</w:t>
      </w:r>
      <w:r w:rsidR="00591248">
        <w:t>. Currently the balance of risk and reward differs not only between districts and counties but also between two tier areas and their unitary counterparts. As noted earlier in this paper and in earlier discussions with the Working Group, this i</w:t>
      </w:r>
      <w:r w:rsidR="00703970">
        <w:t>s largely a product</w:t>
      </w:r>
      <w:r w:rsidR="00D05BB8">
        <w:t xml:space="preserve"> of</w:t>
      </w:r>
      <w:r w:rsidR="00703970">
        <w:t xml:space="preserve"> differing gearing levels between two tier </w:t>
      </w:r>
      <w:r w:rsidR="00D259AB">
        <w:t xml:space="preserve">areas </w:t>
      </w:r>
      <w:r w:rsidR="00703970">
        <w:t>and unitary area</w:t>
      </w:r>
      <w:r w:rsidR="00D05BB8">
        <w:t>s</w:t>
      </w:r>
      <w:r w:rsidR="00703970">
        <w:t xml:space="preserve"> (on the whole). </w:t>
      </w:r>
    </w:p>
    <w:p w14:paraId="64ABFF24" w14:textId="1FCF7703" w:rsidR="00591248" w:rsidRDefault="00BC1935" w:rsidP="006B004B">
      <w:pPr>
        <w:spacing w:after="240"/>
        <w:ind w:left="567" w:hanging="567"/>
      </w:pPr>
      <w:r>
        <w:t>5.13</w:t>
      </w:r>
      <w:r w:rsidR="00703970">
        <w:t xml:space="preserve"> </w:t>
      </w:r>
      <w:r w:rsidR="00703970">
        <w:tab/>
        <w:t>As the table in</w:t>
      </w:r>
      <w:r>
        <w:t xml:space="preserve"> 5.5 </w:t>
      </w:r>
      <w:r w:rsidR="00703970">
        <w:t>illustrates</w:t>
      </w:r>
      <w:r w:rsidR="00192508">
        <w:t>,</w:t>
      </w:r>
      <w:r w:rsidR="00703970">
        <w:t xml:space="preserve"> some London boroughs, Metropolitan boroughs and other unitary authorities have been subject to safety net payments in the current system whilst no county council has received a safety net payment. </w:t>
      </w:r>
      <w:r w:rsidR="00CF715C">
        <w:t>Some r</w:t>
      </w:r>
      <w:r w:rsidR="00703970">
        <w:t>epresentations from local government have pointed out that the protection of county councils from</w:t>
      </w:r>
      <w:r w:rsidR="00DD6EB7">
        <w:t xml:space="preserve"> risk</w:t>
      </w:r>
      <w:r w:rsidR="00703970">
        <w:t xml:space="preserve"> </w:t>
      </w:r>
      <w:r w:rsidR="00DD6EB7">
        <w:t>through being lowly geared</w:t>
      </w:r>
      <w:r w:rsidR="00192508">
        <w:t>,</w:t>
      </w:r>
      <w:r w:rsidR="00DD6EB7">
        <w:t xml:space="preserve"> </w:t>
      </w:r>
      <w:r w:rsidR="00703970">
        <w:t>because</w:t>
      </w:r>
      <w:r w:rsidR="00DD6EB7">
        <w:t xml:space="preserve"> they deliver </w:t>
      </w:r>
      <w:r w:rsidR="00703970">
        <w:t xml:space="preserve">adult social care and children’s social care functions </w:t>
      </w:r>
      <w:r w:rsidR="00945119">
        <w:t>could be portrayed as un</w:t>
      </w:r>
      <w:r w:rsidR="00DD6EB7">
        <w:t>fair</w:t>
      </w:r>
      <w:r w:rsidR="00A11D2F">
        <w:t>,</w:t>
      </w:r>
      <w:r w:rsidR="00DD6EB7">
        <w:t xml:space="preserve"> when the same level of protection isn’t offered to unitary authorities delivering the same services. Changing the tier split so that the number of extremely highly and lowly geared </w:t>
      </w:r>
      <w:r w:rsidR="009D57F5">
        <w:t xml:space="preserve">local authorities is minimised </w:t>
      </w:r>
      <w:r w:rsidR="00175EFC">
        <w:t xml:space="preserve">would </w:t>
      </w:r>
      <w:r w:rsidR="001B063A">
        <w:t>therefore better balance risk and incentives in the system.</w:t>
      </w:r>
    </w:p>
    <w:p w14:paraId="3567ED9B" w14:textId="7C916EDB" w:rsidR="00591248" w:rsidRDefault="00BC1935" w:rsidP="006B004B">
      <w:pPr>
        <w:spacing w:after="240"/>
        <w:ind w:left="567" w:hanging="567"/>
      </w:pPr>
      <w:r>
        <w:t>5.14</w:t>
      </w:r>
      <w:r w:rsidR="00591248">
        <w:tab/>
      </w:r>
      <w:r w:rsidR="009902C5">
        <w:t>A</w:t>
      </w:r>
      <w:r w:rsidR="00175EFC">
        <w:t>ll local authorities have a role in generating growth in business rates and should be incentivised and rewarded as such.</w:t>
      </w:r>
      <w:r w:rsidR="0096132A">
        <w:t xml:space="preserve"> MHCLG</w:t>
      </w:r>
      <w:r w:rsidR="00591248">
        <w:t xml:space="preserve"> w</w:t>
      </w:r>
      <w:r w:rsidR="0096132A">
        <w:t>ill work closely with the both counties and districts</w:t>
      </w:r>
      <w:r w:rsidR="00591248">
        <w:t>, and in particular the County Councils Network and District Councils Network</w:t>
      </w:r>
      <w:r w:rsidR="0096132A">
        <w:t xml:space="preserve"> and district and county treasurer associations</w:t>
      </w:r>
      <w:r w:rsidR="00591248">
        <w:t xml:space="preserve">, to decide on what the appropriate tier split should be. </w:t>
      </w:r>
    </w:p>
    <w:p w14:paraId="6F1331DE" w14:textId="77777777" w:rsidR="00591248" w:rsidRDefault="00BC1935" w:rsidP="006B004B">
      <w:pPr>
        <w:spacing w:after="240"/>
        <w:ind w:left="567" w:hanging="567"/>
      </w:pPr>
      <w:r>
        <w:t>5.15</w:t>
      </w:r>
      <w:r w:rsidR="00591248">
        <w:tab/>
        <w:t>There are significant interplays between the tier split and other sys</w:t>
      </w:r>
      <w:r w:rsidR="004942E2">
        <w:t>tem design elements when it comes to achieving</w:t>
      </w:r>
      <w:r w:rsidR="00591248">
        <w:t xml:space="preserve"> the right balance between risk and reward in the new system. Therefore it is proposed that the work on designing the new </w:t>
      </w:r>
      <w:r w:rsidR="00DD6EB7">
        <w:t xml:space="preserve">tier split will take place through </w:t>
      </w:r>
      <w:r w:rsidR="00591248">
        <w:t>the Spring and Summer alongside the consideration by the Work</w:t>
      </w:r>
      <w:r w:rsidR="004942E2">
        <w:t xml:space="preserve">ing Group and local government sector more generally of </w:t>
      </w:r>
      <w:r w:rsidR="00591248">
        <w:t>technical papers on reform options for elements of the system.</w:t>
      </w:r>
    </w:p>
    <w:p w14:paraId="4E6CF454" w14:textId="4C81C4C0" w:rsidR="00591248" w:rsidRDefault="00876BF7" w:rsidP="006A2B96">
      <w:pPr>
        <w:pStyle w:val="CommentText"/>
        <w:ind w:left="1440" w:hanging="1440"/>
        <w:rPr>
          <w:b/>
          <w:sz w:val="24"/>
          <w:szCs w:val="24"/>
        </w:rPr>
      </w:pPr>
      <w:r>
        <w:rPr>
          <w:b/>
          <w:sz w:val="24"/>
          <w:szCs w:val="24"/>
        </w:rPr>
        <w:lastRenderedPageBreak/>
        <w:t xml:space="preserve">TP2 </w:t>
      </w:r>
      <w:r w:rsidR="00447BA8">
        <w:rPr>
          <w:b/>
          <w:sz w:val="24"/>
          <w:szCs w:val="24"/>
        </w:rPr>
        <w:t xml:space="preserve">Q1: </w:t>
      </w:r>
      <w:r w:rsidR="00447BA8">
        <w:rPr>
          <w:b/>
          <w:sz w:val="24"/>
          <w:szCs w:val="24"/>
        </w:rPr>
        <w:tab/>
      </w:r>
      <w:r w:rsidR="00591248">
        <w:rPr>
          <w:b/>
          <w:sz w:val="24"/>
          <w:szCs w:val="24"/>
        </w:rPr>
        <w:t>Do you agree</w:t>
      </w:r>
      <w:r w:rsidR="009902C5">
        <w:rPr>
          <w:b/>
          <w:sz w:val="24"/>
          <w:szCs w:val="24"/>
        </w:rPr>
        <w:t xml:space="preserve"> with the rationale for reviewing</w:t>
      </w:r>
      <w:r w:rsidR="00591248">
        <w:rPr>
          <w:b/>
          <w:sz w:val="24"/>
          <w:szCs w:val="24"/>
        </w:rPr>
        <w:t xml:space="preserve"> the </w:t>
      </w:r>
      <w:r w:rsidR="00591248" w:rsidRPr="007A1CA0">
        <w:rPr>
          <w:b/>
          <w:sz w:val="24"/>
          <w:szCs w:val="24"/>
        </w:rPr>
        <w:t xml:space="preserve">tier split </w:t>
      </w:r>
      <w:r w:rsidR="009902C5">
        <w:rPr>
          <w:b/>
          <w:sz w:val="24"/>
          <w:szCs w:val="24"/>
        </w:rPr>
        <w:t>for</w:t>
      </w:r>
      <w:bookmarkStart w:id="0" w:name="_GoBack"/>
      <w:bookmarkEnd w:id="0"/>
      <w:r w:rsidR="00591248" w:rsidRPr="007A1CA0">
        <w:rPr>
          <w:b/>
          <w:sz w:val="24"/>
          <w:szCs w:val="24"/>
        </w:rPr>
        <w:t xml:space="preserve"> 2020/21? </w:t>
      </w:r>
    </w:p>
    <w:p w14:paraId="44E61CE6" w14:textId="77777777" w:rsidR="00591248" w:rsidRDefault="00591248" w:rsidP="00591248">
      <w:pPr>
        <w:pStyle w:val="CommentText"/>
        <w:rPr>
          <w:b/>
          <w:sz w:val="24"/>
          <w:szCs w:val="24"/>
        </w:rPr>
      </w:pPr>
    </w:p>
    <w:p w14:paraId="4AEF69FD" w14:textId="77777777" w:rsidR="00591248" w:rsidRDefault="00876BF7" w:rsidP="00A11D2F">
      <w:pPr>
        <w:pStyle w:val="CommentText"/>
        <w:spacing w:after="600"/>
        <w:ind w:left="1440" w:hanging="1440"/>
        <w:rPr>
          <w:b/>
          <w:sz w:val="24"/>
          <w:szCs w:val="24"/>
        </w:rPr>
      </w:pPr>
      <w:r>
        <w:rPr>
          <w:b/>
          <w:sz w:val="24"/>
          <w:szCs w:val="24"/>
        </w:rPr>
        <w:t xml:space="preserve">TP2 </w:t>
      </w:r>
      <w:r w:rsidR="006A2B96">
        <w:rPr>
          <w:b/>
          <w:sz w:val="24"/>
          <w:szCs w:val="24"/>
        </w:rPr>
        <w:t>Q2:</w:t>
      </w:r>
      <w:r w:rsidR="006A2B96">
        <w:rPr>
          <w:b/>
          <w:sz w:val="24"/>
          <w:szCs w:val="24"/>
        </w:rPr>
        <w:tab/>
      </w:r>
      <w:r w:rsidR="00591248">
        <w:rPr>
          <w:b/>
          <w:sz w:val="24"/>
          <w:szCs w:val="24"/>
        </w:rPr>
        <w:t>Are you happy for MHCLG to</w:t>
      </w:r>
      <w:r w:rsidR="004942E2">
        <w:rPr>
          <w:b/>
          <w:sz w:val="24"/>
          <w:szCs w:val="24"/>
        </w:rPr>
        <w:t xml:space="preserve"> work directly with the CCN, </w:t>
      </w:r>
      <w:r w:rsidR="00591248">
        <w:rPr>
          <w:b/>
          <w:sz w:val="24"/>
          <w:szCs w:val="24"/>
        </w:rPr>
        <w:t>DCN</w:t>
      </w:r>
      <w:r w:rsidR="004942E2">
        <w:rPr>
          <w:b/>
          <w:sz w:val="24"/>
          <w:szCs w:val="24"/>
        </w:rPr>
        <w:t xml:space="preserve"> and county and district treasurer associations,</w:t>
      </w:r>
      <w:r w:rsidR="00591248">
        <w:rPr>
          <w:b/>
          <w:sz w:val="24"/>
          <w:szCs w:val="24"/>
        </w:rPr>
        <w:t xml:space="preserve"> on developing a proposal for a future tier split for consideration by the Working Group and Steering Group?</w:t>
      </w:r>
    </w:p>
    <w:p w14:paraId="5DC1DEDB" w14:textId="77777777" w:rsidR="00591248" w:rsidRDefault="00F60224" w:rsidP="00591248">
      <w:pPr>
        <w:pStyle w:val="BodyText"/>
      </w:pPr>
      <w:r>
        <w:rPr>
          <w:sz w:val="36"/>
        </w:rPr>
        <w:t>Allowing local areas to propose their own tier split</w:t>
      </w:r>
    </w:p>
    <w:p w14:paraId="718F707D" w14:textId="51667CAC" w:rsidR="00591248" w:rsidRDefault="00BC1935" w:rsidP="006B004B">
      <w:pPr>
        <w:spacing w:after="240"/>
        <w:ind w:left="567" w:hanging="567"/>
      </w:pPr>
      <w:r>
        <w:t>5.16</w:t>
      </w:r>
      <w:r w:rsidR="00591248">
        <w:tab/>
        <w:t xml:space="preserve">A key element of the current system has been the </w:t>
      </w:r>
      <w:r w:rsidR="003F6CE8">
        <w:t>i</w:t>
      </w:r>
      <w:r w:rsidR="00591248">
        <w:t>ncentivis</w:t>
      </w:r>
      <w:r w:rsidR="0079329D">
        <w:t>ing</w:t>
      </w:r>
      <w:r w:rsidR="00591248">
        <w:t xml:space="preserve"> of local authorities to form business rates pools as a way of managing risk and reward at a strategic level across a geographical area. As a consequence</w:t>
      </w:r>
      <w:r w:rsidR="00D259AB">
        <w:t>,</w:t>
      </w:r>
      <w:r w:rsidR="00591248">
        <w:t xml:space="preserve"> local authorities in many two tier areas are working closer together on how best to manage the business rates retention system. (Note: A technical paper on options fo</w:t>
      </w:r>
      <w:r w:rsidR="00175EFC">
        <w:t>r pooling</w:t>
      </w:r>
      <w:r w:rsidR="00591248">
        <w:t xml:space="preserve"> will be discussed at a future Working Group meeting).</w:t>
      </w:r>
    </w:p>
    <w:p w14:paraId="26DB720F" w14:textId="63C9BE01" w:rsidR="00591248" w:rsidRDefault="00BC1935" w:rsidP="006B004B">
      <w:pPr>
        <w:spacing w:after="240"/>
        <w:ind w:left="567" w:hanging="567"/>
      </w:pPr>
      <w:r>
        <w:t>5.17</w:t>
      </w:r>
      <w:r w:rsidR="00591248">
        <w:t xml:space="preserve"> </w:t>
      </w:r>
      <w:r w:rsidR="00591248">
        <w:tab/>
        <w:t xml:space="preserve">Also, </w:t>
      </w:r>
      <w:r w:rsidR="00216DD6">
        <w:t xml:space="preserve">the applications from pools of local authorities </w:t>
      </w:r>
      <w:r w:rsidR="00591248">
        <w:t xml:space="preserve">to be 100% business rates retention pilots in 2018/19 contained </w:t>
      </w:r>
      <w:r w:rsidR="00175EFC">
        <w:t xml:space="preserve">varying </w:t>
      </w:r>
      <w:r w:rsidR="00591248">
        <w:t>pr</w:t>
      </w:r>
      <w:r w:rsidR="00216DD6">
        <w:t xml:space="preserve">opositions around how </w:t>
      </w:r>
      <w:r w:rsidR="00591248">
        <w:t>two tier areas intended to distr</w:t>
      </w:r>
      <w:r w:rsidR="00216DD6">
        <w:t xml:space="preserve">ibute growth and manage risk. These proposals have included </w:t>
      </w:r>
      <w:r w:rsidR="0079329D">
        <w:t xml:space="preserve">altering the tier </w:t>
      </w:r>
      <w:r w:rsidR="009D57F5">
        <w:t>split within</w:t>
      </w:r>
      <w:r w:rsidR="0079329D">
        <w:t xml:space="preserve"> their area</w:t>
      </w:r>
      <w:r w:rsidR="003F6CE8">
        <w:t xml:space="preserve"> </w:t>
      </w:r>
      <w:r w:rsidR="00216DD6">
        <w:t>and agreeing to share any growth from the pilot along a completely different tier split or establishing strategic investment funds to invest growth to support joint priorities.</w:t>
      </w:r>
    </w:p>
    <w:p w14:paraId="4BB36CA9" w14:textId="4D8B1F4E" w:rsidR="00591248" w:rsidRDefault="00BC1935" w:rsidP="006B004B">
      <w:pPr>
        <w:spacing w:after="240"/>
        <w:ind w:left="567" w:hanging="567"/>
      </w:pPr>
      <w:r>
        <w:t>5.18</w:t>
      </w:r>
      <w:r w:rsidR="004942E2">
        <w:t xml:space="preserve"> </w:t>
      </w:r>
      <w:r w:rsidR="004942E2">
        <w:tab/>
      </w:r>
      <w:r w:rsidR="00591248">
        <w:t>One option for</w:t>
      </w:r>
      <w:r w:rsidR="004A08E3">
        <w:t xml:space="preserve"> reform is the possibility </w:t>
      </w:r>
      <w:r w:rsidR="00591248">
        <w:t xml:space="preserve">for two tier areas to </w:t>
      </w:r>
      <w:r w:rsidR="002C1ED0">
        <w:t>agree with central government a tier split that is</w:t>
      </w:r>
      <w:r w:rsidR="004A08E3">
        <w:t xml:space="preserve"> different from the ‘standard’ tier split</w:t>
      </w:r>
      <w:r w:rsidR="00F60224">
        <w:t>. This would need to be a proposition for a new tier split agreed by and covering all districts councils and the county council in a two tier area.</w:t>
      </w:r>
      <w:r w:rsidR="00530C68">
        <w:t xml:space="preserve"> The 1% for FRAs would also need to be reflected in this.</w:t>
      </w:r>
    </w:p>
    <w:p w14:paraId="3D5C669D" w14:textId="6D3CBF3C" w:rsidR="00591248" w:rsidRDefault="00BC1935" w:rsidP="006B004B">
      <w:pPr>
        <w:spacing w:after="240"/>
        <w:ind w:left="567" w:hanging="567"/>
      </w:pPr>
      <w:r>
        <w:t>5.19</w:t>
      </w:r>
      <w:r w:rsidR="00591248">
        <w:t xml:space="preserve"> </w:t>
      </w:r>
      <w:r w:rsidR="00591248">
        <w:tab/>
        <w:t xml:space="preserve">Recognising that </w:t>
      </w:r>
      <w:r w:rsidR="00BA1DAE">
        <w:t>business rates pools are at differing levels of maturity and have varying approaches to governance</w:t>
      </w:r>
      <w:r w:rsidR="007607CB">
        <w:t>,</w:t>
      </w:r>
      <w:r w:rsidR="00BA1DAE">
        <w:t xml:space="preserve"> this could be</w:t>
      </w:r>
      <w:r w:rsidR="00591248">
        <w:t xml:space="preserve"> an ‘opportunity’ for local areas rather than a ‘r</w:t>
      </w:r>
      <w:r w:rsidR="00BA1DAE">
        <w:t>equirement’</w:t>
      </w:r>
      <w:r w:rsidR="00591248">
        <w:t>.</w:t>
      </w:r>
      <w:r w:rsidR="00DF6C5F">
        <w:t xml:space="preserve"> Any proposition from a two tier area to set their own tier split would also need to be agreed with MH</w:t>
      </w:r>
      <w:r w:rsidR="009522E5">
        <w:t>C</w:t>
      </w:r>
      <w:r w:rsidR="00DF6C5F">
        <w:t>LG as the power to set tier splits</w:t>
      </w:r>
      <w:r w:rsidR="00BA1DAE">
        <w:t xml:space="preserve"> outlined in legislation</w:t>
      </w:r>
      <w:r w:rsidR="00DF6C5F">
        <w:t xml:space="preserve"> lies with the Secretary of State.</w:t>
      </w:r>
    </w:p>
    <w:p w14:paraId="1CD958FF" w14:textId="5475EE8B" w:rsidR="00591248" w:rsidRDefault="00BC1935" w:rsidP="006B004B">
      <w:pPr>
        <w:spacing w:after="240"/>
        <w:ind w:left="567" w:hanging="567"/>
      </w:pPr>
      <w:r>
        <w:t>5.2</w:t>
      </w:r>
      <w:r w:rsidR="0079329D">
        <w:t>0</w:t>
      </w:r>
      <w:r w:rsidR="007F1BD4">
        <w:tab/>
        <w:t xml:space="preserve">If the Working Group, and wider sector, are supportive of </w:t>
      </w:r>
      <w:r w:rsidR="002C1ED0">
        <w:t>this proposition in principle</w:t>
      </w:r>
      <w:r w:rsidR="00DF6C5F">
        <w:t>,</w:t>
      </w:r>
      <w:r w:rsidR="002C1ED0">
        <w:t xml:space="preserve"> f</w:t>
      </w:r>
      <w:r w:rsidR="007F1BD4">
        <w:t>urther work will need to be undertaken to understand how it could be enacted alongside the current p</w:t>
      </w:r>
      <w:r w:rsidR="00DF6C5F">
        <w:t>rocesses for establishing pools. We would need to develop</w:t>
      </w:r>
      <w:r w:rsidR="007F1BD4">
        <w:t xml:space="preserve"> </w:t>
      </w:r>
      <w:r w:rsidR="003F6CE8">
        <w:t>the principles</w:t>
      </w:r>
      <w:r w:rsidR="00F60224">
        <w:t xml:space="preserve"> and </w:t>
      </w:r>
      <w:r w:rsidR="007F1BD4">
        <w:t>perimeters</w:t>
      </w:r>
      <w:r w:rsidR="00DF6C5F">
        <w:t xml:space="preserve"> under which local areas could propose</w:t>
      </w:r>
      <w:r w:rsidR="007F1BD4">
        <w:t xml:space="preserve"> their own tier split</w:t>
      </w:r>
      <w:r w:rsidR="00DF6C5F">
        <w:t>, how this would interact with the setting of baselines for these areas</w:t>
      </w:r>
      <w:r w:rsidR="00192508">
        <w:t>,</w:t>
      </w:r>
      <w:r w:rsidR="007F1BD4">
        <w:t xml:space="preserve"> and the time period that l</w:t>
      </w:r>
      <w:r w:rsidR="007F0BC4">
        <w:t>ocal areas’ own tier split would</w:t>
      </w:r>
      <w:r w:rsidR="00DF6C5F">
        <w:t xml:space="preserve"> be applicable</w:t>
      </w:r>
      <w:r w:rsidR="007F1BD4">
        <w:t xml:space="preserve"> for.</w:t>
      </w:r>
      <w:r w:rsidR="00530C68">
        <w:t xml:space="preserve"> The experience of the 2018/19 pilots in piloting bespoke tier splits will also inform potential reforms.</w:t>
      </w:r>
    </w:p>
    <w:p w14:paraId="5937FECF" w14:textId="77777777" w:rsidR="00591248" w:rsidRDefault="00876BF7" w:rsidP="006A2B96">
      <w:pPr>
        <w:spacing w:after="240"/>
        <w:ind w:left="1440" w:hanging="1440"/>
        <w:rPr>
          <w:b/>
        </w:rPr>
      </w:pPr>
      <w:r>
        <w:rPr>
          <w:b/>
        </w:rPr>
        <w:lastRenderedPageBreak/>
        <w:t xml:space="preserve">TP2 </w:t>
      </w:r>
      <w:r w:rsidR="007F0BC4">
        <w:rPr>
          <w:b/>
        </w:rPr>
        <w:t xml:space="preserve">Q3: </w:t>
      </w:r>
      <w:r w:rsidR="007F0BC4">
        <w:rPr>
          <w:b/>
        </w:rPr>
        <w:tab/>
      </w:r>
      <w:r w:rsidR="00BC29E1">
        <w:rPr>
          <w:b/>
        </w:rPr>
        <w:t>Do you think</w:t>
      </w:r>
      <w:r w:rsidR="00591248" w:rsidRPr="00E24184">
        <w:rPr>
          <w:b/>
        </w:rPr>
        <w:t xml:space="preserve"> that two tier areas should be a</w:t>
      </w:r>
      <w:r w:rsidR="00DF6C5F">
        <w:rPr>
          <w:b/>
        </w:rPr>
        <w:t>ble to propose</w:t>
      </w:r>
      <w:r w:rsidR="00591248">
        <w:rPr>
          <w:b/>
        </w:rPr>
        <w:t xml:space="preserve"> their own tier split? </w:t>
      </w:r>
    </w:p>
    <w:p w14:paraId="543732AD" w14:textId="77777777" w:rsidR="00876BF7" w:rsidRDefault="00876BF7" w:rsidP="00A11D2F">
      <w:pPr>
        <w:spacing w:after="600"/>
        <w:ind w:left="1440" w:hanging="1440"/>
        <w:rPr>
          <w:b/>
        </w:rPr>
      </w:pPr>
      <w:r>
        <w:rPr>
          <w:b/>
        </w:rPr>
        <w:t xml:space="preserve">TP2 </w:t>
      </w:r>
      <w:r w:rsidR="006A2B96">
        <w:rPr>
          <w:b/>
        </w:rPr>
        <w:t>Q4:</w:t>
      </w:r>
      <w:r w:rsidR="006A2B96">
        <w:rPr>
          <w:b/>
        </w:rPr>
        <w:tab/>
      </w:r>
      <w:r w:rsidR="002C1ED0">
        <w:rPr>
          <w:b/>
        </w:rPr>
        <w:t>Do you think</w:t>
      </w:r>
      <w:r w:rsidR="00591248">
        <w:rPr>
          <w:b/>
        </w:rPr>
        <w:t xml:space="preserve"> that the</w:t>
      </w:r>
      <w:r w:rsidR="002C1ED0">
        <w:rPr>
          <w:b/>
        </w:rPr>
        <w:t xml:space="preserve"> ability for areas to agree with central government </w:t>
      </w:r>
      <w:r w:rsidR="00DF6C5F">
        <w:rPr>
          <w:b/>
        </w:rPr>
        <w:t xml:space="preserve">their </w:t>
      </w:r>
      <w:r w:rsidR="007C2A9D">
        <w:rPr>
          <w:b/>
        </w:rPr>
        <w:t>own tier split</w:t>
      </w:r>
      <w:r w:rsidR="00591248">
        <w:rPr>
          <w:b/>
        </w:rPr>
        <w:t xml:space="preserve"> should be</w:t>
      </w:r>
      <w:r w:rsidR="00DF6C5F">
        <w:rPr>
          <w:b/>
        </w:rPr>
        <w:t xml:space="preserve"> an ‘opportunity’ for a</w:t>
      </w:r>
      <w:r w:rsidR="00591248">
        <w:rPr>
          <w:b/>
        </w:rPr>
        <w:t>reas and not a ‘requirement’?</w:t>
      </w:r>
    </w:p>
    <w:p w14:paraId="649FEAC4" w14:textId="77777777" w:rsidR="00C00209" w:rsidRPr="00A11D2F" w:rsidRDefault="00C00209" w:rsidP="00A11D2F">
      <w:pPr>
        <w:spacing w:after="240"/>
        <w:ind w:left="1440" w:hanging="1440"/>
        <w:rPr>
          <w:b/>
        </w:rPr>
      </w:pPr>
      <w:r w:rsidRPr="00210185">
        <w:rPr>
          <w:sz w:val="36"/>
          <w:szCs w:val="36"/>
        </w:rPr>
        <w:t>The role of the safety net</w:t>
      </w:r>
    </w:p>
    <w:p w14:paraId="65FE4BD3" w14:textId="77777777" w:rsidR="00501A6D" w:rsidRDefault="00BC1935" w:rsidP="00501A6D">
      <w:pPr>
        <w:spacing w:after="240"/>
        <w:ind w:left="720" w:hanging="720"/>
      </w:pPr>
      <w:r>
        <w:t>6.1</w:t>
      </w:r>
      <w:r w:rsidR="00501A6D">
        <w:tab/>
        <w:t>Balancing appropriate levels of risk and reward for local authorities will remain a critical consideration in the local government finance system as business rates ret</w:t>
      </w:r>
      <w:r w:rsidR="007C2A9D">
        <w:t>ention increases to 75%.</w:t>
      </w:r>
      <w:r w:rsidR="00501A6D">
        <w:t xml:space="preserve"> </w:t>
      </w:r>
      <w:r w:rsidR="007C2A9D">
        <w:t xml:space="preserve">We </w:t>
      </w:r>
      <w:r w:rsidR="007F0BC4">
        <w:t>are therefore proposing retaining a safety net mechanism to ensure that the level of risk to local authority funding is transparent and managed</w:t>
      </w:r>
      <w:r w:rsidR="007C2A9D">
        <w:t>.</w:t>
      </w:r>
    </w:p>
    <w:p w14:paraId="67AFC9B2" w14:textId="77777777" w:rsidR="00C00209" w:rsidRDefault="00BC1935" w:rsidP="00501A6D">
      <w:pPr>
        <w:spacing w:after="240"/>
        <w:ind w:left="720" w:hanging="720"/>
      </w:pPr>
      <w:r>
        <w:t>6</w:t>
      </w:r>
      <w:r w:rsidR="007F1BD4">
        <w:t>.2</w:t>
      </w:r>
      <w:r w:rsidR="00501A6D">
        <w:tab/>
      </w:r>
      <w:r w:rsidR="00C00209" w:rsidRPr="00210185">
        <w:t>As n</w:t>
      </w:r>
      <w:r w:rsidR="00ED093D">
        <w:t>oted earlier in the paper</w:t>
      </w:r>
      <w:r w:rsidR="00192508">
        <w:t>,</w:t>
      </w:r>
      <w:r w:rsidR="00E975A0">
        <w:t xml:space="preserve"> two options</w:t>
      </w:r>
      <w:r w:rsidR="00DF6C5F">
        <w:t xml:space="preserve"> for</w:t>
      </w:r>
      <w:r w:rsidR="007C2A9D">
        <w:t xml:space="preserve"> how</w:t>
      </w:r>
      <w:r w:rsidR="00DF6C5F">
        <w:t xml:space="preserve"> a ‘safety net’ mech</w:t>
      </w:r>
      <w:r w:rsidR="007F1BD4">
        <w:t>anism</w:t>
      </w:r>
      <w:r w:rsidR="007C2A9D">
        <w:t xml:space="preserve"> could operate </w:t>
      </w:r>
      <w:r w:rsidR="00E975A0">
        <w:t>have been discussed</w:t>
      </w:r>
      <w:r w:rsidR="008E3F33">
        <w:t xml:space="preserve"> </w:t>
      </w:r>
      <w:r w:rsidR="007F0BC4">
        <w:t xml:space="preserve">by the Working Group </w:t>
      </w:r>
      <w:r w:rsidR="00E975A0">
        <w:t>before</w:t>
      </w:r>
      <w:r w:rsidR="007F0BC4">
        <w:t xml:space="preserve">. The safety net </w:t>
      </w:r>
      <w:r w:rsidR="007C2A9D">
        <w:t>could</w:t>
      </w:r>
      <w:r w:rsidR="000F35DB">
        <w:t xml:space="preserve"> provide protection against income dropping below a certain level (i.e. how the current safety net operates) and/or </w:t>
      </w:r>
      <w:r w:rsidR="007F0BC4">
        <w:t xml:space="preserve">the safety net </w:t>
      </w:r>
      <w:r w:rsidR="000F35DB">
        <w:t>could provide protectio</w:t>
      </w:r>
      <w:r w:rsidR="007C2A9D">
        <w:t xml:space="preserve">n from </w:t>
      </w:r>
      <w:r w:rsidR="00BC29E1">
        <w:t>large scale drops in income in a single year.</w:t>
      </w:r>
    </w:p>
    <w:p w14:paraId="5DD9AF05" w14:textId="4B4D1FC4" w:rsidR="00016CC5" w:rsidRDefault="00BC1935" w:rsidP="00016CC5">
      <w:pPr>
        <w:spacing w:after="240"/>
        <w:ind w:left="720" w:hanging="720"/>
      </w:pPr>
      <w:r>
        <w:t>6</w:t>
      </w:r>
      <w:r w:rsidR="007F1BD4">
        <w:t>.3</w:t>
      </w:r>
      <w:r w:rsidR="00E975A0">
        <w:t xml:space="preserve"> </w:t>
      </w:r>
      <w:r w:rsidR="00E975A0">
        <w:tab/>
        <w:t>The mechanism of a safety net is best suited as a ‘back-stop’ to ensure that no local authority’</w:t>
      </w:r>
      <w:r w:rsidR="00973103">
        <w:t xml:space="preserve">s income falls below a minimum level appropriate for that particular local authority. </w:t>
      </w:r>
      <w:r w:rsidR="00E975A0">
        <w:t xml:space="preserve">Therefore, the safety net should be set relative </w:t>
      </w:r>
      <w:r w:rsidR="00973103">
        <w:t>to baseline f</w:t>
      </w:r>
      <w:r w:rsidR="00F276A1">
        <w:t xml:space="preserve">unding levels as it currently </w:t>
      </w:r>
      <w:r w:rsidR="00192508">
        <w:t>i</w:t>
      </w:r>
      <w:r w:rsidR="00F276A1">
        <w:t>s</w:t>
      </w:r>
      <w:r w:rsidR="00973103">
        <w:t>.</w:t>
      </w:r>
      <w:r w:rsidR="008E3F33">
        <w:t xml:space="preserve"> </w:t>
      </w:r>
      <w:r w:rsidR="00BC29E1">
        <w:t>The consultation on implementing 100% business rates retention in 2017 sought local authorities’</w:t>
      </w:r>
      <w:r w:rsidR="003772FB">
        <w:t xml:space="preserve"> views</w:t>
      </w:r>
      <w:r w:rsidR="00BC29E1">
        <w:t xml:space="preserve"> </w:t>
      </w:r>
      <w:r w:rsidR="0025209B">
        <w:t>on whether th</w:t>
      </w:r>
      <w:r w:rsidR="003772FB">
        <w:t>ey agreed with this</w:t>
      </w:r>
      <w:r w:rsidR="0025209B">
        <w:t xml:space="preserve"> proposition </w:t>
      </w:r>
      <w:r w:rsidR="003772FB">
        <w:t>and the majority of local authorities did so.</w:t>
      </w:r>
    </w:p>
    <w:p w14:paraId="031C283D" w14:textId="77777777" w:rsidR="00405A93" w:rsidRDefault="00BC1935" w:rsidP="00BC1935">
      <w:pPr>
        <w:spacing w:after="240"/>
        <w:ind w:left="720" w:hanging="720"/>
      </w:pPr>
      <w:r>
        <w:t>6</w:t>
      </w:r>
      <w:r w:rsidR="007F1BD4">
        <w:t>.4</w:t>
      </w:r>
      <w:r w:rsidR="00F276A1">
        <w:tab/>
        <w:t xml:space="preserve">At the moment, we </w:t>
      </w:r>
      <w:r w:rsidR="00E975A0">
        <w:t xml:space="preserve">are not proposing </w:t>
      </w:r>
      <w:r w:rsidR="00973103">
        <w:t>expanding</w:t>
      </w:r>
      <w:r w:rsidR="00E975A0">
        <w:t xml:space="preserve"> the safety net or implementing a new safety net </w:t>
      </w:r>
      <w:r w:rsidR="00973103">
        <w:t xml:space="preserve">that addresses year on year falls in income. </w:t>
      </w:r>
      <w:r w:rsidR="000A1B8A">
        <w:t>Reform to other system design elements may contribute to</w:t>
      </w:r>
      <w:r w:rsidR="007F1BD4">
        <w:t xml:space="preserve"> reducing the volatility in income that occurs on a year to year basis</w:t>
      </w:r>
      <w:r w:rsidR="000A1B8A">
        <w:t>. For example, the Government has co</w:t>
      </w:r>
      <w:r w:rsidR="005E24B7">
        <w:t xml:space="preserve">mmitted to tackling the risk posed by </w:t>
      </w:r>
      <w:r w:rsidR="000A1B8A">
        <w:t>appeals</w:t>
      </w:r>
      <w:r w:rsidR="005E24B7">
        <w:t xml:space="preserve"> to local authorities</w:t>
      </w:r>
      <w:r w:rsidR="000A1B8A">
        <w:t xml:space="preserve"> as part of </w:t>
      </w:r>
      <w:r w:rsidR="007F1BD4">
        <w:t xml:space="preserve">reforms to the </w:t>
      </w:r>
      <w:r w:rsidR="005E24B7">
        <w:t>system. The impa</w:t>
      </w:r>
      <w:r w:rsidR="00F276A1">
        <w:t>ct of successful appeals and</w:t>
      </w:r>
      <w:r w:rsidR="005E24B7">
        <w:t xml:space="preserve"> local authority</w:t>
      </w:r>
      <w:r w:rsidR="00F872A1">
        <w:t xml:space="preserve"> behaviour around provisions set</w:t>
      </w:r>
      <w:r w:rsidR="005E24B7">
        <w:t xml:space="preserve"> aside for appe</w:t>
      </w:r>
      <w:r w:rsidR="00F872A1">
        <w:t>als are important drivers in annual volatility in income. A</w:t>
      </w:r>
      <w:r w:rsidR="005E24B7">
        <w:t xml:space="preserve"> technical paper</w:t>
      </w:r>
      <w:r w:rsidR="00F872A1">
        <w:t xml:space="preserve"> on appeals</w:t>
      </w:r>
      <w:r w:rsidR="005E24B7">
        <w:t xml:space="preserve"> will be brought to</w:t>
      </w:r>
      <w:r w:rsidR="00F872A1">
        <w:t xml:space="preserve"> the Wor</w:t>
      </w:r>
      <w:r w:rsidR="003772FB">
        <w:t>king Group in April 2018.</w:t>
      </w:r>
    </w:p>
    <w:p w14:paraId="6A406255" w14:textId="77777777" w:rsidR="007F1BD4" w:rsidRDefault="00BC1935" w:rsidP="007F1BD4">
      <w:pPr>
        <w:spacing w:after="240"/>
        <w:ind w:left="720" w:hanging="720"/>
      </w:pPr>
      <w:r>
        <w:t>6</w:t>
      </w:r>
      <w:r w:rsidR="007F1BD4">
        <w:t>.5</w:t>
      </w:r>
      <w:r w:rsidR="00973103">
        <w:t xml:space="preserve"> </w:t>
      </w:r>
      <w:r w:rsidR="00973103">
        <w:tab/>
      </w:r>
      <w:r w:rsidR="007F1BD4">
        <w:t>It is therefore propos</w:t>
      </w:r>
      <w:r w:rsidR="005E24B7">
        <w:t>ed that the safety net cont</w:t>
      </w:r>
      <w:r w:rsidR="00F276A1">
        <w:t>inues to operate a</w:t>
      </w:r>
      <w:r w:rsidR="005E24B7">
        <w:t>s</w:t>
      </w:r>
      <w:r w:rsidR="00F276A1">
        <w:t xml:space="preserve"> it currently does,</w:t>
      </w:r>
      <w:r w:rsidR="005E24B7">
        <w:t xml:space="preserve"> a</w:t>
      </w:r>
      <w:r w:rsidR="003772FB">
        <w:t>s a</w:t>
      </w:r>
      <w:r w:rsidR="005E24B7">
        <w:t xml:space="preserve"> ‘backstop’ to ensure that the local authority funding doe</w:t>
      </w:r>
      <w:r w:rsidR="00F276A1">
        <w:t xml:space="preserve">s not drop below a certain proportion of baseline funding level in any given year. </w:t>
      </w:r>
      <w:r w:rsidR="00E975A0">
        <w:t>However</w:t>
      </w:r>
      <w:r w:rsidR="00973103">
        <w:t xml:space="preserve"> we will keep </w:t>
      </w:r>
      <w:r w:rsidR="00F276A1">
        <w:t xml:space="preserve">possible </w:t>
      </w:r>
      <w:r w:rsidR="00973103">
        <w:t>reform of the</w:t>
      </w:r>
      <w:r w:rsidR="00F276A1">
        <w:t xml:space="preserve"> function of the</w:t>
      </w:r>
      <w:r w:rsidR="003772FB">
        <w:t xml:space="preserve"> safety net</w:t>
      </w:r>
      <w:r w:rsidR="00973103">
        <w:t xml:space="preserve"> open as a possibility until the full package of refo</w:t>
      </w:r>
      <w:r w:rsidR="00F276A1">
        <w:t>rm measures</w:t>
      </w:r>
      <w:r w:rsidR="003772FB">
        <w:t xml:space="preserve"> is established.</w:t>
      </w:r>
      <w:r w:rsidR="00F276A1">
        <w:t xml:space="preserve"> </w:t>
      </w:r>
    </w:p>
    <w:p w14:paraId="43093D3C" w14:textId="77777777" w:rsidR="00876BF7" w:rsidRDefault="00876BF7" w:rsidP="00A11D2F">
      <w:pPr>
        <w:spacing w:after="600"/>
        <w:ind w:left="1440" w:hanging="1440"/>
        <w:rPr>
          <w:b/>
        </w:rPr>
      </w:pPr>
      <w:r>
        <w:rPr>
          <w:b/>
        </w:rPr>
        <w:lastRenderedPageBreak/>
        <w:t xml:space="preserve">TP2 </w:t>
      </w:r>
      <w:r w:rsidR="003143BE" w:rsidRPr="003143BE">
        <w:rPr>
          <w:b/>
        </w:rPr>
        <w:t>Q</w:t>
      </w:r>
      <w:r w:rsidR="009C083E">
        <w:rPr>
          <w:b/>
        </w:rPr>
        <w:t>5</w:t>
      </w:r>
      <w:r w:rsidR="007F0BC4">
        <w:rPr>
          <w:b/>
        </w:rPr>
        <w:t>:</w:t>
      </w:r>
      <w:r w:rsidR="007F0BC4">
        <w:rPr>
          <w:b/>
        </w:rPr>
        <w:tab/>
      </w:r>
      <w:r w:rsidR="004407F7">
        <w:rPr>
          <w:b/>
        </w:rPr>
        <w:t xml:space="preserve">Do you think </w:t>
      </w:r>
      <w:r w:rsidR="003143BE" w:rsidRPr="003143BE">
        <w:rPr>
          <w:b/>
        </w:rPr>
        <w:t>that the safety net sh</w:t>
      </w:r>
      <w:r w:rsidR="00016CC5">
        <w:rPr>
          <w:b/>
        </w:rPr>
        <w:t>ould remain a guarantee that</w:t>
      </w:r>
      <w:r w:rsidR="003143BE" w:rsidRPr="003143BE">
        <w:rPr>
          <w:b/>
        </w:rPr>
        <w:t xml:space="preserve"> in</w:t>
      </w:r>
      <w:r w:rsidR="00016CC5">
        <w:rPr>
          <w:b/>
        </w:rPr>
        <w:t xml:space="preserve">come </w:t>
      </w:r>
      <w:r w:rsidR="003143BE" w:rsidRPr="003143BE">
        <w:rPr>
          <w:b/>
        </w:rPr>
        <w:t>doesn’t fall below a proportion of baseline funding level?</w:t>
      </w:r>
    </w:p>
    <w:p w14:paraId="547EF5EC" w14:textId="77777777" w:rsidR="007B25F9" w:rsidRPr="00A11D2F" w:rsidRDefault="007B25F9" w:rsidP="00A11D2F">
      <w:pPr>
        <w:spacing w:after="240"/>
        <w:ind w:left="1440" w:hanging="1440"/>
        <w:rPr>
          <w:b/>
        </w:rPr>
      </w:pPr>
      <w:r>
        <w:rPr>
          <w:sz w:val="36"/>
          <w:szCs w:val="36"/>
        </w:rPr>
        <w:t xml:space="preserve">The level </w:t>
      </w:r>
      <w:r w:rsidRPr="00210185">
        <w:rPr>
          <w:sz w:val="36"/>
          <w:szCs w:val="36"/>
        </w:rPr>
        <w:t>of the safety net</w:t>
      </w:r>
    </w:p>
    <w:p w14:paraId="25AD3162" w14:textId="77777777" w:rsidR="000A1B8A" w:rsidRDefault="00BC1935" w:rsidP="00A11D2F">
      <w:pPr>
        <w:spacing w:after="240"/>
        <w:ind w:left="720" w:hanging="720"/>
      </w:pPr>
      <w:r>
        <w:t>6.6</w:t>
      </w:r>
      <w:r w:rsidR="000A1B8A">
        <w:t xml:space="preserve"> </w:t>
      </w:r>
      <w:r w:rsidR="000A1B8A">
        <w:tab/>
        <w:t xml:space="preserve">The Government’s 2017 </w:t>
      </w:r>
      <w:r w:rsidR="00C00209" w:rsidRPr="00A75E77">
        <w:t>consultation on</w:t>
      </w:r>
      <w:r w:rsidR="000A1B8A">
        <w:t xml:space="preserve"> </w:t>
      </w:r>
      <w:r w:rsidR="00C00209" w:rsidRPr="00A75E77">
        <w:t>100% business rates retention</w:t>
      </w:r>
      <w:r w:rsidR="00016CC5">
        <w:t xml:space="preserve"> stated that the Government expects to raise the safety net threshold for the 100% Business Rates Retention system, to reflect the increased proportion of lo</w:t>
      </w:r>
      <w:r w:rsidR="003772FB">
        <w:t>cal government funding at stake</w:t>
      </w:r>
      <w:r w:rsidR="00016CC5">
        <w:t>. Those areas piloting 100% business rates retention are piloting a safety net set at 97% of baseline funding levels.</w:t>
      </w:r>
    </w:p>
    <w:p w14:paraId="004C3D7E" w14:textId="77777777" w:rsidR="00A765CD" w:rsidRDefault="00BC1935" w:rsidP="00A11D2F">
      <w:pPr>
        <w:spacing w:after="240"/>
        <w:ind w:left="720" w:hanging="720"/>
      </w:pPr>
      <w:r>
        <w:t>6.7</w:t>
      </w:r>
      <w:r w:rsidR="000A1B8A">
        <w:t xml:space="preserve"> </w:t>
      </w:r>
      <w:r w:rsidR="000A1B8A">
        <w:tab/>
      </w:r>
      <w:r w:rsidR="00C00209" w:rsidRPr="00A75E77">
        <w:t>Th</w:t>
      </w:r>
      <w:r w:rsidR="00016CC5">
        <w:t xml:space="preserve">e sector was broadly in support of the principle put forward </w:t>
      </w:r>
      <w:r w:rsidR="000A1B8A">
        <w:t>in the consultation</w:t>
      </w:r>
      <w:r w:rsidR="00C00209" w:rsidRPr="00A75E77">
        <w:t xml:space="preserve">, </w:t>
      </w:r>
      <w:r w:rsidR="00B04206">
        <w:t xml:space="preserve">with most local authorities </w:t>
      </w:r>
      <w:r w:rsidR="00C00209" w:rsidRPr="00A75E77">
        <w:t xml:space="preserve">specifying </w:t>
      </w:r>
      <w:r w:rsidR="00B04206">
        <w:t xml:space="preserve">that a safety </w:t>
      </w:r>
      <w:r w:rsidR="00C00209" w:rsidRPr="00A75E77">
        <w:t xml:space="preserve">net of between 95% and 100% was appropriate as </w:t>
      </w:r>
      <w:r w:rsidR="00B04206">
        <w:t xml:space="preserve">it protected local authority income from dipping too far </w:t>
      </w:r>
      <w:r w:rsidR="00C00209" w:rsidRPr="00A75E77">
        <w:t>below baseline funding levels whilst still retaining some element of risk in line with the</w:t>
      </w:r>
      <w:r w:rsidR="003D351D">
        <w:t xml:space="preserve"> overall aims of the</w:t>
      </w:r>
      <w:r w:rsidR="00016CC5">
        <w:t xml:space="preserve"> business rates retention </w:t>
      </w:r>
      <w:r w:rsidR="003D351D">
        <w:t>system.</w:t>
      </w:r>
    </w:p>
    <w:p w14:paraId="07DFC9CB" w14:textId="68C870CD" w:rsidR="003772FB" w:rsidRDefault="00BC1935" w:rsidP="00A11D2F">
      <w:pPr>
        <w:spacing w:after="240"/>
        <w:ind w:left="720" w:hanging="720"/>
      </w:pPr>
      <w:r>
        <w:t>6.8</w:t>
      </w:r>
      <w:r w:rsidR="003772FB">
        <w:t xml:space="preserve"> </w:t>
      </w:r>
      <w:r w:rsidR="003772FB">
        <w:tab/>
        <w:t>We are open to exploring whether the level of the safety net should</w:t>
      </w:r>
      <w:r w:rsidR="00491C77">
        <w:t xml:space="preserve"> </w:t>
      </w:r>
      <w:r w:rsidR="00575207">
        <w:t>vary</w:t>
      </w:r>
      <w:r w:rsidR="009D57F5">
        <w:t xml:space="preserve"> </w:t>
      </w:r>
      <w:r w:rsidR="003772FB">
        <w:t xml:space="preserve">for different types of local authority. </w:t>
      </w:r>
      <w:r w:rsidR="00491C77">
        <w:t xml:space="preserve"> A key question is whether tolerance of risk to the level of funding for a service should vary for different services. </w:t>
      </w:r>
      <w:r w:rsidR="003772FB">
        <w:t xml:space="preserve">As noted in the previous section of this paper, levels of gearing set through the tier split ensure that county councils do not receive safety net payments. This was done to protect funding for adult social care and children’s social care. The same level of protection is not provided to all unitary </w:t>
      </w:r>
      <w:r w:rsidR="00491C77">
        <w:t>authorities that deliver the same services as county councils.</w:t>
      </w:r>
    </w:p>
    <w:p w14:paraId="2F4D1B02" w14:textId="77777777" w:rsidR="003772FB" w:rsidRDefault="00BC1935" w:rsidP="00A11D2F">
      <w:pPr>
        <w:spacing w:after="240"/>
        <w:ind w:left="720" w:hanging="720"/>
      </w:pPr>
      <w:r>
        <w:t>6.9</w:t>
      </w:r>
      <w:r w:rsidR="003772FB">
        <w:tab/>
        <w:t xml:space="preserve">One option </w:t>
      </w:r>
      <w:r w:rsidR="00491C77">
        <w:t>to provide a higher level of protection to all local authorities that deliver demand-led services is to set a higher safety net level for those local authorities delivering such services.</w:t>
      </w:r>
    </w:p>
    <w:p w14:paraId="3C11EEAA" w14:textId="77777777" w:rsidR="009C083E" w:rsidRDefault="00BC1935" w:rsidP="00A11D2F">
      <w:pPr>
        <w:spacing w:after="240"/>
        <w:ind w:left="720" w:hanging="720"/>
      </w:pPr>
      <w:r>
        <w:t>6.10</w:t>
      </w:r>
      <w:r w:rsidR="000A1B8A">
        <w:t xml:space="preserve"> </w:t>
      </w:r>
      <w:r w:rsidR="000A1B8A">
        <w:tab/>
        <w:t>We recognise that determining the level of the safety net at this point is not possible as the Working Group have yet to consider</w:t>
      </w:r>
      <w:r w:rsidR="009C083E">
        <w:t xml:space="preserve"> proposals for system design elements that will contribute to the overall level of risk local authorities will carry under the </w:t>
      </w:r>
      <w:r w:rsidR="007C0BF1">
        <w:t>new system. Based on the principles outlined previously, a</w:t>
      </w:r>
      <w:r w:rsidR="005E24B7">
        <w:t xml:space="preserve"> worki</w:t>
      </w:r>
      <w:r w:rsidR="00F872A1">
        <w:t>ng presumption</w:t>
      </w:r>
      <w:r w:rsidR="007C0BF1">
        <w:t xml:space="preserve"> at this point is that the </w:t>
      </w:r>
      <w:r w:rsidR="005E24B7">
        <w:t>safety net will be betw</w:t>
      </w:r>
      <w:r w:rsidR="007C0BF1">
        <w:t>een 92.5% and 97% when local authorities move to 75% business rates retention.</w:t>
      </w:r>
    </w:p>
    <w:p w14:paraId="16FDBD46" w14:textId="77777777" w:rsidR="006A2B96" w:rsidRDefault="00876BF7" w:rsidP="00876BF7">
      <w:pPr>
        <w:spacing w:after="240"/>
        <w:ind w:left="1440" w:hanging="1440"/>
        <w:rPr>
          <w:b/>
        </w:rPr>
      </w:pPr>
      <w:r>
        <w:rPr>
          <w:b/>
        </w:rPr>
        <w:t xml:space="preserve">TP2 </w:t>
      </w:r>
      <w:r w:rsidR="00405A93">
        <w:rPr>
          <w:b/>
        </w:rPr>
        <w:t>Q6</w:t>
      </w:r>
      <w:r w:rsidR="005E24B7">
        <w:rPr>
          <w:b/>
        </w:rPr>
        <w:t xml:space="preserve">: </w:t>
      </w:r>
      <w:r w:rsidR="007F0BC4">
        <w:rPr>
          <w:b/>
        </w:rPr>
        <w:tab/>
      </w:r>
      <w:r w:rsidR="008A1D48">
        <w:rPr>
          <w:b/>
        </w:rPr>
        <w:t>D</w:t>
      </w:r>
      <w:r w:rsidR="00222582">
        <w:rPr>
          <w:b/>
        </w:rPr>
        <w:t xml:space="preserve">o you agree that the </w:t>
      </w:r>
      <w:r w:rsidR="008A1D48">
        <w:rPr>
          <w:b/>
        </w:rPr>
        <w:t xml:space="preserve">final safety net level should </w:t>
      </w:r>
      <w:r w:rsidR="00016CC5">
        <w:rPr>
          <w:b/>
        </w:rPr>
        <w:t xml:space="preserve">only </w:t>
      </w:r>
      <w:r w:rsidR="008A1D48">
        <w:rPr>
          <w:b/>
        </w:rPr>
        <w:t>be determined once the full package</w:t>
      </w:r>
      <w:r w:rsidR="006A2B96">
        <w:rPr>
          <w:b/>
        </w:rPr>
        <w:t xml:space="preserve"> of reforms </w:t>
      </w:r>
      <w:r w:rsidR="008A1D48">
        <w:rPr>
          <w:b/>
        </w:rPr>
        <w:t>are known?</w:t>
      </w:r>
    </w:p>
    <w:p w14:paraId="1F52E991" w14:textId="77777777" w:rsidR="00BC1935" w:rsidRPr="00876BF7" w:rsidRDefault="00876BF7" w:rsidP="00A11D2F">
      <w:pPr>
        <w:spacing w:after="600"/>
        <w:ind w:left="1440" w:hanging="1440"/>
        <w:rPr>
          <w:b/>
        </w:rPr>
      </w:pPr>
      <w:r>
        <w:rPr>
          <w:b/>
        </w:rPr>
        <w:t xml:space="preserve">TP2 </w:t>
      </w:r>
      <w:r w:rsidR="00405A93">
        <w:rPr>
          <w:b/>
        </w:rPr>
        <w:t>Q7:</w:t>
      </w:r>
      <w:r w:rsidR="00405A93" w:rsidRPr="00405A93">
        <w:rPr>
          <w:b/>
        </w:rPr>
        <w:t xml:space="preserve"> </w:t>
      </w:r>
      <w:r w:rsidR="00405A93">
        <w:rPr>
          <w:b/>
        </w:rPr>
        <w:tab/>
        <w:t>What are your views on whether there should be a higher safety net for local authorities that deliver upper tier functions?</w:t>
      </w:r>
    </w:p>
    <w:p w14:paraId="4AD72FEC" w14:textId="77777777" w:rsidR="00B04206" w:rsidRPr="006A2B96" w:rsidRDefault="00B04206" w:rsidP="00A07240">
      <w:pPr>
        <w:spacing w:after="240"/>
        <w:ind w:left="1440" w:hanging="1440"/>
        <w:rPr>
          <w:b/>
        </w:rPr>
      </w:pPr>
      <w:r w:rsidRPr="00210185">
        <w:rPr>
          <w:rFonts w:eastAsiaTheme="majorEastAsia"/>
          <w:bCs/>
          <w:sz w:val="36"/>
          <w:szCs w:val="36"/>
        </w:rPr>
        <w:lastRenderedPageBreak/>
        <w:t>Funding the safety net</w:t>
      </w:r>
    </w:p>
    <w:p w14:paraId="3C565F2E" w14:textId="6C9C5710" w:rsidR="00222582" w:rsidRDefault="00BC1935" w:rsidP="00A11D2F">
      <w:pPr>
        <w:autoSpaceDE w:val="0"/>
        <w:autoSpaceDN w:val="0"/>
        <w:adjustRightInd w:val="0"/>
        <w:spacing w:after="240"/>
        <w:ind w:left="720" w:hanging="720"/>
      </w:pPr>
      <w:r>
        <w:t>6.11</w:t>
      </w:r>
      <w:r w:rsidR="00222582">
        <w:t xml:space="preserve"> </w:t>
      </w:r>
      <w:r w:rsidR="00222582">
        <w:tab/>
        <w:t>There are</w:t>
      </w:r>
      <w:r w:rsidR="007C0BF1">
        <w:t xml:space="preserve"> a</w:t>
      </w:r>
      <w:r w:rsidR="00222582">
        <w:t xml:space="preserve"> limited number of op</w:t>
      </w:r>
      <w:r w:rsidR="00F872A1">
        <w:t xml:space="preserve">tions through which any future </w:t>
      </w:r>
      <w:r w:rsidR="00222582">
        <w:t>safety net can be funded. Three have</w:t>
      </w:r>
      <w:r w:rsidR="005E24B7">
        <w:t xml:space="preserve"> been discussed </w:t>
      </w:r>
      <w:r w:rsidR="00222582">
        <w:t>at the system design working group. These will be taken in turn</w:t>
      </w:r>
      <w:r w:rsidR="005E24B7">
        <w:t xml:space="preserve"> below</w:t>
      </w:r>
      <w:r w:rsidR="00222582">
        <w:t xml:space="preserve"> and the viability o</w:t>
      </w:r>
      <w:r w:rsidR="005E24B7">
        <w:t>f their funding the</w:t>
      </w:r>
      <w:r w:rsidR="007C0BF1">
        <w:t xml:space="preserve"> future</w:t>
      </w:r>
      <w:r w:rsidR="005E24B7">
        <w:t xml:space="preserve"> safety net outlined for the Working Group’s consideration</w:t>
      </w:r>
      <w:r w:rsidR="007C0BF1">
        <w:t>.</w:t>
      </w:r>
    </w:p>
    <w:p w14:paraId="588E3782" w14:textId="54B24F29" w:rsidR="00E6383A" w:rsidRDefault="00BC1935" w:rsidP="00A11D2F">
      <w:pPr>
        <w:autoSpaceDE w:val="0"/>
        <w:autoSpaceDN w:val="0"/>
        <w:adjustRightInd w:val="0"/>
        <w:spacing w:after="240"/>
        <w:ind w:left="720" w:hanging="720"/>
      </w:pPr>
      <w:r>
        <w:t>6.12</w:t>
      </w:r>
      <w:r w:rsidR="00222582">
        <w:t xml:space="preserve"> </w:t>
      </w:r>
      <w:r w:rsidR="00222582">
        <w:tab/>
      </w:r>
      <w:r w:rsidR="00222582">
        <w:rPr>
          <w:b/>
        </w:rPr>
        <w:t xml:space="preserve">Central List income. </w:t>
      </w:r>
      <w:r w:rsidR="005E24B7">
        <w:t xml:space="preserve"> T</w:t>
      </w:r>
      <w:r w:rsidR="00222582">
        <w:t xml:space="preserve">he </w:t>
      </w:r>
      <w:r w:rsidR="002053E4">
        <w:t>Working</w:t>
      </w:r>
      <w:r w:rsidR="00222582">
        <w:t xml:space="preserve"> Group and </w:t>
      </w:r>
      <w:r w:rsidR="002053E4">
        <w:t>representations</w:t>
      </w:r>
      <w:r w:rsidR="00222582">
        <w:t xml:space="preserve"> received through</w:t>
      </w:r>
      <w:r w:rsidR="002053E4">
        <w:t xml:space="preserve"> consultations have</w:t>
      </w:r>
      <w:r w:rsidR="005E24B7">
        <w:t xml:space="preserve"> previously</w:t>
      </w:r>
      <w:r w:rsidR="002053E4">
        <w:t xml:space="preserve"> </w:t>
      </w:r>
      <w:r w:rsidR="00717327">
        <w:t>suggested that</w:t>
      </w:r>
      <w:r w:rsidR="005E24B7">
        <w:t xml:space="preserve"> the</w:t>
      </w:r>
      <w:r w:rsidR="00E6383A">
        <w:t xml:space="preserve"> business rates income from Central List hereditaments could be a source of funding for the safety net. </w:t>
      </w:r>
      <w:r w:rsidR="006F5C72" w:rsidRPr="006F5C72">
        <w:t>The central list income is currently returned to the Exchequer and, as per primary legislation, used indirectly to fund local government (e</w:t>
      </w:r>
      <w:r w:rsidR="006F5C72">
        <w:t>.</w:t>
      </w:r>
      <w:r w:rsidR="006F5C72" w:rsidRPr="006F5C72">
        <w:t>g</w:t>
      </w:r>
      <w:r w:rsidR="006F5C72">
        <w:t>.</w:t>
      </w:r>
      <w:r w:rsidR="006F5C72" w:rsidRPr="006F5C72">
        <w:t xml:space="preserve"> towards grants such as Dedicated Schools Grant). A decision to allocate Central List income directly to the safety net would therefore not be fiscally neutral unless considered at the point of a Spending Review. </w:t>
      </w:r>
    </w:p>
    <w:p w14:paraId="6F363D91" w14:textId="77777777" w:rsidR="006F5C72" w:rsidRDefault="006F5C72" w:rsidP="006F5C72">
      <w:pPr>
        <w:autoSpaceDE w:val="0"/>
        <w:autoSpaceDN w:val="0"/>
        <w:adjustRightInd w:val="0"/>
        <w:spacing w:after="53"/>
      </w:pPr>
    </w:p>
    <w:p w14:paraId="62F46139" w14:textId="3F2E5C29" w:rsidR="00717327" w:rsidRPr="005E24B7" w:rsidRDefault="00BC1935" w:rsidP="00A11D2F">
      <w:pPr>
        <w:spacing w:after="240"/>
        <w:ind w:left="720" w:hanging="720"/>
        <w:rPr>
          <w:u w:val="single"/>
        </w:rPr>
      </w:pPr>
      <w:r>
        <w:t>6.13</w:t>
      </w:r>
      <w:r w:rsidR="00E6383A">
        <w:tab/>
      </w:r>
      <w:r w:rsidR="00E6383A" w:rsidRPr="00717327">
        <w:rPr>
          <w:b/>
        </w:rPr>
        <w:t>Levy on growth</w:t>
      </w:r>
      <w:r w:rsidR="00717327">
        <w:t xml:space="preserve">. The current </w:t>
      </w:r>
      <w:r w:rsidR="00175515">
        <w:t>safety net is</w:t>
      </w:r>
      <w:r w:rsidR="00990048">
        <w:t xml:space="preserve"> partially funded through the levy on growth (between 2013/14 and 2016/17 safety net payments totalled £439 million and levy payments raised £227 million over the same period). </w:t>
      </w:r>
      <w:r w:rsidR="005E24B7" w:rsidRPr="00210185">
        <w:t>The</w:t>
      </w:r>
      <w:r w:rsidR="005E24B7">
        <w:t xml:space="preserve"> previous</w:t>
      </w:r>
      <w:r w:rsidR="005E24B7" w:rsidRPr="00210185">
        <w:t xml:space="preserve"> Government had announced that the current levy will be scrapped under 100% rates retention. If the government were to proceed with scrapping the levy, there is the question of how to fund a future safety net. </w:t>
      </w:r>
      <w:r w:rsidR="007C0BF1">
        <w:t xml:space="preserve">Through the 2017 consultation and working group discussions the sector have largely been supportive of </w:t>
      </w:r>
      <w:r w:rsidR="00530C68">
        <w:t>abolishing the levy.</w:t>
      </w:r>
      <w:r w:rsidR="0097029E">
        <w:t xml:space="preserve"> </w:t>
      </w:r>
    </w:p>
    <w:p w14:paraId="5442B03B" w14:textId="028EAF34" w:rsidR="00B04206" w:rsidRDefault="00BC1935" w:rsidP="00A11D2F">
      <w:pPr>
        <w:autoSpaceDE w:val="0"/>
        <w:autoSpaceDN w:val="0"/>
        <w:adjustRightInd w:val="0"/>
        <w:spacing w:after="240"/>
        <w:ind w:left="720" w:hanging="720"/>
      </w:pPr>
      <w:r>
        <w:t>6.14</w:t>
      </w:r>
      <w:r w:rsidR="00717327">
        <w:t xml:space="preserve"> </w:t>
      </w:r>
      <w:r w:rsidR="00717327">
        <w:tab/>
      </w:r>
      <w:r w:rsidR="00717327" w:rsidRPr="005E24B7">
        <w:rPr>
          <w:b/>
        </w:rPr>
        <w:t>Top-slice of total business rates</w:t>
      </w:r>
      <w:r w:rsidR="00717327">
        <w:t>.</w:t>
      </w:r>
      <w:r w:rsidR="005E24B7">
        <w:t xml:space="preserve"> The safety net is also currently funded through a to</w:t>
      </w:r>
      <w:r w:rsidR="007C0BF1">
        <w:t>p-slice of Revenue Support Grant, which is due to be replaced by retained business rates</w:t>
      </w:r>
      <w:r w:rsidR="00D140C0">
        <w:t xml:space="preserve"> when 75% business rates is</w:t>
      </w:r>
      <w:r w:rsidR="00A32399">
        <w:t xml:space="preserve"> introduced.</w:t>
      </w:r>
      <w:r w:rsidR="00D140C0">
        <w:t xml:space="preserve"> </w:t>
      </w:r>
      <w:r w:rsidR="007C0BF1">
        <w:t xml:space="preserve"> </w:t>
      </w:r>
      <w:r w:rsidR="00E47B55">
        <w:t xml:space="preserve">A top-slice could be used to fund the safety net once 75% business rates is implemented. However, this would need to be a top-slice of business rates income and not RSG. </w:t>
      </w:r>
      <w:r w:rsidR="005E24B7">
        <w:t xml:space="preserve">A larger proportion of the safety net will need to be funded through this route if the levy </w:t>
      </w:r>
      <w:r w:rsidR="00924891">
        <w:t xml:space="preserve">is to be scrapped or reformed in a way that it only is applicable to ‘exceptional growth’(see questions below </w:t>
      </w:r>
      <w:r w:rsidR="00E47B55">
        <w:t>in section 7</w:t>
      </w:r>
      <w:r w:rsidR="00924891">
        <w:t xml:space="preserve">). This will have a result of shifting funding of the safety net from being funded by those local authorities who are experiencing growth (the winners) to all local authorities (everyone). </w:t>
      </w:r>
    </w:p>
    <w:p w14:paraId="1D6FB030" w14:textId="36E4151D" w:rsidR="00924891" w:rsidRDefault="00885DF8" w:rsidP="00A11D2F">
      <w:pPr>
        <w:autoSpaceDE w:val="0"/>
        <w:autoSpaceDN w:val="0"/>
        <w:adjustRightInd w:val="0"/>
        <w:spacing w:after="240"/>
        <w:ind w:left="720" w:hanging="720"/>
      </w:pPr>
      <w:r>
        <w:t>6.15</w:t>
      </w:r>
      <w:r w:rsidR="00924891">
        <w:t xml:space="preserve"> </w:t>
      </w:r>
      <w:r w:rsidR="00924891">
        <w:tab/>
        <w:t xml:space="preserve">Shifting funding </w:t>
      </w:r>
      <w:r w:rsidR="00613081">
        <w:t xml:space="preserve">of </w:t>
      </w:r>
      <w:r w:rsidR="00924891">
        <w:t>the safety net from a levy on growth</w:t>
      </w:r>
      <w:r w:rsidR="00A32399">
        <w:t xml:space="preserve"> and a top –slice of Revenue Support Grant</w:t>
      </w:r>
      <w:r w:rsidR="00924891">
        <w:t xml:space="preserve"> to a top-slice</w:t>
      </w:r>
      <w:r w:rsidR="00A32399">
        <w:t xml:space="preserve"> of business rates income</w:t>
      </w:r>
      <w:r w:rsidR="00924891">
        <w:t xml:space="preserve"> was positively received by the sector through the further consultation on business rates retention, with many local authorities commenting that this was the ‘fairest’ way of funding the safety net.</w:t>
      </w:r>
      <w:r w:rsidR="00D140C0">
        <w:t xml:space="preserve"> Such a move would shift funding of the safety </w:t>
      </w:r>
      <w:r w:rsidR="003D351D">
        <w:t>net from those that are gaining</w:t>
      </w:r>
      <w:r w:rsidR="00D140C0">
        <w:t xml:space="preserve"> </w:t>
      </w:r>
      <w:r w:rsidR="007607CB">
        <w:t>f</w:t>
      </w:r>
      <w:r w:rsidR="00D140C0">
        <w:t>rom the business rates retention to</w:t>
      </w:r>
      <w:r w:rsidR="003D351D">
        <w:t xml:space="preserve"> all local authorities effectively paying for the safety net.</w:t>
      </w:r>
    </w:p>
    <w:p w14:paraId="60C6D25D" w14:textId="77777777" w:rsidR="00924891" w:rsidRDefault="00885DF8" w:rsidP="00A11D2F">
      <w:pPr>
        <w:autoSpaceDE w:val="0"/>
        <w:autoSpaceDN w:val="0"/>
        <w:adjustRightInd w:val="0"/>
        <w:spacing w:after="240"/>
        <w:ind w:left="720" w:hanging="720"/>
      </w:pPr>
      <w:r>
        <w:lastRenderedPageBreak/>
        <w:t>6.16</w:t>
      </w:r>
      <w:r w:rsidR="00924891">
        <w:t xml:space="preserve"> </w:t>
      </w:r>
      <w:r w:rsidR="00924891">
        <w:tab/>
        <w:t xml:space="preserve">If the Working Group agree that the future safety net should be funded through a top-slice a key piece of implementation work will need to be undertaken to understand how best </w:t>
      </w:r>
      <w:r w:rsidR="0097029E">
        <w:t xml:space="preserve">to </w:t>
      </w:r>
      <w:r w:rsidR="00924891">
        <w:t>calculate the level</w:t>
      </w:r>
      <w:r w:rsidR="00F872A1">
        <w:t xml:space="preserve"> of top-slice needed</w:t>
      </w:r>
      <w:r w:rsidR="00924891">
        <w:t>.</w:t>
      </w:r>
    </w:p>
    <w:p w14:paraId="46812B14" w14:textId="77777777" w:rsidR="00A07240" w:rsidRDefault="00A07240" w:rsidP="00A11D2F">
      <w:pPr>
        <w:keepNext/>
        <w:keepLines/>
        <w:spacing w:after="600" w:line="240" w:lineRule="auto"/>
        <w:ind w:left="1440" w:hanging="1440"/>
        <w:outlineLvl w:val="0"/>
        <w:rPr>
          <w:rFonts w:eastAsiaTheme="majorEastAsia"/>
          <w:bCs/>
          <w:szCs w:val="28"/>
        </w:rPr>
      </w:pPr>
      <w:r>
        <w:rPr>
          <w:rFonts w:eastAsiaTheme="majorEastAsia"/>
          <w:b/>
          <w:bCs/>
          <w:szCs w:val="28"/>
        </w:rPr>
        <w:t xml:space="preserve">TP2 </w:t>
      </w:r>
      <w:r w:rsidR="00405A93">
        <w:rPr>
          <w:rFonts w:eastAsiaTheme="majorEastAsia"/>
          <w:b/>
          <w:bCs/>
          <w:szCs w:val="28"/>
        </w:rPr>
        <w:t>Q8</w:t>
      </w:r>
      <w:r w:rsidR="006A2B96">
        <w:rPr>
          <w:rFonts w:eastAsiaTheme="majorEastAsia"/>
          <w:b/>
          <w:bCs/>
          <w:szCs w:val="28"/>
        </w:rPr>
        <w:t>:</w:t>
      </w:r>
      <w:r w:rsidR="006A2B96">
        <w:rPr>
          <w:rFonts w:eastAsiaTheme="majorEastAsia"/>
          <w:b/>
          <w:bCs/>
          <w:szCs w:val="28"/>
        </w:rPr>
        <w:tab/>
      </w:r>
      <w:r w:rsidR="00444804">
        <w:rPr>
          <w:rFonts w:eastAsiaTheme="majorEastAsia"/>
          <w:b/>
          <w:bCs/>
          <w:szCs w:val="28"/>
        </w:rPr>
        <w:t>Do you think</w:t>
      </w:r>
      <w:r w:rsidR="00222582">
        <w:rPr>
          <w:rFonts w:eastAsiaTheme="majorEastAsia"/>
          <w:b/>
          <w:bCs/>
          <w:szCs w:val="28"/>
        </w:rPr>
        <w:t xml:space="preserve"> that a top slice</w:t>
      </w:r>
      <w:r w:rsidR="00E6383A">
        <w:rPr>
          <w:rFonts w:eastAsiaTheme="majorEastAsia"/>
          <w:b/>
          <w:bCs/>
          <w:szCs w:val="28"/>
        </w:rPr>
        <w:t xml:space="preserve"> of </w:t>
      </w:r>
      <w:r w:rsidR="00717327">
        <w:rPr>
          <w:rFonts w:eastAsiaTheme="majorEastAsia"/>
          <w:b/>
          <w:bCs/>
          <w:szCs w:val="28"/>
        </w:rPr>
        <w:t xml:space="preserve">total </w:t>
      </w:r>
      <w:r w:rsidR="00E6383A">
        <w:rPr>
          <w:rFonts w:eastAsiaTheme="majorEastAsia"/>
          <w:b/>
          <w:bCs/>
          <w:szCs w:val="28"/>
        </w:rPr>
        <w:t>busin</w:t>
      </w:r>
      <w:r w:rsidR="00717327">
        <w:rPr>
          <w:rFonts w:eastAsiaTheme="majorEastAsia"/>
          <w:b/>
          <w:bCs/>
          <w:szCs w:val="28"/>
        </w:rPr>
        <w:t>ess ra</w:t>
      </w:r>
      <w:r w:rsidR="006A2B96">
        <w:rPr>
          <w:rFonts w:eastAsiaTheme="majorEastAsia"/>
          <w:b/>
          <w:bCs/>
          <w:szCs w:val="28"/>
        </w:rPr>
        <w:t>t</w:t>
      </w:r>
      <w:r w:rsidR="00E6383A">
        <w:rPr>
          <w:rFonts w:eastAsiaTheme="majorEastAsia"/>
          <w:b/>
          <w:bCs/>
          <w:szCs w:val="28"/>
        </w:rPr>
        <w:t>es</w:t>
      </w:r>
      <w:r w:rsidR="00222582">
        <w:rPr>
          <w:rFonts w:eastAsiaTheme="majorEastAsia"/>
          <w:b/>
          <w:bCs/>
          <w:szCs w:val="28"/>
        </w:rPr>
        <w:t xml:space="preserve"> is the fairest</w:t>
      </w:r>
      <w:r w:rsidR="00717327">
        <w:rPr>
          <w:rFonts w:eastAsiaTheme="majorEastAsia"/>
          <w:b/>
          <w:bCs/>
          <w:szCs w:val="28"/>
        </w:rPr>
        <w:t xml:space="preserve"> </w:t>
      </w:r>
      <w:r w:rsidR="00990048">
        <w:rPr>
          <w:rFonts w:eastAsiaTheme="majorEastAsia"/>
          <w:b/>
          <w:bCs/>
          <w:szCs w:val="28"/>
        </w:rPr>
        <w:t xml:space="preserve">and most viable option to fund </w:t>
      </w:r>
      <w:r w:rsidR="00717327">
        <w:rPr>
          <w:rFonts w:eastAsiaTheme="majorEastAsia"/>
          <w:b/>
          <w:bCs/>
          <w:szCs w:val="28"/>
        </w:rPr>
        <w:t xml:space="preserve">future </w:t>
      </w:r>
      <w:r w:rsidR="00222582">
        <w:rPr>
          <w:rFonts w:eastAsiaTheme="majorEastAsia"/>
          <w:b/>
          <w:bCs/>
          <w:szCs w:val="28"/>
        </w:rPr>
        <w:t>safety net</w:t>
      </w:r>
      <w:r w:rsidR="00990048">
        <w:rPr>
          <w:rFonts w:eastAsiaTheme="majorEastAsia"/>
          <w:b/>
          <w:bCs/>
          <w:szCs w:val="28"/>
        </w:rPr>
        <w:t xml:space="preserve"> payments</w:t>
      </w:r>
      <w:r w:rsidR="00222582">
        <w:rPr>
          <w:rFonts w:eastAsiaTheme="majorEastAsia"/>
          <w:b/>
          <w:bCs/>
          <w:szCs w:val="28"/>
        </w:rPr>
        <w:t>?</w:t>
      </w:r>
    </w:p>
    <w:p w14:paraId="645E6A51" w14:textId="77777777" w:rsidR="00381BDB" w:rsidRPr="00A11D2F" w:rsidRDefault="00A17F5E" w:rsidP="00A11D2F">
      <w:pPr>
        <w:keepNext/>
        <w:keepLines/>
        <w:spacing w:after="240" w:line="240" w:lineRule="auto"/>
        <w:ind w:left="1440" w:hanging="1440"/>
        <w:outlineLvl w:val="0"/>
      </w:pPr>
      <w:r>
        <w:rPr>
          <w:sz w:val="36"/>
          <w:szCs w:val="36"/>
        </w:rPr>
        <w:t>The Levy on g</w:t>
      </w:r>
      <w:r w:rsidR="00381BDB" w:rsidRPr="00A75E77">
        <w:rPr>
          <w:sz w:val="36"/>
          <w:szCs w:val="36"/>
        </w:rPr>
        <w:t>rowth</w:t>
      </w:r>
    </w:p>
    <w:p w14:paraId="15218D48" w14:textId="249B5B37" w:rsidR="00D140C0" w:rsidRPr="00327202" w:rsidRDefault="00885DF8" w:rsidP="00A07240">
      <w:pPr>
        <w:spacing w:after="240" w:line="240" w:lineRule="auto"/>
        <w:ind w:left="567" w:hanging="567"/>
        <w:outlineLvl w:val="1"/>
        <w:rPr>
          <w:rFonts w:eastAsia="Times New Roman" w:cs="Times New Roman"/>
        </w:rPr>
      </w:pPr>
      <w:r>
        <w:t>7</w:t>
      </w:r>
      <w:r w:rsidR="00F1544D">
        <w:t>.1</w:t>
      </w:r>
      <w:r w:rsidR="00F1544D">
        <w:tab/>
      </w:r>
      <w:r w:rsidR="00D140C0" w:rsidRPr="00327202">
        <w:t xml:space="preserve">Under the current system, authorities </w:t>
      </w:r>
      <w:r w:rsidR="00D140C0" w:rsidRPr="00327202">
        <w:rPr>
          <w:rFonts w:eastAsia="Times New Roman" w:cs="Times New Roman"/>
        </w:rPr>
        <w:t xml:space="preserve">whose business rates baselines </w:t>
      </w:r>
      <w:r w:rsidR="001B7A58">
        <w:rPr>
          <w:rFonts w:eastAsia="Times New Roman" w:cs="Times New Roman"/>
        </w:rPr>
        <w:t>were</w:t>
      </w:r>
      <w:r w:rsidR="00D140C0" w:rsidRPr="00327202">
        <w:rPr>
          <w:rFonts w:eastAsia="Times New Roman" w:cs="Times New Roman"/>
        </w:rPr>
        <w:t xml:space="preserve"> above their baseline funding level at the point of setting tariffs and top ups </w:t>
      </w:r>
      <w:r w:rsidR="001B7A58">
        <w:rPr>
          <w:rFonts w:eastAsia="Times New Roman" w:cs="Times New Roman"/>
        </w:rPr>
        <w:t>(i.e. tariff authorities)</w:t>
      </w:r>
      <w:r w:rsidR="00D140C0" w:rsidRPr="00327202">
        <w:rPr>
          <w:rFonts w:eastAsia="Times New Roman" w:cs="Times New Roman"/>
        </w:rPr>
        <w:t xml:space="preserve"> are subject to</w:t>
      </w:r>
      <w:r w:rsidR="00D140C0" w:rsidRPr="00327202">
        <w:t xml:space="preserve"> t</w:t>
      </w:r>
      <w:r w:rsidR="00D140C0" w:rsidRPr="00327202">
        <w:rPr>
          <w:rFonts w:eastAsia="Times New Roman" w:cs="Times New Roman"/>
        </w:rPr>
        <w:t>he levy, which is capped at 50% of retained growth. In 2016/17 the levy was paid by 67 local authorities and 8 pools. The 67 authorities included 42 district councils and 18 unitary authorities.</w:t>
      </w:r>
    </w:p>
    <w:p w14:paraId="4335AD31" w14:textId="77777777" w:rsidR="00D140C0" w:rsidRPr="00327202" w:rsidRDefault="00885DF8" w:rsidP="00A07240">
      <w:pPr>
        <w:spacing w:after="240" w:line="240" w:lineRule="auto"/>
        <w:ind w:left="567" w:hanging="567"/>
        <w:outlineLvl w:val="1"/>
        <w:rPr>
          <w:rFonts w:eastAsia="Times New Roman" w:cs="Times New Roman"/>
        </w:rPr>
      </w:pPr>
      <w:r>
        <w:rPr>
          <w:rFonts w:eastAsia="Times New Roman" w:cs="Times New Roman"/>
        </w:rPr>
        <w:t>7</w:t>
      </w:r>
      <w:r w:rsidR="00D140C0">
        <w:rPr>
          <w:rFonts w:eastAsia="Times New Roman" w:cs="Times New Roman"/>
        </w:rPr>
        <w:t>.2</w:t>
      </w:r>
      <w:r w:rsidR="00D140C0" w:rsidRPr="00327202">
        <w:rPr>
          <w:rFonts w:eastAsia="Times New Roman" w:cs="Times New Roman"/>
        </w:rPr>
        <w:tab/>
        <w:t>As discussed in Chapter 5 of this paper, the levy is a significant source of funding for the safety net.</w:t>
      </w:r>
      <w:r w:rsidR="00D140C0">
        <w:rPr>
          <w:rFonts w:eastAsia="Times New Roman" w:cs="Times New Roman"/>
        </w:rPr>
        <w:t xml:space="preserve"> In 2016/17 it funded </w:t>
      </w:r>
      <w:r w:rsidR="0025209B" w:rsidRPr="0025209B">
        <w:rPr>
          <w:rFonts w:eastAsia="Times New Roman" w:cs="Times New Roman"/>
        </w:rPr>
        <w:t>51.7</w:t>
      </w:r>
      <w:r w:rsidR="00D140C0" w:rsidRPr="0025209B">
        <w:rPr>
          <w:rFonts w:eastAsia="Times New Roman" w:cs="Times New Roman"/>
        </w:rPr>
        <w:t>%</w:t>
      </w:r>
      <w:r w:rsidR="00D140C0">
        <w:rPr>
          <w:rFonts w:eastAsia="Times New Roman" w:cs="Times New Roman"/>
        </w:rPr>
        <w:t xml:space="preserve"> of safety net payments.</w:t>
      </w:r>
      <w:r w:rsidR="00D140C0" w:rsidRPr="00327202">
        <w:rPr>
          <w:rFonts w:eastAsia="Times New Roman" w:cs="Times New Roman"/>
        </w:rPr>
        <w:t xml:space="preserve"> It also functions within the current system to incentivise pooling as multiple authorities’ aggregate baseline funding level is significantly higher, causing the levy to be triggered at a higher point and therefore more growth to be retained across the pool.</w:t>
      </w:r>
      <w:r w:rsidR="00D140C0">
        <w:t xml:space="preserve"> </w:t>
      </w:r>
    </w:p>
    <w:p w14:paraId="7D4206D1" w14:textId="77777777" w:rsidR="00D140C0" w:rsidRDefault="00885DF8" w:rsidP="00A11D2F">
      <w:pPr>
        <w:spacing w:after="240" w:line="240" w:lineRule="auto"/>
        <w:ind w:left="567" w:hanging="567"/>
      </w:pPr>
      <w:r>
        <w:t>7</w:t>
      </w:r>
      <w:r w:rsidR="00D140C0">
        <w:t>.3</w:t>
      </w:r>
      <w:r w:rsidR="00D140C0">
        <w:tab/>
      </w:r>
      <w:r w:rsidR="00D140C0" w:rsidRPr="00327202">
        <w:t>In announcing the move to 100% rates retention, the previous Government promised to scrap levy payments. It was felt that this would ensure authorities were fairly rewarded for growing their business rates base. The move was widely supported by the sector and was a central feature of the Local Government Finance Bill.</w:t>
      </w:r>
    </w:p>
    <w:p w14:paraId="690C6DD8" w14:textId="77777777" w:rsidR="00D140C0" w:rsidRPr="00327202" w:rsidRDefault="00885DF8" w:rsidP="00A11D2F">
      <w:pPr>
        <w:spacing w:after="240" w:line="240" w:lineRule="auto"/>
        <w:ind w:left="567" w:hanging="567"/>
      </w:pPr>
      <w:r>
        <w:t>7</w:t>
      </w:r>
      <w:r w:rsidR="00D140C0">
        <w:t>.4</w:t>
      </w:r>
      <w:r w:rsidR="00D140C0">
        <w:tab/>
        <w:t>The levy cannot be abolished without primary legislation. Scrapping the levy will therefore be considered as part of a longer term programme of reform post 2020/21. However, improvement to its functionality as a mechanism could form part of the reform package when 75% business rates retention is introduced.</w:t>
      </w:r>
    </w:p>
    <w:p w14:paraId="1CDEE34B" w14:textId="77777777" w:rsidR="00D140C0" w:rsidRDefault="00885DF8" w:rsidP="00A11D2F">
      <w:pPr>
        <w:spacing w:after="240" w:line="240" w:lineRule="auto"/>
        <w:ind w:left="567" w:hanging="567"/>
      </w:pPr>
      <w:r>
        <w:t>7</w:t>
      </w:r>
      <w:r w:rsidR="00D140C0" w:rsidRPr="00327202">
        <w:t>.5</w:t>
      </w:r>
      <w:r w:rsidR="00D140C0" w:rsidRPr="00327202">
        <w:tab/>
      </w:r>
      <w:r w:rsidR="00D140C0">
        <w:t>T</w:t>
      </w:r>
      <w:r w:rsidR="00D140C0" w:rsidRPr="00327202">
        <w:t xml:space="preserve">he Systems Design Working Group has previously asked MHCLG to address excessive growth retention, especially where this growth is not fully a reflection of an authority’s promotion of their local economy, for example where apparent growth reflects a valuation error. </w:t>
      </w:r>
    </w:p>
    <w:p w14:paraId="2DC27656" w14:textId="77777777" w:rsidR="00D140C0" w:rsidRDefault="00885DF8" w:rsidP="00A11D2F">
      <w:pPr>
        <w:spacing w:after="240" w:line="240" w:lineRule="auto"/>
        <w:ind w:left="567" w:hanging="567"/>
      </w:pPr>
      <w:r>
        <w:t>7</w:t>
      </w:r>
      <w:r w:rsidR="00D140C0">
        <w:t>.6</w:t>
      </w:r>
      <w:r w:rsidR="00D140C0">
        <w:tab/>
        <w:t xml:space="preserve">It is possible that </w:t>
      </w:r>
      <w:r w:rsidR="00D140C0" w:rsidRPr="00327202">
        <w:t>the level at which the levy is set could be the appropria</w:t>
      </w:r>
      <w:r w:rsidR="00D140C0">
        <w:t>te mechanism with which to ensure</w:t>
      </w:r>
      <w:r w:rsidR="00D140C0" w:rsidRPr="00327202">
        <w:t xml:space="preserve"> that excessive growth retention does not distort the fairness of the system. There are, of course, other mechanisms of the system through which we could address excessive growth, most notably pooling. </w:t>
      </w:r>
    </w:p>
    <w:p w14:paraId="18427CAA" w14:textId="77777777" w:rsidR="00D140C0" w:rsidRPr="00327202" w:rsidRDefault="00885DF8" w:rsidP="00A11D2F">
      <w:pPr>
        <w:spacing w:after="240" w:line="240" w:lineRule="auto"/>
        <w:ind w:left="567" w:hanging="567"/>
      </w:pPr>
      <w:r>
        <w:t>7</w:t>
      </w:r>
      <w:r w:rsidR="00D140C0">
        <w:t>.7</w:t>
      </w:r>
      <w:r w:rsidR="00D140C0">
        <w:rPr>
          <w:color w:val="000000" w:themeColor="text1"/>
        </w:rPr>
        <w:t xml:space="preserve"> </w:t>
      </w:r>
      <w:r w:rsidR="00D140C0">
        <w:rPr>
          <w:color w:val="000000" w:themeColor="text1"/>
        </w:rPr>
        <w:tab/>
        <w:t>T</w:t>
      </w:r>
      <w:r w:rsidR="00D140C0" w:rsidRPr="00327202">
        <w:rPr>
          <w:color w:val="000000" w:themeColor="text1"/>
        </w:rPr>
        <w:t xml:space="preserve">he Local Government Finance Act 1988 </w:t>
      </w:r>
      <w:r w:rsidR="00990048">
        <w:rPr>
          <w:color w:val="000000" w:themeColor="text1"/>
        </w:rPr>
        <w:t xml:space="preserve">requires </w:t>
      </w:r>
      <w:r w:rsidR="00D140C0">
        <w:rPr>
          <w:color w:val="000000" w:themeColor="text1"/>
        </w:rPr>
        <w:t xml:space="preserve">the Secretary of State </w:t>
      </w:r>
      <w:r w:rsidR="00D140C0" w:rsidRPr="00327202">
        <w:rPr>
          <w:color w:val="000000" w:themeColor="text1"/>
        </w:rPr>
        <w:t xml:space="preserve">to calculate in relation to each authority whether it is required to make a levy payment for a year and the amount of such payment. </w:t>
      </w:r>
      <w:r w:rsidR="00D140C0">
        <w:rPr>
          <w:color w:val="000000" w:themeColor="text1"/>
        </w:rPr>
        <w:t>At the moment this power is used to cap gro</w:t>
      </w:r>
      <w:r w:rsidR="000D756D">
        <w:rPr>
          <w:color w:val="000000" w:themeColor="text1"/>
        </w:rPr>
        <w:t xml:space="preserve">wth at a level that resulted in 67 authorities (out of 239 </w:t>
      </w:r>
      <w:r w:rsidR="00D140C0">
        <w:rPr>
          <w:color w:val="000000" w:themeColor="text1"/>
        </w:rPr>
        <w:t>tariff authorities</w:t>
      </w:r>
      <w:r w:rsidR="000D756D">
        <w:rPr>
          <w:color w:val="000000" w:themeColor="text1"/>
        </w:rPr>
        <w:t>) and 8 pools</w:t>
      </w:r>
      <w:r w:rsidR="00D140C0">
        <w:rPr>
          <w:color w:val="000000" w:themeColor="text1"/>
        </w:rPr>
        <w:t xml:space="preserve"> making a levy payment in 2016/17. If it were deemed to be desirable, this cap could be raised to capture only excessive growth. Additionally, the percentage of growth falling due in these circumstances as a </w:t>
      </w:r>
      <w:r w:rsidR="00D140C0">
        <w:rPr>
          <w:color w:val="000000" w:themeColor="text1"/>
        </w:rPr>
        <w:lastRenderedPageBreak/>
        <w:t>levy payment could be adjusted, so that all excessive growth was removed from the system through the levy.</w:t>
      </w:r>
    </w:p>
    <w:p w14:paraId="49B53ACF" w14:textId="77777777" w:rsidR="00D140C0" w:rsidRPr="00327202" w:rsidRDefault="00D140C0" w:rsidP="00A11D2F">
      <w:pPr>
        <w:spacing w:after="240" w:line="240" w:lineRule="auto"/>
        <w:ind w:left="567" w:hanging="567"/>
      </w:pPr>
    </w:p>
    <w:p w14:paraId="489DE1C1" w14:textId="77777777" w:rsidR="00D140C0" w:rsidRPr="00327202" w:rsidRDefault="00885DF8" w:rsidP="00A11D2F">
      <w:pPr>
        <w:spacing w:after="240" w:line="240" w:lineRule="auto"/>
        <w:ind w:left="567" w:hanging="567"/>
      </w:pPr>
      <w:r>
        <w:t>7</w:t>
      </w:r>
      <w:r w:rsidR="00D140C0">
        <w:t>.8</w:t>
      </w:r>
      <w:r w:rsidR="00D140C0" w:rsidRPr="00327202">
        <w:tab/>
        <w:t>There are some existing policies which have an interaction with reform of the levy, including the Community B</w:t>
      </w:r>
      <w:r w:rsidR="000D756D">
        <w:t>enefit Fun</w:t>
      </w:r>
      <w:r w:rsidR="00444804">
        <w:t>d and incentives for renewable en</w:t>
      </w:r>
      <w:r w:rsidR="00D140C0" w:rsidRPr="00327202">
        <w:t xml:space="preserve">ergy. MHCLG will work with the policy owners to ensure that these and similar policies continue to function as intended.  </w:t>
      </w:r>
    </w:p>
    <w:p w14:paraId="6BEA78AF" w14:textId="77777777" w:rsidR="00D140C0" w:rsidRDefault="00A07240" w:rsidP="00A11D2F">
      <w:pPr>
        <w:spacing w:after="240" w:line="240" w:lineRule="auto"/>
        <w:ind w:left="1440" w:hanging="1440"/>
        <w:rPr>
          <w:b/>
        </w:rPr>
      </w:pPr>
      <w:r>
        <w:rPr>
          <w:b/>
        </w:rPr>
        <w:t xml:space="preserve">TP2 </w:t>
      </w:r>
      <w:r w:rsidR="00405A93">
        <w:rPr>
          <w:b/>
        </w:rPr>
        <w:t>Q9</w:t>
      </w:r>
      <w:r w:rsidR="00D140C0" w:rsidRPr="00327202">
        <w:rPr>
          <w:b/>
        </w:rPr>
        <w:t>:</w:t>
      </w:r>
      <w:r w:rsidR="00D140C0" w:rsidRPr="00327202">
        <w:rPr>
          <w:b/>
        </w:rPr>
        <w:tab/>
        <w:t>Is the levy an appropriate mechanism to address excessive growth within the system</w:t>
      </w:r>
      <w:r w:rsidR="00D140C0">
        <w:rPr>
          <w:b/>
        </w:rPr>
        <w:t xml:space="preserve"> upon moving to 75% business rates retention</w:t>
      </w:r>
      <w:r w:rsidR="00D140C0" w:rsidRPr="00327202">
        <w:rPr>
          <w:b/>
        </w:rPr>
        <w:t>?</w:t>
      </w:r>
    </w:p>
    <w:p w14:paraId="1D24CE08" w14:textId="77777777" w:rsidR="00D140C0" w:rsidRPr="00327202" w:rsidRDefault="00A07240" w:rsidP="00A11D2F">
      <w:pPr>
        <w:spacing w:after="240" w:line="240" w:lineRule="auto"/>
        <w:ind w:left="1440" w:hanging="1440"/>
        <w:rPr>
          <w:b/>
        </w:rPr>
      </w:pPr>
      <w:r>
        <w:rPr>
          <w:b/>
        </w:rPr>
        <w:t xml:space="preserve">TP2 </w:t>
      </w:r>
      <w:r w:rsidR="00405A93">
        <w:rPr>
          <w:b/>
        </w:rPr>
        <w:t>Q10</w:t>
      </w:r>
      <w:r w:rsidR="00D140C0">
        <w:rPr>
          <w:b/>
        </w:rPr>
        <w:t>:</w:t>
      </w:r>
      <w:r w:rsidR="00D140C0">
        <w:rPr>
          <w:b/>
        </w:rPr>
        <w:tab/>
        <w:t>Should future reform via primary legislation include consideration of scrapping the levy?</w:t>
      </w:r>
    </w:p>
    <w:p w14:paraId="2800D782" w14:textId="77777777" w:rsidR="0088098A" w:rsidRPr="0088098A" w:rsidRDefault="0088098A" w:rsidP="006A2B96">
      <w:pPr>
        <w:spacing w:after="600"/>
        <w:ind w:left="1440" w:hanging="1440"/>
        <w:rPr>
          <w:b/>
          <w:sz w:val="36"/>
          <w:szCs w:val="36"/>
        </w:rPr>
      </w:pPr>
    </w:p>
    <w:sectPr w:rsidR="0088098A" w:rsidRPr="0088098A" w:rsidSect="00193FF3">
      <w:headerReference w:type="even" r:id="rId13"/>
      <w:headerReference w:type="default" r:id="rId14"/>
      <w:footerReference w:type="even" r:id="rId15"/>
      <w:footerReference w:type="default" r:id="rId16"/>
      <w:headerReference w:type="first" r:id="rId17"/>
      <w:footerReference w:type="first" r:id="rId18"/>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AD05A1" w14:textId="77777777" w:rsidR="00A11D2F" w:rsidRDefault="00A11D2F" w:rsidP="00056850">
      <w:pPr>
        <w:spacing w:after="0" w:line="240" w:lineRule="auto"/>
      </w:pPr>
      <w:r>
        <w:separator/>
      </w:r>
    </w:p>
  </w:endnote>
  <w:endnote w:type="continuationSeparator" w:id="0">
    <w:p w14:paraId="461B642C" w14:textId="77777777" w:rsidR="00A11D2F" w:rsidRDefault="00A11D2F" w:rsidP="00056850">
      <w:pPr>
        <w:spacing w:after="0" w:line="240" w:lineRule="auto"/>
      </w:pPr>
      <w:r>
        <w:continuationSeparator/>
      </w:r>
    </w:p>
  </w:endnote>
  <w:endnote w:type="continuationNotice" w:id="1">
    <w:p w14:paraId="35A29274" w14:textId="77777777" w:rsidR="00A11D2F" w:rsidRDefault="00A11D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2E0E0" w14:textId="77777777" w:rsidR="00E94177" w:rsidRDefault="00E941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7197651"/>
      <w:docPartObj>
        <w:docPartGallery w:val="Page Numbers (Bottom of Page)"/>
        <w:docPartUnique/>
      </w:docPartObj>
    </w:sdtPr>
    <w:sdtEndPr>
      <w:rPr>
        <w:noProof/>
      </w:rPr>
    </w:sdtEndPr>
    <w:sdtContent>
      <w:p w14:paraId="4E8D7141" w14:textId="77777777" w:rsidR="00E94177" w:rsidRDefault="00E94177">
        <w:pPr>
          <w:pStyle w:val="Footer"/>
          <w:jc w:val="right"/>
        </w:pPr>
        <w:r>
          <w:fldChar w:fldCharType="begin"/>
        </w:r>
        <w:r>
          <w:instrText xml:space="preserve"> PAGE   \* MERGEFORMAT </w:instrText>
        </w:r>
        <w:r>
          <w:fldChar w:fldCharType="separate"/>
        </w:r>
        <w:r w:rsidR="009902C5">
          <w:rPr>
            <w:noProof/>
          </w:rPr>
          <w:t>1</w:t>
        </w:r>
        <w:r>
          <w:rPr>
            <w:noProof/>
          </w:rPr>
          <w:fldChar w:fldCharType="end"/>
        </w:r>
      </w:p>
    </w:sdtContent>
  </w:sdt>
  <w:p w14:paraId="233EB05E" w14:textId="77777777" w:rsidR="00E94177" w:rsidRDefault="00E941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90112" w14:textId="77777777" w:rsidR="00E94177" w:rsidRDefault="00E941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7DC0CE" w14:textId="77777777" w:rsidR="00A11D2F" w:rsidRDefault="00A11D2F" w:rsidP="00056850">
      <w:pPr>
        <w:spacing w:after="0" w:line="240" w:lineRule="auto"/>
      </w:pPr>
      <w:r>
        <w:separator/>
      </w:r>
    </w:p>
  </w:footnote>
  <w:footnote w:type="continuationSeparator" w:id="0">
    <w:p w14:paraId="2DA9BAFE" w14:textId="77777777" w:rsidR="00A11D2F" w:rsidRDefault="00A11D2F" w:rsidP="00056850">
      <w:pPr>
        <w:spacing w:after="0" w:line="240" w:lineRule="auto"/>
      </w:pPr>
      <w:r>
        <w:continuationSeparator/>
      </w:r>
    </w:p>
  </w:footnote>
  <w:footnote w:type="continuationNotice" w:id="1">
    <w:p w14:paraId="75BF65CC" w14:textId="77777777" w:rsidR="00A11D2F" w:rsidRDefault="00A11D2F">
      <w:pPr>
        <w:spacing w:after="0" w:line="240" w:lineRule="auto"/>
      </w:pPr>
    </w:p>
  </w:footnote>
  <w:footnote w:id="2">
    <w:p w14:paraId="380CE2EB" w14:textId="750628C9" w:rsidR="00305A10" w:rsidRDefault="00305A10">
      <w:pPr>
        <w:pStyle w:val="FootnoteText"/>
      </w:pPr>
      <w:r>
        <w:rPr>
          <w:rStyle w:val="FootnoteReference"/>
        </w:rPr>
        <w:footnoteRef/>
      </w:r>
      <w:r>
        <w:t xml:space="preserve"> In cases where upper tier authorities do not have responsibility for fire services the position of the fire authority is also reflected in the tier split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A1448" w14:textId="77777777" w:rsidR="00E94177" w:rsidRDefault="00E941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36C5BB" w14:textId="77777777" w:rsidR="00E94177" w:rsidRDefault="00E941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51491" w14:textId="77777777" w:rsidR="00E94177" w:rsidRDefault="00E941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610D4C"/>
    <w:multiLevelType w:val="hybridMultilevel"/>
    <w:tmpl w:val="755E2388"/>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8F8"/>
    <w:rsid w:val="00013897"/>
    <w:rsid w:val="00016CC5"/>
    <w:rsid w:val="00056850"/>
    <w:rsid w:val="000846D1"/>
    <w:rsid w:val="00086865"/>
    <w:rsid w:val="00094B46"/>
    <w:rsid w:val="000A1B8A"/>
    <w:rsid w:val="000A7EA4"/>
    <w:rsid w:val="000B7C6E"/>
    <w:rsid w:val="000D45B0"/>
    <w:rsid w:val="000D756D"/>
    <w:rsid w:val="000F35DB"/>
    <w:rsid w:val="000F5B0C"/>
    <w:rsid w:val="0012255F"/>
    <w:rsid w:val="00127094"/>
    <w:rsid w:val="00135F02"/>
    <w:rsid w:val="00161D2C"/>
    <w:rsid w:val="001716C4"/>
    <w:rsid w:val="00171DDF"/>
    <w:rsid w:val="00175515"/>
    <w:rsid w:val="00175EFC"/>
    <w:rsid w:val="00181D1A"/>
    <w:rsid w:val="00184A33"/>
    <w:rsid w:val="00185B06"/>
    <w:rsid w:val="00192508"/>
    <w:rsid w:val="00193FF3"/>
    <w:rsid w:val="001A7048"/>
    <w:rsid w:val="001B063A"/>
    <w:rsid w:val="001B7A58"/>
    <w:rsid w:val="001E7EFB"/>
    <w:rsid w:val="002053E4"/>
    <w:rsid w:val="002119FA"/>
    <w:rsid w:val="00216DD6"/>
    <w:rsid w:val="00222582"/>
    <w:rsid w:val="0025209B"/>
    <w:rsid w:val="00273902"/>
    <w:rsid w:val="002C1ED0"/>
    <w:rsid w:val="002E7E08"/>
    <w:rsid w:val="00305A10"/>
    <w:rsid w:val="003143BE"/>
    <w:rsid w:val="00346793"/>
    <w:rsid w:val="00370445"/>
    <w:rsid w:val="003743E7"/>
    <w:rsid w:val="003762DA"/>
    <w:rsid w:val="003772FB"/>
    <w:rsid w:val="00381BDB"/>
    <w:rsid w:val="00392371"/>
    <w:rsid w:val="003957E3"/>
    <w:rsid w:val="003B63B7"/>
    <w:rsid w:val="003C1F10"/>
    <w:rsid w:val="003C5133"/>
    <w:rsid w:val="003D16C7"/>
    <w:rsid w:val="003D27CC"/>
    <w:rsid w:val="003D351D"/>
    <w:rsid w:val="003F4A6E"/>
    <w:rsid w:val="003F6CE8"/>
    <w:rsid w:val="00405A93"/>
    <w:rsid w:val="004407F7"/>
    <w:rsid w:val="00440FEA"/>
    <w:rsid w:val="00444804"/>
    <w:rsid w:val="00447BA8"/>
    <w:rsid w:val="00491665"/>
    <w:rsid w:val="00491C77"/>
    <w:rsid w:val="004942E2"/>
    <w:rsid w:val="004A08E3"/>
    <w:rsid w:val="004C22A3"/>
    <w:rsid w:val="004D45B6"/>
    <w:rsid w:val="004E4A7B"/>
    <w:rsid w:val="00501A6D"/>
    <w:rsid w:val="00530C68"/>
    <w:rsid w:val="0055502C"/>
    <w:rsid w:val="00563DA7"/>
    <w:rsid w:val="00575207"/>
    <w:rsid w:val="00591248"/>
    <w:rsid w:val="005B18B3"/>
    <w:rsid w:val="005C6E3A"/>
    <w:rsid w:val="005E24B7"/>
    <w:rsid w:val="005E703B"/>
    <w:rsid w:val="00602973"/>
    <w:rsid w:val="006054E1"/>
    <w:rsid w:val="00613081"/>
    <w:rsid w:val="0063664F"/>
    <w:rsid w:val="006A2B96"/>
    <w:rsid w:val="006A7438"/>
    <w:rsid w:val="006B004B"/>
    <w:rsid w:val="006C03C7"/>
    <w:rsid w:val="006D17CC"/>
    <w:rsid w:val="006D458B"/>
    <w:rsid w:val="006F46F2"/>
    <w:rsid w:val="006F5C72"/>
    <w:rsid w:val="00703970"/>
    <w:rsid w:val="00717327"/>
    <w:rsid w:val="00751CF3"/>
    <w:rsid w:val="00752EB2"/>
    <w:rsid w:val="007607CB"/>
    <w:rsid w:val="0079329D"/>
    <w:rsid w:val="00797903"/>
    <w:rsid w:val="007A284A"/>
    <w:rsid w:val="007B25F9"/>
    <w:rsid w:val="007B7435"/>
    <w:rsid w:val="007C0BF1"/>
    <w:rsid w:val="007C2A9D"/>
    <w:rsid w:val="007D04B2"/>
    <w:rsid w:val="007D4AD9"/>
    <w:rsid w:val="007E3093"/>
    <w:rsid w:val="007F0BC4"/>
    <w:rsid w:val="007F1BD4"/>
    <w:rsid w:val="008450B8"/>
    <w:rsid w:val="00876BF7"/>
    <w:rsid w:val="0088098A"/>
    <w:rsid w:val="00882571"/>
    <w:rsid w:val="00885DF8"/>
    <w:rsid w:val="008A1D48"/>
    <w:rsid w:val="008B3638"/>
    <w:rsid w:val="008C51FC"/>
    <w:rsid w:val="008E3F33"/>
    <w:rsid w:val="008F28F8"/>
    <w:rsid w:val="008F2C4A"/>
    <w:rsid w:val="00914946"/>
    <w:rsid w:val="009239E3"/>
    <w:rsid w:val="00924891"/>
    <w:rsid w:val="00945119"/>
    <w:rsid w:val="009522E5"/>
    <w:rsid w:val="0096132A"/>
    <w:rsid w:val="009660E9"/>
    <w:rsid w:val="0097029E"/>
    <w:rsid w:val="0097231D"/>
    <w:rsid w:val="00973103"/>
    <w:rsid w:val="00973B44"/>
    <w:rsid w:val="00990048"/>
    <w:rsid w:val="009902C5"/>
    <w:rsid w:val="009A27B3"/>
    <w:rsid w:val="009B3F5C"/>
    <w:rsid w:val="009C083E"/>
    <w:rsid w:val="009D57F5"/>
    <w:rsid w:val="009D5F59"/>
    <w:rsid w:val="009F4338"/>
    <w:rsid w:val="009F686C"/>
    <w:rsid w:val="00A07240"/>
    <w:rsid w:val="00A11D2F"/>
    <w:rsid w:val="00A17F5E"/>
    <w:rsid w:val="00A32399"/>
    <w:rsid w:val="00A44AD5"/>
    <w:rsid w:val="00A765CD"/>
    <w:rsid w:val="00AB57AE"/>
    <w:rsid w:val="00AC6C2D"/>
    <w:rsid w:val="00AD2228"/>
    <w:rsid w:val="00AF2102"/>
    <w:rsid w:val="00AF224F"/>
    <w:rsid w:val="00B04206"/>
    <w:rsid w:val="00B1220E"/>
    <w:rsid w:val="00B7097A"/>
    <w:rsid w:val="00B909F2"/>
    <w:rsid w:val="00B93BE5"/>
    <w:rsid w:val="00BA1DAE"/>
    <w:rsid w:val="00BC1935"/>
    <w:rsid w:val="00BC29E1"/>
    <w:rsid w:val="00BD38AA"/>
    <w:rsid w:val="00BD3AF3"/>
    <w:rsid w:val="00BD7380"/>
    <w:rsid w:val="00BE3888"/>
    <w:rsid w:val="00C00209"/>
    <w:rsid w:val="00C262B8"/>
    <w:rsid w:val="00C315F8"/>
    <w:rsid w:val="00C57E9B"/>
    <w:rsid w:val="00CA3095"/>
    <w:rsid w:val="00CE3802"/>
    <w:rsid w:val="00CF715C"/>
    <w:rsid w:val="00D05BB8"/>
    <w:rsid w:val="00D140C0"/>
    <w:rsid w:val="00D259AB"/>
    <w:rsid w:val="00D625BC"/>
    <w:rsid w:val="00D64B2D"/>
    <w:rsid w:val="00D80726"/>
    <w:rsid w:val="00DA227F"/>
    <w:rsid w:val="00DB1F0F"/>
    <w:rsid w:val="00DD6EB7"/>
    <w:rsid w:val="00DF6C5F"/>
    <w:rsid w:val="00E20F85"/>
    <w:rsid w:val="00E2203C"/>
    <w:rsid w:val="00E22295"/>
    <w:rsid w:val="00E47B55"/>
    <w:rsid w:val="00E60C8E"/>
    <w:rsid w:val="00E6383A"/>
    <w:rsid w:val="00E660A7"/>
    <w:rsid w:val="00E6669B"/>
    <w:rsid w:val="00E94177"/>
    <w:rsid w:val="00E975A0"/>
    <w:rsid w:val="00EB4828"/>
    <w:rsid w:val="00ED093D"/>
    <w:rsid w:val="00EE54A5"/>
    <w:rsid w:val="00F1544D"/>
    <w:rsid w:val="00F17519"/>
    <w:rsid w:val="00F276A1"/>
    <w:rsid w:val="00F43DC6"/>
    <w:rsid w:val="00F5312E"/>
    <w:rsid w:val="00F54543"/>
    <w:rsid w:val="00F545EC"/>
    <w:rsid w:val="00F60224"/>
    <w:rsid w:val="00F74432"/>
    <w:rsid w:val="00F75C3A"/>
    <w:rsid w:val="00F872A1"/>
    <w:rsid w:val="00FA2DC3"/>
    <w:rsid w:val="00FE23DE"/>
    <w:rsid w:val="00FF0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B63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868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BodyText"/>
    <w:link w:val="Heading2Char"/>
    <w:qFormat/>
    <w:rsid w:val="008F28F8"/>
    <w:pPr>
      <w:spacing w:after="240" w:line="240" w:lineRule="auto"/>
      <w:outlineLvl w:val="1"/>
    </w:pPr>
    <w:rPr>
      <w:rFonts w:eastAsia="Times New Roman" w:cs="Times New Roman"/>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8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850"/>
  </w:style>
  <w:style w:type="paragraph" w:styleId="Footer">
    <w:name w:val="footer"/>
    <w:basedOn w:val="Normal"/>
    <w:link w:val="FooterChar"/>
    <w:uiPriority w:val="99"/>
    <w:unhideWhenUsed/>
    <w:rsid w:val="00056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850"/>
  </w:style>
  <w:style w:type="paragraph" w:styleId="ListParagraph">
    <w:name w:val="List Paragraph"/>
    <w:aliases w:val="OBC Bullet,List Paragraph11,List Paragrap,Colorful List - Accent 12,Bullet Styl,Bullet,No Spacing11,L,Párrafo de lista,Recommendation,Recommendati,Recommendatio,List Paragraph3,List Paragra,Maire,List Paragraph12,Normal numbered,Dot pt"/>
    <w:basedOn w:val="Normal"/>
    <w:link w:val="ListParagraphChar"/>
    <w:uiPriority w:val="34"/>
    <w:qFormat/>
    <w:rsid w:val="008F28F8"/>
    <w:pPr>
      <w:ind w:left="720"/>
      <w:contextualSpacing/>
    </w:pPr>
  </w:style>
  <w:style w:type="character" w:customStyle="1" w:styleId="Heading2Char">
    <w:name w:val="Heading 2 Char"/>
    <w:basedOn w:val="DefaultParagraphFont"/>
    <w:link w:val="Heading2"/>
    <w:rsid w:val="008F28F8"/>
    <w:rPr>
      <w:rFonts w:eastAsia="Times New Roman" w:cs="Times New Roman"/>
      <w:sz w:val="36"/>
    </w:rPr>
  </w:style>
  <w:style w:type="paragraph" w:styleId="BodyText">
    <w:name w:val="Body Text"/>
    <w:basedOn w:val="Normal"/>
    <w:link w:val="BodyTextChar"/>
    <w:uiPriority w:val="99"/>
    <w:unhideWhenUsed/>
    <w:rsid w:val="008F28F8"/>
    <w:pPr>
      <w:spacing w:after="120"/>
    </w:pPr>
  </w:style>
  <w:style w:type="character" w:customStyle="1" w:styleId="BodyTextChar">
    <w:name w:val="Body Text Char"/>
    <w:basedOn w:val="DefaultParagraphFont"/>
    <w:link w:val="BodyText"/>
    <w:uiPriority w:val="99"/>
    <w:rsid w:val="008F28F8"/>
  </w:style>
  <w:style w:type="character" w:styleId="CommentReference">
    <w:name w:val="annotation reference"/>
    <w:basedOn w:val="DefaultParagraphFont"/>
    <w:uiPriority w:val="99"/>
    <w:unhideWhenUsed/>
    <w:rsid w:val="008F28F8"/>
  </w:style>
  <w:style w:type="paragraph" w:styleId="NormalWeb">
    <w:name w:val="Normal (Web)"/>
    <w:basedOn w:val="Normal"/>
    <w:uiPriority w:val="99"/>
    <w:semiHidden/>
    <w:unhideWhenUsed/>
    <w:rsid w:val="008F28F8"/>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ListParagraphChar">
    <w:name w:val="List Paragraph Char"/>
    <w:aliases w:val="OBC Bullet Char,List Paragraph11 Char,List Paragrap Char,Colorful List - Accent 12 Char,Bullet Styl Char,Bullet Char,No Spacing11 Char,L Char,Párrafo de lista Char,Recommendation Char,Recommendati Char,Recommendatio Char,Maire Char"/>
    <w:link w:val="ListParagraph"/>
    <w:uiPriority w:val="34"/>
    <w:locked/>
    <w:rsid w:val="008F28F8"/>
  </w:style>
  <w:style w:type="character" w:customStyle="1" w:styleId="Heading1Char">
    <w:name w:val="Heading 1 Char"/>
    <w:basedOn w:val="DefaultParagraphFont"/>
    <w:link w:val="Heading1"/>
    <w:uiPriority w:val="9"/>
    <w:rsid w:val="00086865"/>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rsid w:val="000868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rsid w:val="00086865"/>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086865"/>
    <w:rPr>
      <w:rFonts w:eastAsia="Times New Roman" w:cs="Times New Roman"/>
      <w:sz w:val="20"/>
      <w:szCs w:val="20"/>
    </w:rPr>
  </w:style>
  <w:style w:type="paragraph" w:styleId="BalloonText">
    <w:name w:val="Balloon Text"/>
    <w:basedOn w:val="Normal"/>
    <w:link w:val="BalloonTextChar"/>
    <w:uiPriority w:val="99"/>
    <w:semiHidden/>
    <w:unhideWhenUsed/>
    <w:rsid w:val="000868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865"/>
    <w:rPr>
      <w:rFonts w:ascii="Tahoma" w:hAnsi="Tahoma" w:cs="Tahoma"/>
      <w:sz w:val="16"/>
      <w:szCs w:val="16"/>
    </w:rPr>
  </w:style>
  <w:style w:type="paragraph" w:customStyle="1" w:styleId="Default">
    <w:name w:val="Default"/>
    <w:basedOn w:val="Normal"/>
    <w:rsid w:val="003D27CC"/>
    <w:pPr>
      <w:autoSpaceDE w:val="0"/>
      <w:autoSpaceDN w:val="0"/>
      <w:spacing w:after="0" w:line="240" w:lineRule="auto"/>
    </w:pPr>
    <w:rPr>
      <w:rFonts w:ascii="HelveticaNeueLT Std" w:hAnsi="HelveticaNeueLT Std" w:cs="Times New Roman"/>
      <w:color w:val="000000"/>
    </w:rPr>
  </w:style>
  <w:style w:type="character" w:customStyle="1" w:styleId="consultation-date">
    <w:name w:val="consultation-date"/>
    <w:basedOn w:val="DefaultParagraphFont"/>
    <w:rsid w:val="003D27CC"/>
  </w:style>
  <w:style w:type="paragraph" w:styleId="FootnoteText">
    <w:name w:val="footnote text"/>
    <w:basedOn w:val="Normal"/>
    <w:link w:val="FootnoteTextChar"/>
    <w:uiPriority w:val="99"/>
    <w:semiHidden/>
    <w:unhideWhenUsed/>
    <w:rsid w:val="00305A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5A10"/>
    <w:rPr>
      <w:sz w:val="20"/>
      <w:szCs w:val="20"/>
    </w:rPr>
  </w:style>
  <w:style w:type="character" w:styleId="FootnoteReference">
    <w:name w:val="footnote reference"/>
    <w:basedOn w:val="DefaultParagraphFont"/>
    <w:uiPriority w:val="99"/>
    <w:semiHidden/>
    <w:unhideWhenUsed/>
    <w:rsid w:val="00305A10"/>
    <w:rPr>
      <w:vertAlign w:val="superscript"/>
    </w:rPr>
  </w:style>
  <w:style w:type="paragraph" w:styleId="CommentSubject">
    <w:name w:val="annotation subject"/>
    <w:basedOn w:val="CommentText"/>
    <w:next w:val="CommentText"/>
    <w:link w:val="CommentSubjectChar"/>
    <w:uiPriority w:val="99"/>
    <w:semiHidden/>
    <w:unhideWhenUsed/>
    <w:rsid w:val="0097029E"/>
    <w:pPr>
      <w:spacing w:after="200"/>
    </w:pPr>
    <w:rPr>
      <w:rFonts w:eastAsiaTheme="minorHAnsi" w:cs="Arial"/>
      <w:b/>
      <w:bCs/>
    </w:rPr>
  </w:style>
  <w:style w:type="character" w:customStyle="1" w:styleId="CommentSubjectChar">
    <w:name w:val="Comment Subject Char"/>
    <w:basedOn w:val="CommentTextChar"/>
    <w:link w:val="CommentSubject"/>
    <w:uiPriority w:val="99"/>
    <w:semiHidden/>
    <w:rsid w:val="0097029E"/>
    <w:rPr>
      <w:rFonts w:eastAsia="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868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BodyText"/>
    <w:link w:val="Heading2Char"/>
    <w:qFormat/>
    <w:rsid w:val="008F28F8"/>
    <w:pPr>
      <w:spacing w:after="240" w:line="240" w:lineRule="auto"/>
      <w:outlineLvl w:val="1"/>
    </w:pPr>
    <w:rPr>
      <w:rFonts w:eastAsia="Times New Roman" w:cs="Times New Roman"/>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8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850"/>
  </w:style>
  <w:style w:type="paragraph" w:styleId="Footer">
    <w:name w:val="footer"/>
    <w:basedOn w:val="Normal"/>
    <w:link w:val="FooterChar"/>
    <w:uiPriority w:val="99"/>
    <w:unhideWhenUsed/>
    <w:rsid w:val="00056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850"/>
  </w:style>
  <w:style w:type="paragraph" w:styleId="ListParagraph">
    <w:name w:val="List Paragraph"/>
    <w:aliases w:val="OBC Bullet,List Paragraph11,List Paragrap,Colorful List - Accent 12,Bullet Styl,Bullet,No Spacing11,L,Párrafo de lista,Recommendation,Recommendati,Recommendatio,List Paragraph3,List Paragra,Maire,List Paragraph12,Normal numbered,Dot pt"/>
    <w:basedOn w:val="Normal"/>
    <w:link w:val="ListParagraphChar"/>
    <w:uiPriority w:val="34"/>
    <w:qFormat/>
    <w:rsid w:val="008F28F8"/>
    <w:pPr>
      <w:ind w:left="720"/>
      <w:contextualSpacing/>
    </w:pPr>
  </w:style>
  <w:style w:type="character" w:customStyle="1" w:styleId="Heading2Char">
    <w:name w:val="Heading 2 Char"/>
    <w:basedOn w:val="DefaultParagraphFont"/>
    <w:link w:val="Heading2"/>
    <w:rsid w:val="008F28F8"/>
    <w:rPr>
      <w:rFonts w:eastAsia="Times New Roman" w:cs="Times New Roman"/>
      <w:sz w:val="36"/>
    </w:rPr>
  </w:style>
  <w:style w:type="paragraph" w:styleId="BodyText">
    <w:name w:val="Body Text"/>
    <w:basedOn w:val="Normal"/>
    <w:link w:val="BodyTextChar"/>
    <w:uiPriority w:val="99"/>
    <w:unhideWhenUsed/>
    <w:rsid w:val="008F28F8"/>
    <w:pPr>
      <w:spacing w:after="120"/>
    </w:pPr>
  </w:style>
  <w:style w:type="character" w:customStyle="1" w:styleId="BodyTextChar">
    <w:name w:val="Body Text Char"/>
    <w:basedOn w:val="DefaultParagraphFont"/>
    <w:link w:val="BodyText"/>
    <w:uiPriority w:val="99"/>
    <w:rsid w:val="008F28F8"/>
  </w:style>
  <w:style w:type="character" w:styleId="CommentReference">
    <w:name w:val="annotation reference"/>
    <w:basedOn w:val="DefaultParagraphFont"/>
    <w:uiPriority w:val="99"/>
    <w:unhideWhenUsed/>
    <w:rsid w:val="008F28F8"/>
  </w:style>
  <w:style w:type="paragraph" w:styleId="NormalWeb">
    <w:name w:val="Normal (Web)"/>
    <w:basedOn w:val="Normal"/>
    <w:uiPriority w:val="99"/>
    <w:semiHidden/>
    <w:unhideWhenUsed/>
    <w:rsid w:val="008F28F8"/>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ListParagraphChar">
    <w:name w:val="List Paragraph Char"/>
    <w:aliases w:val="OBC Bullet Char,List Paragraph11 Char,List Paragrap Char,Colorful List - Accent 12 Char,Bullet Styl Char,Bullet Char,No Spacing11 Char,L Char,Párrafo de lista Char,Recommendation Char,Recommendati Char,Recommendatio Char,Maire Char"/>
    <w:link w:val="ListParagraph"/>
    <w:uiPriority w:val="34"/>
    <w:locked/>
    <w:rsid w:val="008F28F8"/>
  </w:style>
  <w:style w:type="character" w:customStyle="1" w:styleId="Heading1Char">
    <w:name w:val="Heading 1 Char"/>
    <w:basedOn w:val="DefaultParagraphFont"/>
    <w:link w:val="Heading1"/>
    <w:uiPriority w:val="9"/>
    <w:rsid w:val="00086865"/>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rsid w:val="000868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rsid w:val="00086865"/>
    <w:pPr>
      <w:spacing w:after="0"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rsid w:val="00086865"/>
    <w:rPr>
      <w:rFonts w:eastAsia="Times New Roman" w:cs="Times New Roman"/>
      <w:sz w:val="20"/>
      <w:szCs w:val="20"/>
    </w:rPr>
  </w:style>
  <w:style w:type="paragraph" w:styleId="BalloonText">
    <w:name w:val="Balloon Text"/>
    <w:basedOn w:val="Normal"/>
    <w:link w:val="BalloonTextChar"/>
    <w:uiPriority w:val="99"/>
    <w:semiHidden/>
    <w:unhideWhenUsed/>
    <w:rsid w:val="000868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865"/>
    <w:rPr>
      <w:rFonts w:ascii="Tahoma" w:hAnsi="Tahoma" w:cs="Tahoma"/>
      <w:sz w:val="16"/>
      <w:szCs w:val="16"/>
    </w:rPr>
  </w:style>
  <w:style w:type="paragraph" w:customStyle="1" w:styleId="Default">
    <w:name w:val="Default"/>
    <w:basedOn w:val="Normal"/>
    <w:rsid w:val="003D27CC"/>
    <w:pPr>
      <w:autoSpaceDE w:val="0"/>
      <w:autoSpaceDN w:val="0"/>
      <w:spacing w:after="0" w:line="240" w:lineRule="auto"/>
    </w:pPr>
    <w:rPr>
      <w:rFonts w:ascii="HelveticaNeueLT Std" w:hAnsi="HelveticaNeueLT Std" w:cs="Times New Roman"/>
      <w:color w:val="000000"/>
    </w:rPr>
  </w:style>
  <w:style w:type="character" w:customStyle="1" w:styleId="consultation-date">
    <w:name w:val="consultation-date"/>
    <w:basedOn w:val="DefaultParagraphFont"/>
    <w:rsid w:val="003D27CC"/>
  </w:style>
  <w:style w:type="paragraph" w:styleId="FootnoteText">
    <w:name w:val="footnote text"/>
    <w:basedOn w:val="Normal"/>
    <w:link w:val="FootnoteTextChar"/>
    <w:uiPriority w:val="99"/>
    <w:semiHidden/>
    <w:unhideWhenUsed/>
    <w:rsid w:val="00305A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5A10"/>
    <w:rPr>
      <w:sz w:val="20"/>
      <w:szCs w:val="20"/>
    </w:rPr>
  </w:style>
  <w:style w:type="character" w:styleId="FootnoteReference">
    <w:name w:val="footnote reference"/>
    <w:basedOn w:val="DefaultParagraphFont"/>
    <w:uiPriority w:val="99"/>
    <w:semiHidden/>
    <w:unhideWhenUsed/>
    <w:rsid w:val="00305A10"/>
    <w:rPr>
      <w:vertAlign w:val="superscript"/>
    </w:rPr>
  </w:style>
  <w:style w:type="paragraph" w:styleId="CommentSubject">
    <w:name w:val="annotation subject"/>
    <w:basedOn w:val="CommentText"/>
    <w:next w:val="CommentText"/>
    <w:link w:val="CommentSubjectChar"/>
    <w:uiPriority w:val="99"/>
    <w:semiHidden/>
    <w:unhideWhenUsed/>
    <w:rsid w:val="0097029E"/>
    <w:pPr>
      <w:spacing w:after="200"/>
    </w:pPr>
    <w:rPr>
      <w:rFonts w:eastAsiaTheme="minorHAnsi" w:cs="Arial"/>
      <w:b/>
      <w:bCs/>
    </w:rPr>
  </w:style>
  <w:style w:type="character" w:customStyle="1" w:styleId="CommentSubjectChar">
    <w:name w:val="Comment Subject Char"/>
    <w:basedOn w:val="CommentTextChar"/>
    <w:link w:val="CommentSubject"/>
    <w:uiPriority w:val="99"/>
    <w:semiHidden/>
    <w:rsid w:val="0097029E"/>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234199">
      <w:bodyDiv w:val="1"/>
      <w:marLeft w:val="0"/>
      <w:marRight w:val="0"/>
      <w:marTop w:val="0"/>
      <w:marBottom w:val="0"/>
      <w:divBdr>
        <w:top w:val="none" w:sz="0" w:space="0" w:color="auto"/>
        <w:left w:val="none" w:sz="0" w:space="0" w:color="auto"/>
        <w:bottom w:val="none" w:sz="0" w:space="0" w:color="auto"/>
        <w:right w:val="none" w:sz="0" w:space="0" w:color="auto"/>
      </w:divBdr>
    </w:div>
    <w:div w:id="1026758964">
      <w:bodyDiv w:val="1"/>
      <w:marLeft w:val="0"/>
      <w:marRight w:val="0"/>
      <w:marTop w:val="0"/>
      <w:marBottom w:val="0"/>
      <w:divBdr>
        <w:top w:val="none" w:sz="0" w:space="0" w:color="auto"/>
        <w:left w:val="none" w:sz="0" w:space="0" w:color="auto"/>
        <w:bottom w:val="none" w:sz="0" w:space="0" w:color="auto"/>
        <w:right w:val="none" w:sz="0" w:space="0" w:color="auto"/>
      </w:divBdr>
    </w:div>
    <w:div w:id="1577663184">
      <w:bodyDiv w:val="1"/>
      <w:marLeft w:val="0"/>
      <w:marRight w:val="0"/>
      <w:marTop w:val="0"/>
      <w:marBottom w:val="0"/>
      <w:divBdr>
        <w:top w:val="none" w:sz="0" w:space="0" w:color="auto"/>
        <w:left w:val="none" w:sz="0" w:space="0" w:color="auto"/>
        <w:bottom w:val="none" w:sz="0" w:space="0" w:color="auto"/>
        <w:right w:val="none" w:sz="0" w:space="0" w:color="auto"/>
      </w:divBdr>
    </w:div>
    <w:div w:id="190691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sisl xmlns:xsi="http://www.w3.org/2001/XMLSchema-instance" xmlns:xsd="http://www.w3.org/2001/XMLSchema" xmlns="http://www.boldonjames.com/2008/01/sie/internal/label" sislVersion="0" policy="8270c081-d9f3-48ae-83c7-c2320a8ca25c"/>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C9A6E-EE4E-4538-8173-249BBA80A635}">
  <ds:schemaRefs>
    <ds:schemaRef ds:uri="http://schemas.openxmlformats.org/officeDocument/2006/bibliography"/>
  </ds:schemaRefs>
</ds:datastoreItem>
</file>

<file path=customXml/itemProps2.xml><?xml version="1.0" encoding="utf-8"?>
<ds:datastoreItem xmlns:ds="http://schemas.openxmlformats.org/officeDocument/2006/customXml" ds:itemID="{DB8549A0-8218-4BC6-A6C5-5D8273EE01F6}">
  <ds:schemaRefs>
    <ds:schemaRef ds:uri="http://schemas.openxmlformats.org/officeDocument/2006/bibliography"/>
  </ds:schemaRefs>
</ds:datastoreItem>
</file>

<file path=customXml/itemProps3.xml><?xml version="1.0" encoding="utf-8"?>
<ds:datastoreItem xmlns:ds="http://schemas.openxmlformats.org/officeDocument/2006/customXml" ds:itemID="{F4173C3B-D1CD-472F-99FE-496A91C5EC81}">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F89508AC-7B2D-44FF-8FCB-E51DBC12C416}">
  <ds:schemaRefs>
    <ds:schemaRef ds:uri="http://schemas.openxmlformats.org/officeDocument/2006/bibliography"/>
  </ds:schemaRefs>
</ds:datastoreItem>
</file>

<file path=customXml/itemProps5.xml><?xml version="1.0" encoding="utf-8"?>
<ds:datastoreItem xmlns:ds="http://schemas.openxmlformats.org/officeDocument/2006/customXml" ds:itemID="{48E21005-6489-46FA-9A0F-285085506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13</Pages>
  <Words>4608</Words>
  <Characters>26269</Characters>
  <Application>Microsoft Office Word</Application>
  <DocSecurity>4</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Department for Communities and Local Government</Company>
  <LinksUpToDate>false</LinksUpToDate>
  <CharactersWithSpaces>30816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 Clement</dc:creator>
  <cp:lastModifiedBy>Leon Clement</cp:lastModifiedBy>
  <cp:revision>2</cp:revision>
  <cp:lastPrinted>2018-03-16T17:02:00Z</cp:lastPrinted>
  <dcterms:created xsi:type="dcterms:W3CDTF">2018-03-16T17:43:00Z</dcterms:created>
  <dcterms:modified xsi:type="dcterms:W3CDTF">2018-03-16T17:43:00Z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e824cb15-7c99-4f3b-9ea8-38744abcba80</vt:lpwstr>
  </property>
  <property fmtid="{D5CDD505-2E9C-101B-9397-08002B2CF9AE}" pid="3" name="bjSaver">
    <vt:lpwstr>vMvQysfDjYFbn47KoDkySVIiJyEjgLZC</vt:lpwstr>
  </property>
  <property fmtid="{D5CDD505-2E9C-101B-9397-08002B2CF9AE}" pid="4" name="bjDocumentSecurityLabel">
    <vt:lpwstr>No Marking</vt:lpwstr>
  </property>
</Properties>
</file>