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01FE2" w14:textId="382B4662" w:rsidR="00A31FB2" w:rsidRPr="006A3468" w:rsidRDefault="00EC7BC3" w:rsidP="001E5267">
      <w:pPr>
        <w:pStyle w:val="Title"/>
        <w:rPr>
          <w:sz w:val="24"/>
          <w:szCs w:val="24"/>
        </w:rPr>
        <w:sectPr w:rsidR="00A31FB2" w:rsidRPr="006A3468" w:rsidSect="00BC58AC">
          <w:headerReference w:type="default" r:id="rId12"/>
          <w:pgSz w:w="11906" w:h="16838"/>
          <w:pgMar w:top="1080" w:right="851" w:bottom="1440" w:left="851" w:header="709" w:footer="709" w:gutter="0"/>
          <w:cols w:space="708"/>
          <w:docGrid w:linePitch="360"/>
        </w:sectPr>
      </w:pPr>
      <w:bookmarkStart w:id="0" w:name="_GoBack"/>
      <w:bookmarkEnd w:id="0"/>
      <w:r w:rsidRPr="006A3468">
        <w:rPr>
          <w:noProof/>
          <w:sz w:val="24"/>
          <w:szCs w:val="24"/>
        </w:rPr>
        <w:drawing>
          <wp:anchor distT="0" distB="0" distL="114300" distR="114300" simplePos="0" relativeHeight="251653632" behindDoc="1" locked="0" layoutInCell="1" allowOverlap="1" wp14:anchorId="3AA0209D" wp14:editId="7559B152">
            <wp:simplePos x="0" y="0"/>
            <wp:positionH relativeFrom="column">
              <wp:posOffset>-654685</wp:posOffset>
            </wp:positionH>
            <wp:positionV relativeFrom="paragraph">
              <wp:posOffset>-781050</wp:posOffset>
            </wp:positionV>
            <wp:extent cx="7877175" cy="11047095"/>
            <wp:effectExtent l="0" t="0" r="9525" b="1905"/>
            <wp:wrapNone/>
            <wp:docPr id="5" name="Picture 2" descr="L10-570 new for Ju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0-570 new for Jul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7175" cy="11047095"/>
                    </a:xfrm>
                    <a:prstGeom prst="rect">
                      <a:avLst/>
                    </a:prstGeom>
                    <a:noFill/>
                  </pic:spPr>
                </pic:pic>
              </a:graphicData>
            </a:graphic>
            <wp14:sizeRelH relativeFrom="page">
              <wp14:pctWidth>0</wp14:pctWidth>
            </wp14:sizeRelH>
            <wp14:sizeRelV relativeFrom="page">
              <wp14:pctHeight>0</wp14:pctHeight>
            </wp14:sizeRelV>
          </wp:anchor>
        </w:drawing>
      </w:r>
      <w:r w:rsidR="00052D66" w:rsidRPr="006A3468">
        <w:rPr>
          <w:noProof/>
          <w:sz w:val="24"/>
          <w:szCs w:val="24"/>
        </w:rPr>
        <mc:AlternateContent>
          <mc:Choice Requires="wps">
            <w:drawing>
              <wp:anchor distT="0" distB="0" distL="114300" distR="114300" simplePos="0" relativeHeight="251662848" behindDoc="0" locked="0" layoutInCell="1" allowOverlap="1" wp14:anchorId="45F057E9" wp14:editId="06150572">
                <wp:simplePos x="0" y="0"/>
                <wp:positionH relativeFrom="column">
                  <wp:posOffset>-178435</wp:posOffset>
                </wp:positionH>
                <wp:positionV relativeFrom="paragraph">
                  <wp:posOffset>1351280</wp:posOffset>
                </wp:positionV>
                <wp:extent cx="6994525" cy="1552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452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1E27A" w14:textId="095B5071" w:rsidR="00247C08" w:rsidRPr="00C37413" w:rsidRDefault="00247C08" w:rsidP="00DD6160">
                            <w:pPr>
                              <w:pStyle w:val="Title"/>
                              <w:rPr>
                                <w:sz w:val="44"/>
                                <w:szCs w:val="44"/>
                              </w:rPr>
                            </w:pPr>
                            <w:r>
                              <w:rPr>
                                <w:sz w:val="44"/>
                                <w:szCs w:val="44"/>
                              </w:rPr>
                              <w:t>Local</w:t>
                            </w:r>
                            <w:r w:rsidRPr="00C37413">
                              <w:rPr>
                                <w:sz w:val="44"/>
                                <w:szCs w:val="44"/>
                              </w:rPr>
                              <w:t xml:space="preserve"> transparency guidance – publishing land</w:t>
                            </w:r>
                            <w:r>
                              <w:rPr>
                                <w:sz w:val="44"/>
                                <w:szCs w:val="44"/>
                              </w:rPr>
                              <w:t xml:space="preserve"> and social housing</w:t>
                            </w:r>
                            <w:r w:rsidRPr="00C37413">
                              <w:rPr>
                                <w:sz w:val="44"/>
                                <w:szCs w:val="44"/>
                              </w:rPr>
                              <w:t xml:space="preserve"> asset and parking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05pt;margin-top:106.4pt;width:550.75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" filled="f" stroked="f" strokeweight=".5pt">
                <v:textbox>
                  <w:txbxContent>
                    <w:p w14:paraId="5621E27A" w14:textId="095B5071" w:rsidR="00247C08" w:rsidRPr="00C37413" w:rsidRDefault="00247C08" w:rsidP="00DD6160">
                      <w:pPr>
                        <w:pStyle w:val="Title"/>
                        <w:rPr>
                          <w:sz w:val="44"/>
                          <w:szCs w:val="44"/>
                        </w:rPr>
                      </w:pPr>
                      <w:r>
                        <w:rPr>
                          <w:sz w:val="44"/>
                          <w:szCs w:val="44"/>
                        </w:rPr>
                        <w:t>Local</w:t>
                      </w:r>
                      <w:r w:rsidRPr="00C37413">
                        <w:rPr>
                          <w:sz w:val="44"/>
                          <w:szCs w:val="44"/>
                        </w:rPr>
                        <w:t xml:space="preserve"> transparency guidance – publishing land</w:t>
                      </w:r>
                      <w:r>
                        <w:rPr>
                          <w:sz w:val="44"/>
                          <w:szCs w:val="44"/>
                        </w:rPr>
                        <w:t xml:space="preserve"> and social housing</w:t>
                      </w:r>
                      <w:r w:rsidRPr="00C37413">
                        <w:rPr>
                          <w:sz w:val="44"/>
                          <w:szCs w:val="44"/>
                        </w:rPr>
                        <w:t xml:space="preserve"> asset and parking information</w:t>
                      </w:r>
                    </w:p>
                  </w:txbxContent>
                </v:textbox>
              </v:shape>
            </w:pict>
          </mc:Fallback>
        </mc:AlternateContent>
      </w:r>
      <w:r w:rsidR="00AD37FB" w:rsidRPr="006A3468">
        <w:rPr>
          <w:noProof/>
          <w:sz w:val="24"/>
          <w:szCs w:val="24"/>
        </w:rPr>
        <w:drawing>
          <wp:anchor distT="0" distB="0" distL="114300" distR="114300" simplePos="0" relativeHeight="251660800" behindDoc="0" locked="0" layoutInCell="1" allowOverlap="1" wp14:anchorId="3AA02099" wp14:editId="7D34B475">
            <wp:simplePos x="0" y="0"/>
            <wp:positionH relativeFrom="column">
              <wp:posOffset>-114300</wp:posOffset>
            </wp:positionH>
            <wp:positionV relativeFrom="paragraph">
              <wp:posOffset>-228600</wp:posOffset>
            </wp:positionV>
            <wp:extent cx="1619250" cy="962025"/>
            <wp:effectExtent l="0" t="0" r="0" b="9525"/>
            <wp:wrapNone/>
            <wp:docPr id="11" name="Picture 1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G_Association_RGB for A4 45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962025"/>
                    </a:xfrm>
                    <a:prstGeom prst="rect">
                      <a:avLst/>
                    </a:prstGeom>
                    <a:noFill/>
                  </pic:spPr>
                </pic:pic>
              </a:graphicData>
            </a:graphic>
            <wp14:sizeRelH relativeFrom="page">
              <wp14:pctWidth>0</wp14:pctWidth>
            </wp14:sizeRelH>
            <wp14:sizeRelV relativeFrom="page">
              <wp14:pctHeight>0</wp14:pctHeight>
            </wp14:sizeRelV>
          </wp:anchor>
        </w:drawing>
      </w:r>
      <w:r w:rsidR="00AD37FB" w:rsidRPr="006A3468">
        <w:rPr>
          <w:noProof/>
          <w:sz w:val="24"/>
          <w:szCs w:val="24"/>
        </w:rPr>
        <mc:AlternateContent>
          <mc:Choice Requires="wps">
            <w:drawing>
              <wp:anchor distT="0" distB="0" distL="114300" distR="114300" simplePos="0" relativeHeight="251659776" behindDoc="0" locked="0" layoutInCell="1" allowOverlap="1" wp14:anchorId="3AA0209B" wp14:editId="2642B238">
                <wp:simplePos x="0" y="0"/>
                <wp:positionH relativeFrom="column">
                  <wp:posOffset>3688715</wp:posOffset>
                </wp:positionH>
                <wp:positionV relativeFrom="paragraph">
                  <wp:posOffset>4457700</wp:posOffset>
                </wp:positionV>
                <wp:extent cx="2514600" cy="2857500"/>
                <wp:effectExtent l="254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020AA" w14:textId="3E6D27E8" w:rsidR="00247C08" w:rsidRDefault="00F7779C" w:rsidP="00DD6160">
                            <w:pPr>
                              <w:rPr>
                                <w:b/>
                                <w:color w:val="FFFFFF" w:themeColor="background1"/>
                              </w:rPr>
                            </w:pPr>
                            <w:r>
                              <w:rPr>
                                <w:b/>
                                <w:color w:val="FFFFFF" w:themeColor="background1"/>
                              </w:rPr>
                              <w:t>5 June</w:t>
                            </w:r>
                            <w:r w:rsidR="00247C08">
                              <w:rPr>
                                <w:b/>
                                <w:color w:val="FFFFFF" w:themeColor="background1"/>
                              </w:rPr>
                              <w:t xml:space="preserve"> 2015</w:t>
                            </w:r>
                          </w:p>
                          <w:p w14:paraId="225C3009" w14:textId="1E652462" w:rsidR="00247C08" w:rsidRPr="00537F7D" w:rsidRDefault="00247C08" w:rsidP="00DD6160">
                            <w:pPr>
                              <w:rPr>
                                <w:b/>
                                <w:color w:val="FFFFFF" w:themeColor="background1"/>
                              </w:rPr>
                            </w:pPr>
                            <w:r>
                              <w:rPr>
                                <w:b/>
                                <w:color w:val="FFFFFF" w:themeColor="background1"/>
                              </w:rPr>
                              <w:t>Version 1.</w:t>
                            </w:r>
                            <w:r w:rsidR="00F7779C">
                              <w:rPr>
                                <w:b/>
                                <w:color w:val="FFFFFF" w:themeColor="background1"/>
                              </w:rPr>
                              <w:t>4</w:t>
                            </w:r>
                          </w:p>
                          <w:p w14:paraId="3AA020AB" w14:textId="77777777" w:rsidR="00247C08" w:rsidRPr="004179D3" w:rsidRDefault="00247C08" w:rsidP="00DD6160"/>
                          <w:p w14:paraId="3AA020AC" w14:textId="77777777" w:rsidR="00247C08" w:rsidRPr="004179D3" w:rsidRDefault="00247C08" w:rsidP="00DD6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90.45pt;margin-top:351pt;width:198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B0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" filled="f" stroked="f">
                <v:textbox>
                  <w:txbxContent>
                    <w:p w14:paraId="3AA020AA" w14:textId="3E6D27E8" w:rsidR="00247C08" w:rsidRDefault="00F7779C" w:rsidP="00DD6160">
                      <w:pPr>
                        <w:rPr>
                          <w:b/>
                          <w:color w:val="FFFFFF" w:themeColor="background1"/>
                        </w:rPr>
                      </w:pPr>
                      <w:r>
                        <w:rPr>
                          <w:b/>
                          <w:color w:val="FFFFFF" w:themeColor="background1"/>
                        </w:rPr>
                        <w:t>5 June</w:t>
                      </w:r>
                      <w:r w:rsidR="00247C08">
                        <w:rPr>
                          <w:b/>
                          <w:color w:val="FFFFFF" w:themeColor="background1"/>
                        </w:rPr>
                        <w:t xml:space="preserve"> 2015</w:t>
                      </w:r>
                    </w:p>
                    <w:p w14:paraId="225C3009" w14:textId="1E652462" w:rsidR="00247C08" w:rsidRPr="00537F7D" w:rsidRDefault="00247C08" w:rsidP="00DD6160">
                      <w:pPr>
                        <w:rPr>
                          <w:b/>
                          <w:color w:val="FFFFFF" w:themeColor="background1"/>
                        </w:rPr>
                      </w:pPr>
                      <w:r>
                        <w:rPr>
                          <w:b/>
                          <w:color w:val="FFFFFF" w:themeColor="background1"/>
                        </w:rPr>
                        <w:t>Version 1.</w:t>
                      </w:r>
                      <w:r w:rsidR="00F7779C">
                        <w:rPr>
                          <w:b/>
                          <w:color w:val="FFFFFF" w:themeColor="background1"/>
                        </w:rPr>
                        <w:t>4</w:t>
                      </w:r>
                    </w:p>
                    <w:p w14:paraId="3AA020AB" w14:textId="77777777" w:rsidR="00247C08" w:rsidRPr="004179D3" w:rsidRDefault="00247C08" w:rsidP="00DD6160"/>
                    <w:p w14:paraId="3AA020AC" w14:textId="77777777" w:rsidR="00247C08" w:rsidRPr="004179D3" w:rsidRDefault="00247C08" w:rsidP="00DD6160"/>
                  </w:txbxContent>
                </v:textbox>
              </v:shape>
            </w:pict>
          </mc:Fallback>
        </mc:AlternateContent>
      </w:r>
      <w:r w:rsidR="00AD37FB" w:rsidRPr="006A3468">
        <w:rPr>
          <w:noProof/>
          <w:sz w:val="24"/>
          <w:szCs w:val="24"/>
        </w:rPr>
        <mc:AlternateContent>
          <mc:Choice Requires="wps">
            <w:drawing>
              <wp:anchor distT="0" distB="0" distL="114300" distR="114300" simplePos="0" relativeHeight="251658752" behindDoc="0" locked="0" layoutInCell="1" allowOverlap="1" wp14:anchorId="3AA0209C" wp14:editId="6B99F870">
                <wp:simplePos x="0" y="0"/>
                <wp:positionH relativeFrom="column">
                  <wp:posOffset>3429000</wp:posOffset>
                </wp:positionH>
                <wp:positionV relativeFrom="paragraph">
                  <wp:posOffset>4229100</wp:posOffset>
                </wp:positionV>
                <wp:extent cx="2971800" cy="331470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314700"/>
                        </a:xfrm>
                        <a:prstGeom prst="roundRect">
                          <a:avLst>
                            <a:gd name="adj" fmla="val 12000"/>
                          </a:avLst>
                        </a:prstGeom>
                        <a:solidFill>
                          <a:srgbClr val="9B2C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70pt;margin-top:333pt;width:234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" fillcolor="#9b2c98" stroked="f"/>
            </w:pict>
          </mc:Fallback>
        </mc:AlternateContent>
      </w:r>
      <w:r w:rsidR="00AD37FB" w:rsidRPr="006A3468">
        <w:rPr>
          <w:noProof/>
          <w:sz w:val="24"/>
          <w:szCs w:val="24"/>
        </w:rPr>
        <mc:AlternateContent>
          <mc:Choice Requires="wps">
            <w:drawing>
              <wp:anchor distT="0" distB="0" distL="114300" distR="114300" simplePos="0" relativeHeight="251657728" behindDoc="1" locked="1" layoutInCell="1" allowOverlap="1" wp14:anchorId="3AA0209E" wp14:editId="6D653712">
                <wp:simplePos x="0" y="0"/>
                <wp:positionH relativeFrom="page">
                  <wp:posOffset>654685</wp:posOffset>
                </wp:positionH>
                <wp:positionV relativeFrom="page">
                  <wp:posOffset>4914900</wp:posOffset>
                </wp:positionV>
                <wp:extent cx="2857500" cy="3314700"/>
                <wp:effectExtent l="0" t="0" r="2540" b="0"/>
                <wp:wrapNone/>
                <wp:docPr id="4"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AA020AD" w14:textId="77777777" w:rsidR="00247C08" w:rsidRDefault="00247C08" w:rsidP="00DD6160">
                            <w:pPr>
                              <w:pStyle w:val="Title"/>
                            </w:pPr>
                          </w:p>
                          <w:p w14:paraId="3AA020AE" w14:textId="77777777" w:rsidR="00247C08" w:rsidRPr="00930D8F" w:rsidRDefault="00247C08" w:rsidP="00DD6160"/>
                          <w:p w14:paraId="3AA020AF" w14:textId="77777777" w:rsidR="00247C08" w:rsidRDefault="00247C08" w:rsidP="00DD61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1.55pt;margin-top:387pt;width:225pt;height:2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" filled="f" stroked="f" strokeweight=".01pt">
                <o:lock v:ext="edit" aspectratio="t"/>
                <v:textbox inset="0,0,0,0">
                  <w:txbxContent>
                    <w:p w14:paraId="3AA020AD" w14:textId="77777777" w:rsidR="00247C08" w:rsidRDefault="00247C08" w:rsidP="00DD6160">
                      <w:pPr>
                        <w:pStyle w:val="Title"/>
                      </w:pPr>
                    </w:p>
                    <w:p w14:paraId="3AA020AE" w14:textId="77777777" w:rsidR="00247C08" w:rsidRPr="00930D8F" w:rsidRDefault="00247C08" w:rsidP="00DD6160"/>
                    <w:p w14:paraId="3AA020AF" w14:textId="77777777" w:rsidR="00247C08" w:rsidRDefault="00247C08" w:rsidP="00DD6160"/>
                  </w:txbxContent>
                </v:textbox>
                <w10:wrap anchorx="page" anchory="page"/>
                <w10:anchorlock/>
              </v:shape>
            </w:pict>
          </mc:Fallback>
        </mc:AlternateContent>
      </w:r>
      <w:r w:rsidR="00AD37FB" w:rsidRPr="006A3468">
        <w:rPr>
          <w:noProof/>
          <w:sz w:val="24"/>
          <w:szCs w:val="24"/>
        </w:rPr>
        <mc:AlternateContent>
          <mc:Choice Requires="wps">
            <w:drawing>
              <wp:anchor distT="0" distB="0" distL="114300" distR="114300" simplePos="0" relativeHeight="251656704" behindDoc="1" locked="1" layoutInCell="1" allowOverlap="1" wp14:anchorId="3AA0209F" wp14:editId="550A34DD">
                <wp:simplePos x="0" y="0"/>
                <wp:positionH relativeFrom="page">
                  <wp:posOffset>768985</wp:posOffset>
                </wp:positionH>
                <wp:positionV relativeFrom="page">
                  <wp:posOffset>5486400</wp:posOffset>
                </wp:positionV>
                <wp:extent cx="2971800" cy="3314700"/>
                <wp:effectExtent l="0" t="0" r="2540" b="0"/>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718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AA020B0" w14:textId="77777777" w:rsidR="00247C08" w:rsidRPr="00DF5A6C" w:rsidRDefault="00247C08" w:rsidP="00DD6160">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0.55pt;margin-top:6in;width:234pt;height:26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" filled="f" stroked="f" strokeweight=".01pt">
                <o:lock v:ext="edit" aspectratio="t"/>
                <v:textbox inset="0,0,0,0">
                  <w:txbxContent>
                    <w:p w14:paraId="3AA020B0" w14:textId="77777777" w:rsidR="00247C08" w:rsidRPr="00DF5A6C" w:rsidRDefault="00247C08" w:rsidP="00DD6160">
                      <w:pPr>
                        <w:pStyle w:val="Heading4"/>
                      </w:pPr>
                    </w:p>
                  </w:txbxContent>
                </v:textbox>
                <w10:wrap anchorx="page" anchory="page"/>
                <w10:anchorlock/>
              </v:shape>
            </w:pict>
          </mc:Fallback>
        </mc:AlternateContent>
      </w:r>
      <w:r w:rsidR="00AD37FB" w:rsidRPr="006A3468">
        <w:rPr>
          <w:noProof/>
          <w:sz w:val="24"/>
          <w:szCs w:val="24"/>
        </w:rPr>
        <mc:AlternateContent>
          <mc:Choice Requires="wps">
            <w:drawing>
              <wp:anchor distT="0" distB="0" distL="114300" distR="114300" simplePos="0" relativeHeight="251654656" behindDoc="1" locked="1" layoutInCell="1" allowOverlap="1" wp14:anchorId="3AA020A0" wp14:editId="766BB59D">
                <wp:simplePos x="0" y="0"/>
                <wp:positionH relativeFrom="page">
                  <wp:posOffset>657225</wp:posOffset>
                </wp:positionH>
                <wp:positionV relativeFrom="page">
                  <wp:posOffset>3581400</wp:posOffset>
                </wp:positionV>
                <wp:extent cx="6457950" cy="1114425"/>
                <wp:effectExtent l="0" t="0" r="0" b="9525"/>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579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FF"/>
                              </a:solidFill>
                              <a:miter lim="800000"/>
                              <a:headEnd/>
                              <a:tailEnd/>
                            </a14:hiddenLine>
                          </a:ext>
                        </a:extLst>
                      </wps:spPr>
                      <wps:txbx>
                        <w:txbxContent>
                          <w:p w14:paraId="3AA020B1" w14:textId="725C1F26" w:rsidR="00247C08" w:rsidRPr="00883597" w:rsidRDefault="00247C08" w:rsidP="00DD6160">
                            <w:pPr>
                              <w:pStyle w:val="Heading4"/>
                              <w:rPr>
                                <w:lang w:val="en-GB" w:eastAsia="en-US"/>
                              </w:rPr>
                            </w:pPr>
                            <w:r w:rsidRPr="00052D66">
                              <w:rPr>
                                <w:lang w:eastAsia="en-US"/>
                              </w:rPr>
                              <w:t>A practitioner’s guide to publishing information</w:t>
                            </w:r>
                            <w:r>
                              <w:rPr>
                                <w:lang w:val="en-GB" w:eastAsia="en-US"/>
                              </w:rPr>
                              <w:t xml:space="preserve"> about land and building assets and parking accounts and spaces</w:t>
                            </w:r>
                            <w:r w:rsidRPr="00052D66">
                              <w:rPr>
                                <w:lang w:eastAsia="en-US"/>
                              </w:rPr>
                              <w:t xml:space="preserve"> in accordance with the local government transparency code 201</w:t>
                            </w:r>
                            <w:r>
                              <w:rPr>
                                <w:lang w:val="en-GB" w:eastAsia="en-US"/>
                              </w:rPr>
                              <w:t xml:space="preserve">5 </w:t>
                            </w:r>
                          </w:p>
                          <w:p w14:paraId="3AA020B2" w14:textId="77777777" w:rsidR="00247C08" w:rsidRPr="0052214B" w:rsidRDefault="00247C08" w:rsidP="00DD6160">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1.75pt;margin-top:282pt;width:508.5pt;height:87.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" filled="f" stroked="f" strokecolor="blue" strokeweight=".01pt">
                <o:lock v:ext="edit" aspectratio="t"/>
                <v:textbox inset="0,0,0,0">
                  <w:txbxContent>
                    <w:p w14:paraId="3AA020B1" w14:textId="725C1F26" w:rsidR="00247C08" w:rsidRPr="00883597" w:rsidRDefault="00247C08" w:rsidP="00DD6160">
                      <w:pPr>
                        <w:pStyle w:val="Heading4"/>
                        <w:rPr>
                          <w:lang w:val="en-GB" w:eastAsia="en-US"/>
                        </w:rPr>
                      </w:pPr>
                      <w:r w:rsidRPr="00052D66">
                        <w:rPr>
                          <w:lang w:eastAsia="en-US"/>
                        </w:rPr>
                        <w:t>A practitioner’s guide to publishing information</w:t>
                      </w:r>
                      <w:r>
                        <w:rPr>
                          <w:lang w:val="en-GB" w:eastAsia="en-US"/>
                        </w:rPr>
                        <w:t xml:space="preserve"> about land and building assets and parking accounts and spaces</w:t>
                      </w:r>
                      <w:r w:rsidRPr="00052D66">
                        <w:rPr>
                          <w:lang w:eastAsia="en-US"/>
                        </w:rPr>
                        <w:t xml:space="preserve"> in accordance with the local government transparency code 201</w:t>
                      </w:r>
                      <w:r>
                        <w:rPr>
                          <w:lang w:val="en-GB" w:eastAsia="en-US"/>
                        </w:rPr>
                        <w:t xml:space="preserve">5 </w:t>
                      </w:r>
                    </w:p>
                    <w:p w14:paraId="3AA020B2" w14:textId="77777777" w:rsidR="00247C08" w:rsidRPr="0052214B" w:rsidRDefault="00247C08" w:rsidP="00DD6160">
                      <w:pPr>
                        <w:pStyle w:val="Heading4"/>
                      </w:pPr>
                    </w:p>
                  </w:txbxContent>
                </v:textbox>
                <w10:wrap anchorx="page" anchory="page"/>
                <w10:anchorlock/>
              </v:shape>
            </w:pict>
          </mc:Fallback>
        </mc:AlternateContent>
      </w:r>
    </w:p>
    <w:p w14:paraId="1C476395" w14:textId="06412115" w:rsidR="00062A5C" w:rsidRPr="006A3468" w:rsidRDefault="00A21D20" w:rsidP="00F5697F">
      <w:pPr>
        <w:pStyle w:val="Heading1"/>
      </w:pPr>
      <w:bookmarkStart w:id="1" w:name="_Toc421280166"/>
      <w:bookmarkStart w:id="2" w:name="Background"/>
      <w:r w:rsidRPr="006A3468">
        <w:lastRenderedPageBreak/>
        <w:t>Contents</w:t>
      </w:r>
      <w:bookmarkEnd w:id="1"/>
    </w:p>
    <w:p w14:paraId="7CF3E33B" w14:textId="77777777" w:rsidR="00F7779C" w:rsidRDefault="008260BF">
      <w:pPr>
        <w:pStyle w:val="TOC1"/>
        <w:rPr>
          <w:rFonts w:asciiTheme="minorHAnsi" w:eastAsiaTheme="minorEastAsia" w:hAnsiTheme="minorHAnsi" w:cstheme="minorBidi"/>
          <w:color w:val="auto"/>
        </w:rPr>
      </w:pPr>
      <w:r w:rsidRPr="006A3468">
        <w:rPr>
          <w:color w:val="91278F"/>
          <w:sz w:val="24"/>
          <w:szCs w:val="24"/>
        </w:rPr>
        <w:fldChar w:fldCharType="begin"/>
      </w:r>
      <w:r w:rsidRPr="006A3468">
        <w:rPr>
          <w:sz w:val="24"/>
          <w:szCs w:val="24"/>
        </w:rPr>
        <w:instrText xml:space="preserve"> TOC \o "1-3" \h \z \u </w:instrText>
      </w:r>
      <w:r w:rsidRPr="006A3468">
        <w:rPr>
          <w:color w:val="91278F"/>
          <w:sz w:val="24"/>
          <w:szCs w:val="24"/>
        </w:rPr>
        <w:fldChar w:fldCharType="separate"/>
      </w:r>
      <w:hyperlink w:anchor="_Toc421280166" w:history="1">
        <w:r w:rsidR="00F7779C" w:rsidRPr="00A92695">
          <w:rPr>
            <w:rStyle w:val="Hyperlink"/>
          </w:rPr>
          <w:t>Contents</w:t>
        </w:r>
        <w:r w:rsidR="00F7779C">
          <w:rPr>
            <w:webHidden/>
          </w:rPr>
          <w:tab/>
        </w:r>
        <w:r w:rsidR="00F7779C">
          <w:rPr>
            <w:webHidden/>
          </w:rPr>
          <w:fldChar w:fldCharType="begin"/>
        </w:r>
        <w:r w:rsidR="00F7779C">
          <w:rPr>
            <w:webHidden/>
          </w:rPr>
          <w:instrText xml:space="preserve"> PAGEREF _Toc421280166 \h </w:instrText>
        </w:r>
        <w:r w:rsidR="00F7779C">
          <w:rPr>
            <w:webHidden/>
          </w:rPr>
        </w:r>
        <w:r w:rsidR="00F7779C">
          <w:rPr>
            <w:webHidden/>
          </w:rPr>
          <w:fldChar w:fldCharType="separate"/>
        </w:r>
        <w:r w:rsidR="00583EBE">
          <w:rPr>
            <w:webHidden/>
          </w:rPr>
          <w:t>2</w:t>
        </w:r>
        <w:r w:rsidR="00F7779C">
          <w:rPr>
            <w:webHidden/>
          </w:rPr>
          <w:fldChar w:fldCharType="end"/>
        </w:r>
      </w:hyperlink>
    </w:p>
    <w:p w14:paraId="336144E5" w14:textId="77777777" w:rsidR="00F7779C" w:rsidRDefault="00583EBE">
      <w:pPr>
        <w:pStyle w:val="TOC1"/>
        <w:rPr>
          <w:rFonts w:asciiTheme="minorHAnsi" w:eastAsiaTheme="minorEastAsia" w:hAnsiTheme="minorHAnsi" w:cstheme="minorBidi"/>
          <w:color w:val="auto"/>
        </w:rPr>
      </w:pPr>
      <w:hyperlink w:anchor="_Toc421280167" w:history="1">
        <w:r w:rsidR="00F7779C" w:rsidRPr="00A92695">
          <w:rPr>
            <w:rStyle w:val="Hyperlink"/>
          </w:rPr>
          <w:t>Version history</w:t>
        </w:r>
        <w:r w:rsidR="00F7779C">
          <w:rPr>
            <w:webHidden/>
          </w:rPr>
          <w:tab/>
        </w:r>
        <w:r w:rsidR="00F7779C">
          <w:rPr>
            <w:webHidden/>
          </w:rPr>
          <w:fldChar w:fldCharType="begin"/>
        </w:r>
        <w:r w:rsidR="00F7779C">
          <w:rPr>
            <w:webHidden/>
          </w:rPr>
          <w:instrText xml:space="preserve"> PAGEREF _Toc421280167 \h </w:instrText>
        </w:r>
        <w:r w:rsidR="00F7779C">
          <w:rPr>
            <w:webHidden/>
          </w:rPr>
        </w:r>
        <w:r w:rsidR="00F7779C">
          <w:rPr>
            <w:webHidden/>
          </w:rPr>
          <w:fldChar w:fldCharType="separate"/>
        </w:r>
        <w:r>
          <w:rPr>
            <w:webHidden/>
          </w:rPr>
          <w:t>2</w:t>
        </w:r>
        <w:r w:rsidR="00F7779C">
          <w:rPr>
            <w:webHidden/>
          </w:rPr>
          <w:fldChar w:fldCharType="end"/>
        </w:r>
      </w:hyperlink>
    </w:p>
    <w:p w14:paraId="359CE5C6" w14:textId="77777777" w:rsidR="00F7779C" w:rsidRDefault="00583EBE">
      <w:pPr>
        <w:pStyle w:val="TOC1"/>
        <w:rPr>
          <w:rFonts w:asciiTheme="minorHAnsi" w:eastAsiaTheme="minorEastAsia" w:hAnsiTheme="minorHAnsi" w:cstheme="minorBidi"/>
          <w:color w:val="auto"/>
        </w:rPr>
      </w:pPr>
      <w:hyperlink w:anchor="_Toc421280168" w:history="1">
        <w:r w:rsidR="00F7779C" w:rsidRPr="00A92695">
          <w:rPr>
            <w:rStyle w:val="Hyperlink"/>
          </w:rPr>
          <w:t>Introduction</w:t>
        </w:r>
        <w:r w:rsidR="00F7779C">
          <w:rPr>
            <w:webHidden/>
          </w:rPr>
          <w:tab/>
        </w:r>
        <w:r w:rsidR="00F7779C">
          <w:rPr>
            <w:webHidden/>
          </w:rPr>
          <w:fldChar w:fldCharType="begin"/>
        </w:r>
        <w:r w:rsidR="00F7779C">
          <w:rPr>
            <w:webHidden/>
          </w:rPr>
          <w:instrText xml:space="preserve"> PAGEREF _Toc421280168 \h </w:instrText>
        </w:r>
        <w:r w:rsidR="00F7779C">
          <w:rPr>
            <w:webHidden/>
          </w:rPr>
        </w:r>
        <w:r w:rsidR="00F7779C">
          <w:rPr>
            <w:webHidden/>
          </w:rPr>
          <w:fldChar w:fldCharType="separate"/>
        </w:r>
        <w:r>
          <w:rPr>
            <w:webHidden/>
          </w:rPr>
          <w:t>3</w:t>
        </w:r>
        <w:r w:rsidR="00F7779C">
          <w:rPr>
            <w:webHidden/>
          </w:rPr>
          <w:fldChar w:fldCharType="end"/>
        </w:r>
      </w:hyperlink>
    </w:p>
    <w:p w14:paraId="5F27BBF0" w14:textId="77777777" w:rsidR="00F7779C" w:rsidRDefault="00583EBE">
      <w:pPr>
        <w:pStyle w:val="TOC1"/>
        <w:rPr>
          <w:rFonts w:asciiTheme="minorHAnsi" w:eastAsiaTheme="minorEastAsia" w:hAnsiTheme="minorHAnsi" w:cstheme="minorBidi"/>
          <w:color w:val="auto"/>
        </w:rPr>
      </w:pPr>
      <w:hyperlink w:anchor="_Toc421280169" w:history="1">
        <w:r w:rsidR="00F7779C" w:rsidRPr="00A92695">
          <w:rPr>
            <w:rStyle w:val="Hyperlink"/>
          </w:rPr>
          <w:t>Local authority land</w:t>
        </w:r>
        <w:r w:rsidR="00F7779C">
          <w:rPr>
            <w:webHidden/>
          </w:rPr>
          <w:tab/>
        </w:r>
        <w:r w:rsidR="00F7779C">
          <w:rPr>
            <w:webHidden/>
          </w:rPr>
          <w:fldChar w:fldCharType="begin"/>
        </w:r>
        <w:r w:rsidR="00F7779C">
          <w:rPr>
            <w:webHidden/>
          </w:rPr>
          <w:instrText xml:space="preserve"> PAGEREF _Toc421280169 \h </w:instrText>
        </w:r>
        <w:r w:rsidR="00F7779C">
          <w:rPr>
            <w:webHidden/>
          </w:rPr>
        </w:r>
        <w:r w:rsidR="00F7779C">
          <w:rPr>
            <w:webHidden/>
          </w:rPr>
          <w:fldChar w:fldCharType="separate"/>
        </w:r>
        <w:r>
          <w:rPr>
            <w:webHidden/>
          </w:rPr>
          <w:t>5</w:t>
        </w:r>
        <w:r w:rsidR="00F7779C">
          <w:rPr>
            <w:webHidden/>
          </w:rPr>
          <w:fldChar w:fldCharType="end"/>
        </w:r>
      </w:hyperlink>
    </w:p>
    <w:p w14:paraId="1261CC51" w14:textId="77777777" w:rsidR="00F7779C" w:rsidRDefault="00583EBE">
      <w:pPr>
        <w:pStyle w:val="TOC2"/>
        <w:rPr>
          <w:rFonts w:asciiTheme="minorHAnsi" w:eastAsiaTheme="minorEastAsia" w:hAnsiTheme="minorHAnsi" w:cstheme="minorBidi"/>
          <w:color w:val="auto"/>
        </w:rPr>
      </w:pPr>
      <w:hyperlink w:anchor="_Toc421280170" w:history="1">
        <w:r w:rsidR="00F7779C" w:rsidRPr="00A92695">
          <w:rPr>
            <w:rStyle w:val="Hyperlink"/>
            <w:lang w:val="en"/>
          </w:rPr>
          <w:t xml:space="preserve">Scope for </w:t>
        </w:r>
        <w:r w:rsidR="00F7779C" w:rsidRPr="00A92695">
          <w:rPr>
            <w:rStyle w:val="Hyperlink"/>
          </w:rPr>
          <w:t>publishing</w:t>
        </w:r>
        <w:r w:rsidR="00F7779C" w:rsidRPr="00A92695">
          <w:rPr>
            <w:rStyle w:val="Hyperlink"/>
            <w:lang w:val="en"/>
          </w:rPr>
          <w:t xml:space="preserve"> local </w:t>
        </w:r>
        <w:r w:rsidR="00F7779C" w:rsidRPr="00A92695">
          <w:rPr>
            <w:rStyle w:val="Hyperlink"/>
          </w:rPr>
          <w:t>authority</w:t>
        </w:r>
        <w:r w:rsidR="00F7779C" w:rsidRPr="00A92695">
          <w:rPr>
            <w:rStyle w:val="Hyperlink"/>
            <w:lang w:val="en"/>
          </w:rPr>
          <w:t xml:space="preserve"> land</w:t>
        </w:r>
        <w:r w:rsidR="00F7779C">
          <w:rPr>
            <w:webHidden/>
          </w:rPr>
          <w:tab/>
        </w:r>
        <w:r w:rsidR="00F7779C">
          <w:rPr>
            <w:webHidden/>
          </w:rPr>
          <w:fldChar w:fldCharType="begin"/>
        </w:r>
        <w:r w:rsidR="00F7779C">
          <w:rPr>
            <w:webHidden/>
          </w:rPr>
          <w:instrText xml:space="preserve"> PAGEREF _Toc421280170 \h </w:instrText>
        </w:r>
        <w:r w:rsidR="00F7779C">
          <w:rPr>
            <w:webHidden/>
          </w:rPr>
        </w:r>
        <w:r w:rsidR="00F7779C">
          <w:rPr>
            <w:webHidden/>
          </w:rPr>
          <w:fldChar w:fldCharType="separate"/>
        </w:r>
        <w:r>
          <w:rPr>
            <w:webHidden/>
          </w:rPr>
          <w:t>5</w:t>
        </w:r>
        <w:r w:rsidR="00F7779C">
          <w:rPr>
            <w:webHidden/>
          </w:rPr>
          <w:fldChar w:fldCharType="end"/>
        </w:r>
      </w:hyperlink>
    </w:p>
    <w:p w14:paraId="4CE80901" w14:textId="77777777" w:rsidR="00F7779C" w:rsidRDefault="00583EBE">
      <w:pPr>
        <w:pStyle w:val="TOC2"/>
        <w:rPr>
          <w:rFonts w:asciiTheme="minorHAnsi" w:eastAsiaTheme="minorEastAsia" w:hAnsiTheme="minorHAnsi" w:cstheme="minorBidi"/>
          <w:color w:val="auto"/>
        </w:rPr>
      </w:pPr>
      <w:hyperlink w:anchor="_Toc421280171" w:history="1">
        <w:r w:rsidR="00F7779C" w:rsidRPr="00A92695">
          <w:rPr>
            <w:rStyle w:val="Hyperlink"/>
          </w:rPr>
          <w:t>What land and building assets should be published</w:t>
        </w:r>
        <w:r w:rsidR="00F7779C">
          <w:rPr>
            <w:webHidden/>
          </w:rPr>
          <w:tab/>
        </w:r>
        <w:r w:rsidR="00F7779C">
          <w:rPr>
            <w:webHidden/>
          </w:rPr>
          <w:fldChar w:fldCharType="begin"/>
        </w:r>
        <w:r w:rsidR="00F7779C">
          <w:rPr>
            <w:webHidden/>
          </w:rPr>
          <w:instrText xml:space="preserve"> PAGEREF _Toc421280171 \h </w:instrText>
        </w:r>
        <w:r w:rsidR="00F7779C">
          <w:rPr>
            <w:webHidden/>
          </w:rPr>
        </w:r>
        <w:r w:rsidR="00F7779C">
          <w:rPr>
            <w:webHidden/>
          </w:rPr>
          <w:fldChar w:fldCharType="separate"/>
        </w:r>
        <w:r>
          <w:rPr>
            <w:webHidden/>
          </w:rPr>
          <w:t>6</w:t>
        </w:r>
        <w:r w:rsidR="00F7779C">
          <w:rPr>
            <w:webHidden/>
          </w:rPr>
          <w:fldChar w:fldCharType="end"/>
        </w:r>
      </w:hyperlink>
    </w:p>
    <w:p w14:paraId="7CAE536F" w14:textId="77777777" w:rsidR="00F7779C" w:rsidRDefault="00583EBE">
      <w:pPr>
        <w:pStyle w:val="TOC2"/>
        <w:rPr>
          <w:rFonts w:asciiTheme="minorHAnsi" w:eastAsiaTheme="minorEastAsia" w:hAnsiTheme="minorHAnsi" w:cstheme="minorBidi"/>
          <w:color w:val="auto"/>
        </w:rPr>
      </w:pPr>
      <w:hyperlink w:anchor="_Toc421280172" w:history="1">
        <w:r w:rsidR="00F7779C" w:rsidRPr="00A92695">
          <w:rPr>
            <w:rStyle w:val="Hyperlink"/>
          </w:rPr>
          <w:t>Contents of the land asset register</w:t>
        </w:r>
        <w:r w:rsidR="00F7779C">
          <w:rPr>
            <w:webHidden/>
          </w:rPr>
          <w:tab/>
        </w:r>
        <w:r w:rsidR="00F7779C">
          <w:rPr>
            <w:webHidden/>
          </w:rPr>
          <w:fldChar w:fldCharType="begin"/>
        </w:r>
        <w:r w:rsidR="00F7779C">
          <w:rPr>
            <w:webHidden/>
          </w:rPr>
          <w:instrText xml:space="preserve"> PAGEREF _Toc421280172 \h </w:instrText>
        </w:r>
        <w:r w:rsidR="00F7779C">
          <w:rPr>
            <w:webHidden/>
          </w:rPr>
        </w:r>
        <w:r w:rsidR="00F7779C">
          <w:rPr>
            <w:webHidden/>
          </w:rPr>
          <w:fldChar w:fldCharType="separate"/>
        </w:r>
        <w:r>
          <w:rPr>
            <w:webHidden/>
          </w:rPr>
          <w:t>7</w:t>
        </w:r>
        <w:r w:rsidR="00F7779C">
          <w:rPr>
            <w:webHidden/>
          </w:rPr>
          <w:fldChar w:fldCharType="end"/>
        </w:r>
      </w:hyperlink>
    </w:p>
    <w:p w14:paraId="46C3D4FE" w14:textId="77777777" w:rsidR="00F7779C" w:rsidRDefault="00583EBE">
      <w:pPr>
        <w:pStyle w:val="TOC2"/>
        <w:rPr>
          <w:rFonts w:asciiTheme="minorHAnsi" w:eastAsiaTheme="minorEastAsia" w:hAnsiTheme="minorHAnsi" w:cstheme="minorBidi"/>
          <w:color w:val="auto"/>
        </w:rPr>
      </w:pPr>
      <w:hyperlink w:anchor="_Toc421280173" w:history="1">
        <w:r w:rsidR="00F7779C" w:rsidRPr="00A92695">
          <w:rPr>
            <w:rStyle w:val="Hyperlink"/>
          </w:rPr>
          <w:t>How to process and publish the data</w:t>
        </w:r>
        <w:r w:rsidR="00F7779C">
          <w:rPr>
            <w:webHidden/>
          </w:rPr>
          <w:tab/>
        </w:r>
        <w:r w:rsidR="00F7779C">
          <w:rPr>
            <w:webHidden/>
          </w:rPr>
          <w:fldChar w:fldCharType="begin"/>
        </w:r>
        <w:r w:rsidR="00F7779C">
          <w:rPr>
            <w:webHidden/>
          </w:rPr>
          <w:instrText xml:space="preserve"> PAGEREF _Toc421280173 \h </w:instrText>
        </w:r>
        <w:r w:rsidR="00F7779C">
          <w:rPr>
            <w:webHidden/>
          </w:rPr>
        </w:r>
        <w:r w:rsidR="00F7779C">
          <w:rPr>
            <w:webHidden/>
          </w:rPr>
          <w:fldChar w:fldCharType="separate"/>
        </w:r>
        <w:r>
          <w:rPr>
            <w:webHidden/>
          </w:rPr>
          <w:t>13</w:t>
        </w:r>
        <w:r w:rsidR="00F7779C">
          <w:rPr>
            <w:webHidden/>
          </w:rPr>
          <w:fldChar w:fldCharType="end"/>
        </w:r>
      </w:hyperlink>
    </w:p>
    <w:p w14:paraId="61CEDDED" w14:textId="77777777" w:rsidR="00F7779C" w:rsidRDefault="00583EBE">
      <w:pPr>
        <w:pStyle w:val="TOC1"/>
        <w:rPr>
          <w:rFonts w:asciiTheme="minorHAnsi" w:eastAsiaTheme="minorEastAsia" w:hAnsiTheme="minorHAnsi" w:cstheme="minorBidi"/>
          <w:color w:val="auto"/>
        </w:rPr>
      </w:pPr>
      <w:hyperlink w:anchor="_Toc421280174" w:history="1">
        <w:r w:rsidR="00F7779C" w:rsidRPr="00A92695">
          <w:rPr>
            <w:rStyle w:val="Hyperlink"/>
          </w:rPr>
          <w:t>Social housing asset value</w:t>
        </w:r>
        <w:r w:rsidR="00F7779C">
          <w:rPr>
            <w:webHidden/>
          </w:rPr>
          <w:tab/>
        </w:r>
        <w:r w:rsidR="00F7779C">
          <w:rPr>
            <w:webHidden/>
          </w:rPr>
          <w:fldChar w:fldCharType="begin"/>
        </w:r>
        <w:r w:rsidR="00F7779C">
          <w:rPr>
            <w:webHidden/>
          </w:rPr>
          <w:instrText xml:space="preserve"> PAGEREF _Toc421280174 \h </w:instrText>
        </w:r>
        <w:r w:rsidR="00F7779C">
          <w:rPr>
            <w:webHidden/>
          </w:rPr>
        </w:r>
        <w:r w:rsidR="00F7779C">
          <w:rPr>
            <w:webHidden/>
          </w:rPr>
          <w:fldChar w:fldCharType="separate"/>
        </w:r>
        <w:r>
          <w:rPr>
            <w:webHidden/>
          </w:rPr>
          <w:t>17</w:t>
        </w:r>
        <w:r w:rsidR="00F7779C">
          <w:rPr>
            <w:webHidden/>
          </w:rPr>
          <w:fldChar w:fldCharType="end"/>
        </w:r>
      </w:hyperlink>
    </w:p>
    <w:p w14:paraId="5824BC24" w14:textId="77777777" w:rsidR="00F7779C" w:rsidRDefault="00583EBE">
      <w:pPr>
        <w:pStyle w:val="TOC1"/>
        <w:rPr>
          <w:rFonts w:asciiTheme="minorHAnsi" w:eastAsiaTheme="minorEastAsia" w:hAnsiTheme="minorHAnsi" w:cstheme="minorBidi"/>
          <w:color w:val="auto"/>
        </w:rPr>
      </w:pPr>
      <w:hyperlink w:anchor="_Toc421280175" w:history="1">
        <w:r w:rsidR="00F7779C" w:rsidRPr="00A92695">
          <w:rPr>
            <w:rStyle w:val="Hyperlink"/>
          </w:rPr>
          <w:t>Parking information</w:t>
        </w:r>
        <w:r w:rsidR="00F7779C">
          <w:rPr>
            <w:webHidden/>
          </w:rPr>
          <w:tab/>
        </w:r>
        <w:r w:rsidR="00F7779C">
          <w:rPr>
            <w:webHidden/>
          </w:rPr>
          <w:fldChar w:fldCharType="begin"/>
        </w:r>
        <w:r w:rsidR="00F7779C">
          <w:rPr>
            <w:webHidden/>
          </w:rPr>
          <w:instrText xml:space="preserve"> PAGEREF _Toc421280175 \h </w:instrText>
        </w:r>
        <w:r w:rsidR="00F7779C">
          <w:rPr>
            <w:webHidden/>
          </w:rPr>
        </w:r>
        <w:r w:rsidR="00F7779C">
          <w:rPr>
            <w:webHidden/>
          </w:rPr>
          <w:fldChar w:fldCharType="separate"/>
        </w:r>
        <w:r>
          <w:rPr>
            <w:webHidden/>
          </w:rPr>
          <w:t>22</w:t>
        </w:r>
        <w:r w:rsidR="00F7779C">
          <w:rPr>
            <w:webHidden/>
          </w:rPr>
          <w:fldChar w:fldCharType="end"/>
        </w:r>
      </w:hyperlink>
    </w:p>
    <w:p w14:paraId="14529243" w14:textId="77777777" w:rsidR="00F7779C" w:rsidRDefault="00583EBE">
      <w:pPr>
        <w:pStyle w:val="TOC2"/>
        <w:rPr>
          <w:rFonts w:asciiTheme="minorHAnsi" w:eastAsiaTheme="minorEastAsia" w:hAnsiTheme="minorHAnsi" w:cstheme="minorBidi"/>
          <w:color w:val="auto"/>
        </w:rPr>
      </w:pPr>
      <w:hyperlink w:anchor="_Toc421280176" w:history="1">
        <w:r w:rsidR="00F7779C" w:rsidRPr="00A92695">
          <w:rPr>
            <w:rStyle w:val="Hyperlink"/>
          </w:rPr>
          <w:t>Contents of the parking data</w:t>
        </w:r>
        <w:r w:rsidR="00F7779C">
          <w:rPr>
            <w:webHidden/>
          </w:rPr>
          <w:tab/>
        </w:r>
        <w:r w:rsidR="00F7779C">
          <w:rPr>
            <w:webHidden/>
          </w:rPr>
          <w:fldChar w:fldCharType="begin"/>
        </w:r>
        <w:r w:rsidR="00F7779C">
          <w:rPr>
            <w:webHidden/>
          </w:rPr>
          <w:instrText xml:space="preserve"> PAGEREF _Toc421280176 \h </w:instrText>
        </w:r>
        <w:r w:rsidR="00F7779C">
          <w:rPr>
            <w:webHidden/>
          </w:rPr>
        </w:r>
        <w:r w:rsidR="00F7779C">
          <w:rPr>
            <w:webHidden/>
          </w:rPr>
          <w:fldChar w:fldCharType="separate"/>
        </w:r>
        <w:r>
          <w:rPr>
            <w:webHidden/>
          </w:rPr>
          <w:t>23</w:t>
        </w:r>
        <w:r w:rsidR="00F7779C">
          <w:rPr>
            <w:webHidden/>
          </w:rPr>
          <w:fldChar w:fldCharType="end"/>
        </w:r>
      </w:hyperlink>
    </w:p>
    <w:p w14:paraId="3EC1DE5F" w14:textId="77777777" w:rsidR="00F7779C" w:rsidRDefault="00583EBE">
      <w:pPr>
        <w:pStyle w:val="TOC1"/>
        <w:rPr>
          <w:rFonts w:asciiTheme="minorHAnsi" w:eastAsiaTheme="minorEastAsia" w:hAnsiTheme="minorHAnsi" w:cstheme="minorBidi"/>
          <w:color w:val="auto"/>
        </w:rPr>
      </w:pPr>
      <w:hyperlink w:anchor="_Toc421280177" w:history="1">
        <w:r w:rsidR="00F7779C" w:rsidRPr="00A92695">
          <w:rPr>
            <w:rStyle w:val="Hyperlink"/>
          </w:rPr>
          <w:t>Annex I: templates</w:t>
        </w:r>
        <w:r w:rsidR="00F7779C">
          <w:rPr>
            <w:webHidden/>
          </w:rPr>
          <w:tab/>
        </w:r>
        <w:r w:rsidR="00F7779C">
          <w:rPr>
            <w:webHidden/>
          </w:rPr>
          <w:fldChar w:fldCharType="begin"/>
        </w:r>
        <w:r w:rsidR="00F7779C">
          <w:rPr>
            <w:webHidden/>
          </w:rPr>
          <w:instrText xml:space="preserve"> PAGEREF _Toc421280177 \h </w:instrText>
        </w:r>
        <w:r w:rsidR="00F7779C">
          <w:rPr>
            <w:webHidden/>
          </w:rPr>
        </w:r>
        <w:r w:rsidR="00F7779C">
          <w:rPr>
            <w:webHidden/>
          </w:rPr>
          <w:fldChar w:fldCharType="separate"/>
        </w:r>
        <w:r>
          <w:rPr>
            <w:webHidden/>
          </w:rPr>
          <w:t>25</w:t>
        </w:r>
        <w:r w:rsidR="00F7779C">
          <w:rPr>
            <w:webHidden/>
          </w:rPr>
          <w:fldChar w:fldCharType="end"/>
        </w:r>
      </w:hyperlink>
    </w:p>
    <w:p w14:paraId="2E7CA7AC" w14:textId="77777777" w:rsidR="00F7779C" w:rsidRDefault="00583EBE">
      <w:pPr>
        <w:pStyle w:val="TOC2"/>
        <w:rPr>
          <w:rFonts w:asciiTheme="minorHAnsi" w:eastAsiaTheme="minorEastAsia" w:hAnsiTheme="minorHAnsi" w:cstheme="minorBidi"/>
          <w:color w:val="auto"/>
        </w:rPr>
      </w:pPr>
      <w:hyperlink w:anchor="_Toc421280178" w:history="1">
        <w:r w:rsidR="00F7779C" w:rsidRPr="00A92695">
          <w:rPr>
            <w:rStyle w:val="Hyperlink"/>
          </w:rPr>
          <w:t>Land and building asset data template</w:t>
        </w:r>
        <w:r w:rsidR="00F7779C">
          <w:rPr>
            <w:webHidden/>
          </w:rPr>
          <w:tab/>
        </w:r>
        <w:r w:rsidR="00F7779C">
          <w:rPr>
            <w:webHidden/>
          </w:rPr>
          <w:fldChar w:fldCharType="begin"/>
        </w:r>
        <w:r w:rsidR="00F7779C">
          <w:rPr>
            <w:webHidden/>
          </w:rPr>
          <w:instrText xml:space="preserve"> PAGEREF _Toc421280178 \h </w:instrText>
        </w:r>
        <w:r w:rsidR="00F7779C">
          <w:rPr>
            <w:webHidden/>
          </w:rPr>
        </w:r>
        <w:r w:rsidR="00F7779C">
          <w:rPr>
            <w:webHidden/>
          </w:rPr>
          <w:fldChar w:fldCharType="separate"/>
        </w:r>
        <w:r>
          <w:rPr>
            <w:webHidden/>
          </w:rPr>
          <w:t>25</w:t>
        </w:r>
        <w:r w:rsidR="00F7779C">
          <w:rPr>
            <w:webHidden/>
          </w:rPr>
          <w:fldChar w:fldCharType="end"/>
        </w:r>
      </w:hyperlink>
    </w:p>
    <w:p w14:paraId="7F393E0F" w14:textId="77777777" w:rsidR="00F7779C" w:rsidRDefault="00583EBE">
      <w:pPr>
        <w:pStyle w:val="TOC2"/>
        <w:rPr>
          <w:rFonts w:asciiTheme="minorHAnsi" w:eastAsiaTheme="minorEastAsia" w:hAnsiTheme="minorHAnsi" w:cstheme="minorBidi"/>
          <w:color w:val="auto"/>
        </w:rPr>
      </w:pPr>
      <w:hyperlink w:anchor="_Toc421280179" w:history="1">
        <w:r w:rsidR="00F7779C" w:rsidRPr="00A92695">
          <w:rPr>
            <w:rStyle w:val="Hyperlink"/>
          </w:rPr>
          <w:t>Social Housing Asset Value Template</w:t>
        </w:r>
        <w:r w:rsidR="00F7779C">
          <w:rPr>
            <w:webHidden/>
          </w:rPr>
          <w:tab/>
        </w:r>
        <w:r w:rsidR="00F7779C">
          <w:rPr>
            <w:webHidden/>
          </w:rPr>
          <w:fldChar w:fldCharType="begin"/>
        </w:r>
        <w:r w:rsidR="00F7779C">
          <w:rPr>
            <w:webHidden/>
          </w:rPr>
          <w:instrText xml:space="preserve"> PAGEREF _Toc421280179 \h </w:instrText>
        </w:r>
        <w:r w:rsidR="00F7779C">
          <w:rPr>
            <w:webHidden/>
          </w:rPr>
        </w:r>
        <w:r w:rsidR="00F7779C">
          <w:rPr>
            <w:webHidden/>
          </w:rPr>
          <w:fldChar w:fldCharType="separate"/>
        </w:r>
        <w:r>
          <w:rPr>
            <w:webHidden/>
          </w:rPr>
          <w:t>33</w:t>
        </w:r>
        <w:r w:rsidR="00F7779C">
          <w:rPr>
            <w:webHidden/>
          </w:rPr>
          <w:fldChar w:fldCharType="end"/>
        </w:r>
      </w:hyperlink>
    </w:p>
    <w:p w14:paraId="520EB7B7" w14:textId="77777777" w:rsidR="00F7779C" w:rsidRDefault="00583EBE">
      <w:pPr>
        <w:pStyle w:val="TOC2"/>
        <w:rPr>
          <w:rFonts w:asciiTheme="minorHAnsi" w:eastAsiaTheme="minorEastAsia" w:hAnsiTheme="minorHAnsi" w:cstheme="minorBidi"/>
          <w:color w:val="auto"/>
        </w:rPr>
      </w:pPr>
      <w:hyperlink w:anchor="_Toc421280180" w:history="1">
        <w:r w:rsidR="00F7779C" w:rsidRPr="00A92695">
          <w:rPr>
            <w:rStyle w:val="Hyperlink"/>
          </w:rPr>
          <w:t>Parking template</w:t>
        </w:r>
        <w:r w:rsidR="00F7779C">
          <w:rPr>
            <w:webHidden/>
          </w:rPr>
          <w:tab/>
        </w:r>
        <w:r w:rsidR="00F7779C">
          <w:rPr>
            <w:webHidden/>
          </w:rPr>
          <w:fldChar w:fldCharType="begin"/>
        </w:r>
        <w:r w:rsidR="00F7779C">
          <w:rPr>
            <w:webHidden/>
          </w:rPr>
          <w:instrText xml:space="preserve"> PAGEREF _Toc421280180 \h </w:instrText>
        </w:r>
        <w:r w:rsidR="00F7779C">
          <w:rPr>
            <w:webHidden/>
          </w:rPr>
        </w:r>
        <w:r w:rsidR="00F7779C">
          <w:rPr>
            <w:webHidden/>
          </w:rPr>
          <w:fldChar w:fldCharType="separate"/>
        </w:r>
        <w:r>
          <w:rPr>
            <w:webHidden/>
          </w:rPr>
          <w:t>39</w:t>
        </w:r>
        <w:r w:rsidR="00F7779C">
          <w:rPr>
            <w:webHidden/>
          </w:rPr>
          <w:fldChar w:fldCharType="end"/>
        </w:r>
      </w:hyperlink>
    </w:p>
    <w:p w14:paraId="19AAC179" w14:textId="77777777" w:rsidR="00F7779C" w:rsidRDefault="00583EBE">
      <w:pPr>
        <w:pStyle w:val="TOC1"/>
        <w:rPr>
          <w:rFonts w:asciiTheme="minorHAnsi" w:eastAsiaTheme="minorEastAsia" w:hAnsiTheme="minorHAnsi" w:cstheme="minorBidi"/>
          <w:color w:val="auto"/>
        </w:rPr>
      </w:pPr>
      <w:hyperlink w:anchor="_Toc421280181" w:history="1">
        <w:r w:rsidR="00F7779C" w:rsidRPr="00A92695">
          <w:rPr>
            <w:rStyle w:val="Hyperlink"/>
          </w:rPr>
          <w:t>Annex II: Published examples</w:t>
        </w:r>
        <w:r w:rsidR="00F7779C">
          <w:rPr>
            <w:webHidden/>
          </w:rPr>
          <w:tab/>
        </w:r>
        <w:r w:rsidR="00F7779C">
          <w:rPr>
            <w:webHidden/>
          </w:rPr>
          <w:fldChar w:fldCharType="begin"/>
        </w:r>
        <w:r w:rsidR="00F7779C">
          <w:rPr>
            <w:webHidden/>
          </w:rPr>
          <w:instrText xml:space="preserve"> PAGEREF _Toc421280181 \h </w:instrText>
        </w:r>
        <w:r w:rsidR="00F7779C">
          <w:rPr>
            <w:webHidden/>
          </w:rPr>
        </w:r>
        <w:r w:rsidR="00F7779C">
          <w:rPr>
            <w:webHidden/>
          </w:rPr>
          <w:fldChar w:fldCharType="separate"/>
        </w:r>
        <w:r>
          <w:rPr>
            <w:webHidden/>
          </w:rPr>
          <w:t>43</w:t>
        </w:r>
        <w:r w:rsidR="00F7779C">
          <w:rPr>
            <w:webHidden/>
          </w:rPr>
          <w:fldChar w:fldCharType="end"/>
        </w:r>
      </w:hyperlink>
    </w:p>
    <w:p w14:paraId="46CCF834" w14:textId="77777777" w:rsidR="00F7779C" w:rsidRDefault="00583EBE">
      <w:pPr>
        <w:pStyle w:val="TOC2"/>
        <w:rPr>
          <w:rFonts w:asciiTheme="minorHAnsi" w:eastAsiaTheme="minorEastAsia" w:hAnsiTheme="minorHAnsi" w:cstheme="minorBidi"/>
          <w:color w:val="auto"/>
        </w:rPr>
      </w:pPr>
      <w:hyperlink w:anchor="_Toc421280182" w:history="1">
        <w:r w:rsidR="00F7779C" w:rsidRPr="00A92695">
          <w:rPr>
            <w:rStyle w:val="Hyperlink"/>
          </w:rPr>
          <w:t>Local authority land</w:t>
        </w:r>
        <w:r w:rsidR="00F7779C">
          <w:rPr>
            <w:webHidden/>
          </w:rPr>
          <w:tab/>
        </w:r>
        <w:r w:rsidR="00F7779C">
          <w:rPr>
            <w:webHidden/>
          </w:rPr>
          <w:fldChar w:fldCharType="begin"/>
        </w:r>
        <w:r w:rsidR="00F7779C">
          <w:rPr>
            <w:webHidden/>
          </w:rPr>
          <w:instrText xml:space="preserve"> PAGEREF _Toc421280182 \h </w:instrText>
        </w:r>
        <w:r w:rsidR="00F7779C">
          <w:rPr>
            <w:webHidden/>
          </w:rPr>
        </w:r>
        <w:r w:rsidR="00F7779C">
          <w:rPr>
            <w:webHidden/>
          </w:rPr>
          <w:fldChar w:fldCharType="separate"/>
        </w:r>
        <w:r>
          <w:rPr>
            <w:webHidden/>
          </w:rPr>
          <w:t>43</w:t>
        </w:r>
        <w:r w:rsidR="00F7779C">
          <w:rPr>
            <w:webHidden/>
          </w:rPr>
          <w:fldChar w:fldCharType="end"/>
        </w:r>
      </w:hyperlink>
    </w:p>
    <w:p w14:paraId="405AB40A" w14:textId="77777777" w:rsidR="00F7779C" w:rsidRDefault="00583EBE">
      <w:pPr>
        <w:pStyle w:val="TOC2"/>
        <w:rPr>
          <w:rFonts w:asciiTheme="minorHAnsi" w:eastAsiaTheme="minorEastAsia" w:hAnsiTheme="minorHAnsi" w:cstheme="minorBidi"/>
          <w:color w:val="auto"/>
        </w:rPr>
      </w:pPr>
      <w:hyperlink w:anchor="_Toc421280183" w:history="1">
        <w:r w:rsidR="00F7779C" w:rsidRPr="00A92695">
          <w:rPr>
            <w:rStyle w:val="Hyperlink"/>
          </w:rPr>
          <w:t>Car Parking</w:t>
        </w:r>
        <w:r w:rsidR="00F7779C">
          <w:rPr>
            <w:webHidden/>
          </w:rPr>
          <w:tab/>
        </w:r>
        <w:r w:rsidR="00F7779C">
          <w:rPr>
            <w:webHidden/>
          </w:rPr>
          <w:fldChar w:fldCharType="begin"/>
        </w:r>
        <w:r w:rsidR="00F7779C">
          <w:rPr>
            <w:webHidden/>
          </w:rPr>
          <w:instrText xml:space="preserve"> PAGEREF _Toc421280183 \h </w:instrText>
        </w:r>
        <w:r w:rsidR="00F7779C">
          <w:rPr>
            <w:webHidden/>
          </w:rPr>
        </w:r>
        <w:r w:rsidR="00F7779C">
          <w:rPr>
            <w:webHidden/>
          </w:rPr>
          <w:fldChar w:fldCharType="separate"/>
        </w:r>
        <w:r>
          <w:rPr>
            <w:webHidden/>
          </w:rPr>
          <w:t>43</w:t>
        </w:r>
        <w:r w:rsidR="00F7779C">
          <w:rPr>
            <w:webHidden/>
          </w:rPr>
          <w:fldChar w:fldCharType="end"/>
        </w:r>
      </w:hyperlink>
    </w:p>
    <w:p w14:paraId="345D4BEF" w14:textId="4CDF65EA" w:rsidR="008260BF" w:rsidRPr="006A3468" w:rsidRDefault="008260BF" w:rsidP="006A3468">
      <w:pPr>
        <w:rPr>
          <w:sz w:val="24"/>
          <w:szCs w:val="24"/>
        </w:rPr>
      </w:pPr>
      <w:r w:rsidRPr="006A3468">
        <w:rPr>
          <w:sz w:val="24"/>
          <w:szCs w:val="24"/>
        </w:rPr>
        <w:fldChar w:fldCharType="end"/>
      </w:r>
    </w:p>
    <w:p w14:paraId="1A558852" w14:textId="77777777" w:rsidR="00982F54" w:rsidRDefault="00982F54" w:rsidP="00982F54">
      <w:pPr>
        <w:pStyle w:val="Heading1"/>
      </w:pPr>
      <w:bookmarkStart w:id="3" w:name="_Toc407015364"/>
      <w:bookmarkStart w:id="4" w:name="_Toc421280167"/>
      <w:r>
        <w:t>Version history</w:t>
      </w:r>
      <w:bookmarkEnd w:id="3"/>
      <w:bookmarkEnd w:id="4"/>
    </w:p>
    <w:tbl>
      <w:tblPr>
        <w:tblStyle w:val="TableGrid"/>
        <w:tblW w:w="0" w:type="auto"/>
        <w:tblLook w:val="04A0" w:firstRow="1" w:lastRow="0" w:firstColumn="1" w:lastColumn="0" w:noHBand="0" w:noVBand="1"/>
      </w:tblPr>
      <w:tblGrid>
        <w:gridCol w:w="1810"/>
        <w:gridCol w:w="2372"/>
        <w:gridCol w:w="4340"/>
      </w:tblGrid>
      <w:tr w:rsidR="00114674" w14:paraId="3E2B3651" w14:textId="77777777" w:rsidTr="007D4460">
        <w:tc>
          <w:tcPr>
            <w:tcW w:w="0" w:type="auto"/>
          </w:tcPr>
          <w:p w14:paraId="5E5B5F7E" w14:textId="77777777" w:rsidR="00982F54" w:rsidRPr="00E3304F" w:rsidRDefault="00982F54" w:rsidP="007D4460">
            <w:pPr>
              <w:spacing w:before="0" w:after="0"/>
              <w:rPr>
                <w:b/>
              </w:rPr>
            </w:pPr>
            <w:r w:rsidRPr="00E3304F">
              <w:rPr>
                <w:b/>
              </w:rPr>
              <w:t>Version/Date</w:t>
            </w:r>
          </w:p>
        </w:tc>
        <w:tc>
          <w:tcPr>
            <w:tcW w:w="0" w:type="auto"/>
          </w:tcPr>
          <w:p w14:paraId="726B5D55" w14:textId="77777777" w:rsidR="00982F54" w:rsidRPr="00E3304F" w:rsidRDefault="00982F54" w:rsidP="007D4460">
            <w:pPr>
              <w:spacing w:before="0" w:after="0"/>
              <w:rPr>
                <w:b/>
              </w:rPr>
            </w:pPr>
            <w:r w:rsidRPr="00E3304F">
              <w:rPr>
                <w:b/>
              </w:rPr>
              <w:t>Page/</w:t>
            </w:r>
            <w:r>
              <w:rPr>
                <w:b/>
              </w:rPr>
              <w:t>section</w:t>
            </w:r>
          </w:p>
        </w:tc>
        <w:tc>
          <w:tcPr>
            <w:tcW w:w="0" w:type="auto"/>
          </w:tcPr>
          <w:p w14:paraId="1BE869B0" w14:textId="77777777" w:rsidR="00982F54" w:rsidRPr="00E3304F" w:rsidRDefault="00982F54" w:rsidP="007D4460">
            <w:pPr>
              <w:spacing w:before="0" w:after="0"/>
              <w:rPr>
                <w:b/>
              </w:rPr>
            </w:pPr>
            <w:r w:rsidRPr="00E3304F">
              <w:rPr>
                <w:b/>
              </w:rPr>
              <w:t>Comment</w:t>
            </w:r>
          </w:p>
        </w:tc>
      </w:tr>
      <w:tr w:rsidR="00114674" w14:paraId="3DF874E8" w14:textId="77777777" w:rsidTr="007D4460">
        <w:tc>
          <w:tcPr>
            <w:tcW w:w="0" w:type="auto"/>
          </w:tcPr>
          <w:p w14:paraId="1ACF8FCE" w14:textId="77777777" w:rsidR="00982F54" w:rsidRDefault="00982F54" w:rsidP="007D4460">
            <w:pPr>
              <w:spacing w:before="0" w:after="0"/>
            </w:pPr>
            <w:r>
              <w:t>v1.1/22/12/2014</w:t>
            </w:r>
          </w:p>
        </w:tc>
        <w:tc>
          <w:tcPr>
            <w:tcW w:w="0" w:type="auto"/>
          </w:tcPr>
          <w:p w14:paraId="27CC852A" w14:textId="49C95F55" w:rsidR="00982F54" w:rsidRDefault="00982F54" w:rsidP="00982F54">
            <w:pPr>
              <w:spacing w:before="0" w:after="0"/>
            </w:pPr>
            <w:r>
              <w:t>p.28 Parking template</w:t>
            </w:r>
          </w:p>
        </w:tc>
        <w:tc>
          <w:tcPr>
            <w:tcW w:w="0" w:type="auto"/>
          </w:tcPr>
          <w:p w14:paraId="6C1D5FFE" w14:textId="1EB34E15" w:rsidR="00982F54" w:rsidRDefault="00982F54" w:rsidP="007D4460">
            <w:pPr>
              <w:spacing w:before="0" w:after="0"/>
            </w:pPr>
            <w:r>
              <w:t>Changed in the parking template “column” to “row” and amended the text accordingly</w:t>
            </w:r>
          </w:p>
        </w:tc>
      </w:tr>
      <w:tr w:rsidR="00114674" w14:paraId="37066960" w14:textId="77777777" w:rsidTr="007D4460">
        <w:tc>
          <w:tcPr>
            <w:tcW w:w="0" w:type="auto"/>
          </w:tcPr>
          <w:p w14:paraId="7FE91E45" w14:textId="2A8F0ADD" w:rsidR="00982F54" w:rsidRDefault="00A84C48" w:rsidP="007D4460">
            <w:pPr>
              <w:spacing w:before="0" w:after="0"/>
            </w:pPr>
            <w:r>
              <w:t>V1.2 17/02/2015</w:t>
            </w:r>
          </w:p>
        </w:tc>
        <w:tc>
          <w:tcPr>
            <w:tcW w:w="0" w:type="auto"/>
          </w:tcPr>
          <w:p w14:paraId="2D3B3374" w14:textId="47F2330C" w:rsidR="00982F54" w:rsidRDefault="00A84C48" w:rsidP="007D4460">
            <w:pPr>
              <w:spacing w:before="0" w:after="0"/>
            </w:pPr>
            <w:r>
              <w:t>p. 16 Licensing</w:t>
            </w:r>
          </w:p>
        </w:tc>
        <w:tc>
          <w:tcPr>
            <w:tcW w:w="0" w:type="auto"/>
          </w:tcPr>
          <w:p w14:paraId="5331C2AE" w14:textId="3E72EF31" w:rsidR="00982F54" w:rsidRDefault="00A84C48" w:rsidP="007D4460">
            <w:pPr>
              <w:spacing w:before="0" w:after="0"/>
            </w:pPr>
            <w:r>
              <w:t>Change of licensing conditions for publishing land asset information</w:t>
            </w:r>
          </w:p>
        </w:tc>
      </w:tr>
      <w:tr w:rsidR="00114674" w14:paraId="5F914936" w14:textId="77777777" w:rsidTr="007D4460">
        <w:tc>
          <w:tcPr>
            <w:tcW w:w="0" w:type="auto"/>
          </w:tcPr>
          <w:p w14:paraId="3B589D77" w14:textId="4EF1ABCE" w:rsidR="00EC7BC3" w:rsidRDefault="00EC7BC3" w:rsidP="00852EB8">
            <w:pPr>
              <w:spacing w:before="0" w:after="0"/>
            </w:pPr>
            <w:r>
              <w:t>V1.3</w:t>
            </w:r>
            <w:r w:rsidR="00114674">
              <w:t xml:space="preserve"> </w:t>
            </w:r>
            <w:r w:rsidR="00F7779C">
              <w:t>14</w:t>
            </w:r>
            <w:r w:rsidR="00114674">
              <w:t>/04/2015</w:t>
            </w:r>
          </w:p>
        </w:tc>
        <w:tc>
          <w:tcPr>
            <w:tcW w:w="0" w:type="auto"/>
          </w:tcPr>
          <w:p w14:paraId="519DBC0A" w14:textId="3A653CFA" w:rsidR="00EC7BC3" w:rsidRDefault="00114674" w:rsidP="007D4460">
            <w:pPr>
              <w:spacing w:before="0" w:after="0"/>
            </w:pPr>
            <w:r>
              <w:t>Contents of the land register</w:t>
            </w:r>
          </w:p>
        </w:tc>
        <w:tc>
          <w:tcPr>
            <w:tcW w:w="0" w:type="auto"/>
          </w:tcPr>
          <w:p w14:paraId="2B43B55C" w14:textId="384BEDBE" w:rsidR="00EC7BC3" w:rsidRDefault="00114674" w:rsidP="00114674">
            <w:pPr>
              <w:spacing w:before="0" w:after="0"/>
            </w:pPr>
            <w:r>
              <w:t xml:space="preserve">Updated information related to publishing UPRNs map references </w:t>
            </w:r>
          </w:p>
        </w:tc>
      </w:tr>
      <w:tr w:rsidR="00D335E3" w14:paraId="7BD3D1E2" w14:textId="77777777" w:rsidTr="007D4460">
        <w:tc>
          <w:tcPr>
            <w:tcW w:w="0" w:type="auto"/>
          </w:tcPr>
          <w:p w14:paraId="34B74606" w14:textId="77777777" w:rsidR="00D335E3" w:rsidRDefault="00D335E3" w:rsidP="007D4460">
            <w:pPr>
              <w:spacing w:before="0" w:after="0"/>
            </w:pPr>
          </w:p>
        </w:tc>
        <w:tc>
          <w:tcPr>
            <w:tcW w:w="0" w:type="auto"/>
          </w:tcPr>
          <w:p w14:paraId="76061EE1" w14:textId="22602A0F" w:rsidR="00D335E3" w:rsidRDefault="00D335E3" w:rsidP="007D4460">
            <w:pPr>
              <w:spacing w:before="0" w:after="0"/>
            </w:pPr>
            <w:r>
              <w:t>p. 17 Social Housing Asset Value</w:t>
            </w:r>
          </w:p>
        </w:tc>
        <w:tc>
          <w:tcPr>
            <w:tcW w:w="0" w:type="auto"/>
          </w:tcPr>
          <w:p w14:paraId="63DBA19C" w14:textId="0E54F524" w:rsidR="00D335E3" w:rsidRDefault="00D335E3" w:rsidP="00D335E3">
            <w:pPr>
              <w:spacing w:before="0" w:after="0"/>
            </w:pPr>
            <w:r>
              <w:t>Added information about publishing the value of social housing assets</w:t>
            </w:r>
          </w:p>
        </w:tc>
      </w:tr>
      <w:tr w:rsidR="00F7779C" w14:paraId="151CD696" w14:textId="77777777" w:rsidTr="007D4460">
        <w:tc>
          <w:tcPr>
            <w:tcW w:w="0" w:type="auto"/>
          </w:tcPr>
          <w:p w14:paraId="75A5DA08" w14:textId="0510C598" w:rsidR="00F7779C" w:rsidRDefault="00F7779C" w:rsidP="007D4460">
            <w:pPr>
              <w:spacing w:before="0" w:after="0"/>
            </w:pPr>
            <w:r>
              <w:t>V1.4 05/06/2015</w:t>
            </w:r>
          </w:p>
        </w:tc>
        <w:tc>
          <w:tcPr>
            <w:tcW w:w="0" w:type="auto"/>
          </w:tcPr>
          <w:p w14:paraId="76AA6076" w14:textId="612B1E9B" w:rsidR="00F7779C" w:rsidRDefault="00F7779C" w:rsidP="007D4460">
            <w:pPr>
              <w:spacing w:before="0" w:after="0"/>
            </w:pPr>
            <w:r>
              <w:t>p. 17 Social housing asset value</w:t>
            </w:r>
          </w:p>
        </w:tc>
        <w:tc>
          <w:tcPr>
            <w:tcW w:w="0" w:type="auto"/>
          </w:tcPr>
          <w:p w14:paraId="01437CF1" w14:textId="4FF98BEA" w:rsidR="00F7779C" w:rsidRDefault="00F7779C" w:rsidP="00D335E3">
            <w:pPr>
              <w:spacing w:before="0" w:after="0"/>
            </w:pPr>
            <w:r>
              <w:t>Added further detail to social housing asset value guidance, including examples</w:t>
            </w:r>
          </w:p>
        </w:tc>
      </w:tr>
    </w:tbl>
    <w:p w14:paraId="7A36D6A1" w14:textId="566DDB39" w:rsidR="008260BF" w:rsidRPr="006A3468" w:rsidRDefault="008260BF" w:rsidP="006A3468">
      <w:pPr>
        <w:rPr>
          <w:sz w:val="24"/>
          <w:szCs w:val="24"/>
        </w:rPr>
        <w:sectPr w:rsidR="008260BF" w:rsidRPr="006A3468" w:rsidSect="00BC58AC">
          <w:footerReference w:type="default" r:id="rId15"/>
          <w:pgSz w:w="11906" w:h="16838"/>
          <w:pgMar w:top="1440" w:right="1800" w:bottom="1440" w:left="1800" w:header="708" w:footer="708" w:gutter="0"/>
          <w:cols w:space="708"/>
          <w:docGrid w:linePitch="360"/>
        </w:sectPr>
      </w:pPr>
    </w:p>
    <w:p w14:paraId="0BC60CFE" w14:textId="2904B1E9" w:rsidR="00331999" w:rsidRPr="00ED5571" w:rsidRDefault="00F44AE2" w:rsidP="00ED5571">
      <w:pPr>
        <w:pStyle w:val="Heading1"/>
      </w:pPr>
      <w:bookmarkStart w:id="5" w:name="_Toc421280168"/>
      <w:bookmarkStart w:id="6" w:name="_Toc395091619"/>
      <w:r w:rsidRPr="00ED5571">
        <w:lastRenderedPageBreak/>
        <w:t>Introduction</w:t>
      </w:r>
      <w:bookmarkEnd w:id="5"/>
    </w:p>
    <w:p w14:paraId="37E2CDE2" w14:textId="50E41C3F" w:rsidR="000056EA" w:rsidRPr="00A90E82" w:rsidRDefault="000056EA" w:rsidP="000056EA">
      <w:r w:rsidRPr="00A90E82">
        <w:t>The Department for Communities and Local Government</w:t>
      </w:r>
      <w:r>
        <w:t xml:space="preserve"> (DCLG)</w:t>
      </w:r>
      <w:r w:rsidRPr="00A90E82">
        <w:t xml:space="preserve"> </w:t>
      </w:r>
      <w:r>
        <w:t>issued</w:t>
      </w:r>
      <w:r w:rsidRPr="00A90E82">
        <w:t xml:space="preserve"> a revised Transparency Code in </w:t>
      </w:r>
      <w:r w:rsidR="00EC7BC3">
        <w:t>February 2015</w:t>
      </w:r>
      <w:r>
        <w:t>, which specifies what open data</w:t>
      </w:r>
      <w:r w:rsidRPr="00A90E82">
        <w:t xml:space="preserve"> </w:t>
      </w:r>
      <w:r>
        <w:t>l</w:t>
      </w:r>
      <w:r w:rsidRPr="00A90E82">
        <w:t xml:space="preserve">ocal authorities </w:t>
      </w:r>
      <w:r>
        <w:t>must</w:t>
      </w:r>
      <w:r w:rsidRPr="00A90E82">
        <w:t xml:space="preserve"> publish</w:t>
      </w:r>
      <w:r>
        <w:t xml:space="preserve">. </w:t>
      </w:r>
      <w:r w:rsidRPr="00A90E82">
        <w:t>The Code also recommend</w:t>
      </w:r>
      <w:r>
        <w:t>s</w:t>
      </w:r>
      <w:r w:rsidRPr="00A90E82">
        <w:t xml:space="preserve"> </w:t>
      </w:r>
      <w:r>
        <w:t>that</w:t>
      </w:r>
      <w:r w:rsidRPr="00A90E82">
        <w:t xml:space="preserve"> local authorities go further than its requirements and p</w:t>
      </w:r>
      <w:r>
        <w:t>ublish</w:t>
      </w:r>
      <w:r w:rsidRPr="00A90E82">
        <w:t xml:space="preserve"> additional datasets and provide more detail on the</w:t>
      </w:r>
      <w:r>
        <w:t>se.</w:t>
      </w:r>
      <w:r w:rsidRPr="00A90E82">
        <w:t xml:space="preserve">  </w:t>
      </w:r>
    </w:p>
    <w:p w14:paraId="62A420E3" w14:textId="2F6C2615" w:rsidR="00373C3C" w:rsidRPr="00A90E82" w:rsidRDefault="00373C3C" w:rsidP="00373C3C">
      <w:r w:rsidRPr="00A90E82">
        <w:t>The Local Authorities (Data Transparency) Code 201</w:t>
      </w:r>
      <w:r w:rsidR="00EC7BC3">
        <w:t>5</w:t>
      </w:r>
      <w:r w:rsidRPr="00A90E82">
        <w:t xml:space="preserve"> is published, alongside a frequently asked questions document, on</w:t>
      </w:r>
      <w:r w:rsidR="00EA26C6">
        <w:t xml:space="preserve"> </w:t>
      </w:r>
      <w:hyperlink r:id="rId16" w:history="1">
        <w:r w:rsidR="00EA26C6" w:rsidRPr="00D34D1B">
          <w:rPr>
            <w:rStyle w:val="Hyperlink"/>
            <w:rFonts w:cs="Arial"/>
          </w:rPr>
          <w:t>https://www.gov.uk/government/publications/local-government-transparency-code-2015</w:t>
        </w:r>
      </w:hyperlink>
      <w:r w:rsidR="00EA26C6">
        <w:t xml:space="preserve"> </w:t>
      </w:r>
      <w:r w:rsidR="00EA26C6">
        <w:rPr>
          <w:rStyle w:val="FootnoteReference"/>
        </w:rPr>
        <w:footnoteReference w:id="1"/>
      </w:r>
      <w:r w:rsidRPr="00A90E82">
        <w:t xml:space="preserve">. </w:t>
      </w:r>
    </w:p>
    <w:p w14:paraId="793C3073" w14:textId="124E5878" w:rsidR="00711340" w:rsidRDefault="00373C3C" w:rsidP="00711340">
      <w:r>
        <w:t>To support local authorities in understanding and implementing the Code and to help them publish the data in a meaningful and consistent way, t</w:t>
      </w:r>
      <w:r w:rsidRPr="00A90E82">
        <w:t xml:space="preserve">he Local Government Association (LGA) </w:t>
      </w:r>
      <w:r>
        <w:t xml:space="preserve">has </w:t>
      </w:r>
      <w:r w:rsidRPr="00A90E82">
        <w:t xml:space="preserve">produced this set of revised guidance. </w:t>
      </w:r>
      <w:r>
        <w:t xml:space="preserve">The guidance </w:t>
      </w:r>
      <w:r w:rsidRPr="00E06147">
        <w:t>provides more detail on both the mandatory and recommended elements of the Code</w:t>
      </w:r>
      <w:r>
        <w:t>.</w:t>
      </w:r>
      <w:r w:rsidRPr="00E06147">
        <w:t xml:space="preserve"> </w:t>
      </w:r>
      <w:r w:rsidR="00711340">
        <w:t xml:space="preserve">It should be read in conjunction with the Code and the associated frequently asked questions document. </w:t>
      </w:r>
    </w:p>
    <w:p w14:paraId="4D8E8965" w14:textId="62E1A5C2" w:rsidR="00373C3C" w:rsidRPr="00E06147" w:rsidRDefault="00711340" w:rsidP="00373C3C">
      <w:r>
        <w:t>The guidance</w:t>
      </w:r>
      <w:r w:rsidR="00373C3C" w:rsidRPr="00E06147">
        <w:rPr>
          <w:rFonts w:eastAsia="Arial"/>
        </w:rPr>
        <w:t xml:space="preserve"> </w:t>
      </w:r>
      <w:r w:rsidR="00373C3C" w:rsidRPr="00E06147">
        <w:rPr>
          <w:lang w:val="en-US"/>
        </w:rPr>
        <w:t>offers practical help and advice</w:t>
      </w:r>
      <w:r w:rsidR="00373C3C">
        <w:rPr>
          <w:lang w:val="en-US"/>
        </w:rPr>
        <w:t>, both</w:t>
      </w:r>
      <w:r w:rsidR="00373C3C" w:rsidRPr="00E06147">
        <w:rPr>
          <w:lang w:val="en-US"/>
        </w:rPr>
        <w:t xml:space="preserve"> to meet </w:t>
      </w:r>
      <w:r w:rsidR="00373C3C">
        <w:rPr>
          <w:lang w:val="en-US"/>
        </w:rPr>
        <w:t xml:space="preserve">the </w:t>
      </w:r>
      <w:r w:rsidR="00373C3C" w:rsidRPr="00E06147">
        <w:rPr>
          <w:lang w:val="en-US"/>
        </w:rPr>
        <w:t>immediate targets of publishing data</w:t>
      </w:r>
      <w:r w:rsidR="00373C3C">
        <w:rPr>
          <w:lang w:val="en-US"/>
        </w:rPr>
        <w:t>,</w:t>
      </w:r>
      <w:r w:rsidR="00373C3C" w:rsidRPr="00E06147">
        <w:rPr>
          <w:lang w:val="en-US"/>
        </w:rPr>
        <w:t xml:space="preserve"> and to adopt </w:t>
      </w:r>
      <w:r w:rsidR="00373C3C">
        <w:rPr>
          <w:lang w:val="en-US"/>
        </w:rPr>
        <w:t xml:space="preserve">consistent </w:t>
      </w:r>
      <w:r w:rsidR="00373C3C" w:rsidRPr="00E06147">
        <w:rPr>
          <w:lang w:val="en-US"/>
        </w:rPr>
        <w:t xml:space="preserve">approaches that will add value for local people and public services </w:t>
      </w:r>
      <w:r w:rsidR="000475BA">
        <w:rPr>
          <w:lang w:val="en-US"/>
        </w:rPr>
        <w:t xml:space="preserve">to use the data </w:t>
      </w:r>
      <w:r w:rsidR="00373C3C" w:rsidRPr="00E06147">
        <w:rPr>
          <w:lang w:val="en-US"/>
        </w:rPr>
        <w:t xml:space="preserve">over the longer term. This approach will enable authorities </w:t>
      </w:r>
      <w:r w:rsidR="00373C3C" w:rsidRPr="00E06147">
        <w:t xml:space="preserve">to be able to compile and compare data from different authorities and departments. </w:t>
      </w:r>
    </w:p>
    <w:p w14:paraId="0C6C5C89" w14:textId="4D30478D" w:rsidR="00373C3C" w:rsidRDefault="00373C3C" w:rsidP="00CF5082">
      <w:r w:rsidRPr="00E06147">
        <w:t xml:space="preserve">This document provides local authorities with practical guidance on how to publish information related to </w:t>
      </w:r>
      <w:r>
        <w:t xml:space="preserve">land and </w:t>
      </w:r>
      <w:r w:rsidR="00EC7BC3">
        <w:t xml:space="preserve">social housing </w:t>
      </w:r>
      <w:r>
        <w:t>assets</w:t>
      </w:r>
      <w:r w:rsidR="000475BA">
        <w:t xml:space="preserve"> and </w:t>
      </w:r>
      <w:r>
        <w:t xml:space="preserve">parking accounts and </w:t>
      </w:r>
      <w:r w:rsidR="00711340">
        <w:t xml:space="preserve">parking </w:t>
      </w:r>
      <w:r>
        <w:t>spaces</w:t>
      </w:r>
    </w:p>
    <w:p w14:paraId="609885DD" w14:textId="14A54F11" w:rsidR="00324261" w:rsidRPr="00F218E1" w:rsidRDefault="00324261" w:rsidP="006A3468">
      <w:r w:rsidRPr="00F218E1">
        <w:t xml:space="preserve">There are three </w:t>
      </w:r>
      <w:r w:rsidR="00531855" w:rsidRPr="00F218E1">
        <w:t xml:space="preserve">further </w:t>
      </w:r>
      <w:r w:rsidRPr="00F218E1">
        <w:t xml:space="preserve">guides, two of which </w:t>
      </w:r>
      <w:r w:rsidR="00883597" w:rsidRPr="00F218E1">
        <w:t xml:space="preserve">cover </w:t>
      </w:r>
      <w:r w:rsidRPr="00F218E1">
        <w:t xml:space="preserve">other </w:t>
      </w:r>
      <w:r w:rsidR="00531855" w:rsidRPr="00F218E1">
        <w:t xml:space="preserve">specific </w:t>
      </w:r>
      <w:r w:rsidRPr="00F218E1">
        <w:t>requirements of the Code, and one that provides general guidance applicable to all elements of the Code</w:t>
      </w:r>
      <w:r w:rsidR="00531855" w:rsidRPr="00F218E1">
        <w:t>.</w:t>
      </w:r>
      <w:r w:rsidR="00245C17" w:rsidRPr="00F218E1">
        <w:t xml:space="preserve"> </w:t>
      </w:r>
      <w:r w:rsidRPr="00F218E1">
        <w:t>The</w:t>
      </w:r>
      <w:r w:rsidR="0071240E" w:rsidRPr="00F218E1">
        <w:t xml:space="preserve"> </w:t>
      </w:r>
      <w:r w:rsidR="00245C17" w:rsidRPr="00F218E1">
        <w:t>other guidance</w:t>
      </w:r>
      <w:r w:rsidR="000475BA">
        <w:t xml:space="preserve"> documents are</w:t>
      </w:r>
      <w:r w:rsidRPr="00F218E1">
        <w:t xml:space="preserve"> published separately as:</w:t>
      </w:r>
    </w:p>
    <w:p w14:paraId="56544DC5" w14:textId="20BF2009" w:rsidR="00324261" w:rsidRPr="00373C3C" w:rsidRDefault="00711340" w:rsidP="006A3468">
      <w:pPr>
        <w:pStyle w:val="BodyText"/>
        <w:spacing w:line="240" w:lineRule="auto"/>
      </w:pPr>
      <w:r>
        <w:rPr>
          <w:lang w:val="en-GB"/>
        </w:rPr>
        <w:t>Publishing data</w:t>
      </w:r>
    </w:p>
    <w:p w14:paraId="0A373A43" w14:textId="30B12D55" w:rsidR="00601719" w:rsidRPr="00680AFA" w:rsidRDefault="000A401A" w:rsidP="00A14F84">
      <w:pPr>
        <w:pStyle w:val="ListParagraph"/>
        <w:numPr>
          <w:ilvl w:val="0"/>
          <w:numId w:val="6"/>
        </w:numPr>
      </w:pPr>
      <w:r>
        <w:t>p</w:t>
      </w:r>
      <w:r w:rsidR="00601719" w:rsidRPr="00680AFA">
        <w:t>rocessing data for publication</w:t>
      </w:r>
    </w:p>
    <w:p w14:paraId="03C2CF85" w14:textId="576CECCC" w:rsidR="00601719" w:rsidRPr="005032D2" w:rsidRDefault="000A401A" w:rsidP="00A14F84">
      <w:pPr>
        <w:pStyle w:val="ListParagraph"/>
        <w:numPr>
          <w:ilvl w:val="0"/>
          <w:numId w:val="6"/>
        </w:numPr>
      </w:pPr>
      <w:r>
        <w:t>d</w:t>
      </w:r>
      <w:r w:rsidR="00601719" w:rsidRPr="005032D2">
        <w:t>ata access, reuse and exemptions</w:t>
      </w:r>
    </w:p>
    <w:p w14:paraId="639FD71D" w14:textId="100496A8" w:rsidR="00601719" w:rsidRPr="00631708" w:rsidRDefault="000A401A" w:rsidP="00A14F84">
      <w:pPr>
        <w:pStyle w:val="ListParagraph"/>
        <w:numPr>
          <w:ilvl w:val="0"/>
          <w:numId w:val="6"/>
        </w:numPr>
      </w:pPr>
      <w:r>
        <w:t>f</w:t>
      </w:r>
      <w:r w:rsidR="00601719" w:rsidRPr="00631708">
        <w:t>raud prevention</w:t>
      </w:r>
    </w:p>
    <w:p w14:paraId="060C5D6A" w14:textId="7A1554E4" w:rsidR="00601719" w:rsidRPr="00F218E1" w:rsidRDefault="000A401A" w:rsidP="00A14F84">
      <w:pPr>
        <w:pStyle w:val="ListParagraph"/>
        <w:numPr>
          <w:ilvl w:val="0"/>
          <w:numId w:val="6"/>
        </w:numPr>
      </w:pPr>
      <w:r>
        <w:t>l</w:t>
      </w:r>
      <w:r w:rsidR="00601719" w:rsidRPr="00F218E1">
        <w:t>icensing your data</w:t>
      </w:r>
    </w:p>
    <w:p w14:paraId="236851E0" w14:textId="41B75342" w:rsidR="00601719" w:rsidRPr="00F218E1" w:rsidRDefault="000A401A" w:rsidP="00A14F84">
      <w:pPr>
        <w:pStyle w:val="ListParagraph"/>
        <w:numPr>
          <w:ilvl w:val="0"/>
          <w:numId w:val="6"/>
        </w:numPr>
      </w:pPr>
      <w:r>
        <w:t>c</w:t>
      </w:r>
      <w:r w:rsidR="00601719" w:rsidRPr="00F218E1">
        <w:t>onverting data to open standards</w:t>
      </w:r>
    </w:p>
    <w:p w14:paraId="7419B1D9" w14:textId="2DEDF78B" w:rsidR="00601719" w:rsidRPr="00F218E1" w:rsidRDefault="000A401A" w:rsidP="00A14F84">
      <w:pPr>
        <w:pStyle w:val="ListParagraph"/>
        <w:numPr>
          <w:ilvl w:val="0"/>
          <w:numId w:val="6"/>
        </w:numPr>
      </w:pPr>
      <w:r>
        <w:t>m</w:t>
      </w:r>
      <w:r w:rsidR="00601719" w:rsidRPr="00F218E1">
        <w:t>etadata, inventories and data registration</w:t>
      </w:r>
    </w:p>
    <w:p w14:paraId="18C8C9DF" w14:textId="7B9B9998" w:rsidR="00601719" w:rsidRPr="00F218E1" w:rsidRDefault="000A401A" w:rsidP="00A14F84">
      <w:pPr>
        <w:pStyle w:val="ListParagraph"/>
        <w:numPr>
          <w:ilvl w:val="0"/>
          <w:numId w:val="6"/>
        </w:numPr>
      </w:pPr>
      <w:r>
        <w:t>p</w:t>
      </w:r>
      <w:r w:rsidR="00601719" w:rsidRPr="00F218E1">
        <w:t>ublication and timing</w:t>
      </w:r>
    </w:p>
    <w:p w14:paraId="32649991" w14:textId="6EB2E75E" w:rsidR="00324261" w:rsidRPr="00373C3C" w:rsidRDefault="00C37413" w:rsidP="006A3468">
      <w:pPr>
        <w:pStyle w:val="BodyText"/>
        <w:spacing w:line="240" w:lineRule="auto"/>
        <w:rPr>
          <w:lang w:val="en-GB"/>
        </w:rPr>
      </w:pPr>
      <w:r>
        <w:rPr>
          <w:lang w:val="en-GB"/>
        </w:rPr>
        <w:t>Publishing s</w:t>
      </w:r>
      <w:r w:rsidR="00324261" w:rsidRPr="00373C3C">
        <w:rPr>
          <w:lang w:val="en-GB"/>
        </w:rPr>
        <w:t>pending and procurement</w:t>
      </w:r>
      <w:r>
        <w:rPr>
          <w:lang w:val="en-GB"/>
        </w:rPr>
        <w:t xml:space="preserve"> information</w:t>
      </w:r>
    </w:p>
    <w:p w14:paraId="58640C11" w14:textId="77777777" w:rsidR="00324261" w:rsidRPr="00F218E1" w:rsidRDefault="00324261" w:rsidP="00A14F84">
      <w:pPr>
        <w:widowControl/>
        <w:numPr>
          <w:ilvl w:val="0"/>
          <w:numId w:val="6"/>
        </w:numPr>
        <w:spacing w:before="0" w:after="0"/>
      </w:pPr>
      <w:r w:rsidRPr="00F218E1">
        <w:t xml:space="preserve">expenditure exceeding £500 </w:t>
      </w:r>
    </w:p>
    <w:p w14:paraId="112FD174" w14:textId="1D96BB73" w:rsidR="00324261" w:rsidRPr="00F218E1" w:rsidRDefault="00537F7D" w:rsidP="00A14F84">
      <w:pPr>
        <w:widowControl/>
        <w:numPr>
          <w:ilvl w:val="0"/>
          <w:numId w:val="6"/>
        </w:numPr>
        <w:spacing w:before="0" w:after="0"/>
      </w:pPr>
      <w:r w:rsidRPr="00F218E1">
        <w:t>G</w:t>
      </w:r>
      <w:r w:rsidR="00324261" w:rsidRPr="00F218E1">
        <w:t xml:space="preserve">overnment </w:t>
      </w:r>
      <w:r w:rsidR="00387A7C" w:rsidRPr="00F218E1">
        <w:t>P</w:t>
      </w:r>
      <w:r w:rsidR="00324261" w:rsidRPr="00F218E1">
        <w:t xml:space="preserve">rocurement Card transactions </w:t>
      </w:r>
    </w:p>
    <w:p w14:paraId="72830A7B" w14:textId="2DEC308A" w:rsidR="00324261" w:rsidRPr="00F218E1" w:rsidRDefault="00324261" w:rsidP="00A14F84">
      <w:pPr>
        <w:widowControl/>
        <w:numPr>
          <w:ilvl w:val="0"/>
          <w:numId w:val="6"/>
        </w:numPr>
        <w:spacing w:before="0" w:after="0"/>
      </w:pPr>
      <w:r w:rsidRPr="00F218E1">
        <w:t xml:space="preserve">procurement information </w:t>
      </w:r>
      <w:r w:rsidR="00245C17" w:rsidRPr="00F218E1">
        <w:t>(tenders and contracts)</w:t>
      </w:r>
    </w:p>
    <w:p w14:paraId="7860A022" w14:textId="77777777" w:rsidR="00245C17" w:rsidRPr="00F218E1" w:rsidRDefault="00245C17" w:rsidP="00A14F84">
      <w:pPr>
        <w:widowControl/>
        <w:numPr>
          <w:ilvl w:val="0"/>
          <w:numId w:val="6"/>
        </w:numPr>
        <w:spacing w:before="0" w:after="0"/>
      </w:pPr>
      <w:r w:rsidRPr="00F218E1">
        <w:t>waste contracts</w:t>
      </w:r>
    </w:p>
    <w:p w14:paraId="28360B7E" w14:textId="1FD7CD59" w:rsidR="00324261" w:rsidRPr="00F218E1" w:rsidRDefault="00324261" w:rsidP="00A14F84">
      <w:pPr>
        <w:widowControl/>
        <w:numPr>
          <w:ilvl w:val="0"/>
          <w:numId w:val="6"/>
        </w:numPr>
        <w:spacing w:before="0" w:after="0"/>
      </w:pPr>
      <w:proofErr w:type="gramStart"/>
      <w:r w:rsidRPr="00F218E1">
        <w:lastRenderedPageBreak/>
        <w:t>grants</w:t>
      </w:r>
      <w:proofErr w:type="gramEnd"/>
      <w:r w:rsidRPr="00F218E1">
        <w:t xml:space="preserve"> to voluntary, community and social enterprise organisations</w:t>
      </w:r>
      <w:r w:rsidR="00387A7C" w:rsidRPr="00F218E1">
        <w:t>.</w:t>
      </w:r>
    </w:p>
    <w:p w14:paraId="3C63AF86" w14:textId="606301F3" w:rsidR="00324261" w:rsidRPr="00373C3C" w:rsidRDefault="00C37413" w:rsidP="006A3468">
      <w:pPr>
        <w:pStyle w:val="BodyText"/>
        <w:spacing w:line="240" w:lineRule="auto"/>
        <w:rPr>
          <w:lang w:val="en-GB"/>
        </w:rPr>
      </w:pPr>
      <w:r>
        <w:rPr>
          <w:lang w:val="en-GB"/>
        </w:rPr>
        <w:t>Publishing o</w:t>
      </w:r>
      <w:r w:rsidR="00324261" w:rsidRPr="00373C3C">
        <w:rPr>
          <w:lang w:val="en-GB"/>
        </w:rPr>
        <w:t>rganisation</w:t>
      </w:r>
      <w:r w:rsidR="00A16F85">
        <w:rPr>
          <w:lang w:val="en-GB"/>
        </w:rPr>
        <w:t xml:space="preserve"> information</w:t>
      </w:r>
    </w:p>
    <w:p w14:paraId="57517DD9" w14:textId="77777777" w:rsidR="00324261" w:rsidRPr="00F218E1" w:rsidRDefault="00324261" w:rsidP="00A14F84">
      <w:pPr>
        <w:widowControl/>
        <w:numPr>
          <w:ilvl w:val="0"/>
          <w:numId w:val="6"/>
        </w:numPr>
        <w:spacing w:before="0" w:after="0"/>
      </w:pPr>
      <w:r w:rsidRPr="00F218E1">
        <w:t xml:space="preserve">organisation chart </w:t>
      </w:r>
    </w:p>
    <w:p w14:paraId="1E60C45D" w14:textId="77777777" w:rsidR="00531855" w:rsidRPr="00F218E1" w:rsidRDefault="00531855" w:rsidP="00A14F84">
      <w:pPr>
        <w:widowControl/>
        <w:numPr>
          <w:ilvl w:val="0"/>
          <w:numId w:val="6"/>
        </w:numPr>
        <w:spacing w:before="0" w:after="0"/>
      </w:pPr>
      <w:r w:rsidRPr="00F218E1">
        <w:t xml:space="preserve">senior salaries </w:t>
      </w:r>
    </w:p>
    <w:p w14:paraId="5B525633" w14:textId="77777777" w:rsidR="00324261" w:rsidRPr="00F218E1" w:rsidRDefault="00324261" w:rsidP="00A14F84">
      <w:pPr>
        <w:widowControl/>
        <w:numPr>
          <w:ilvl w:val="0"/>
          <w:numId w:val="6"/>
        </w:numPr>
        <w:spacing w:before="0" w:after="0"/>
      </w:pPr>
      <w:r w:rsidRPr="00F218E1">
        <w:t>the pay multiple</w:t>
      </w:r>
    </w:p>
    <w:p w14:paraId="31B7D844" w14:textId="77777777" w:rsidR="00711340" w:rsidRPr="00F218E1" w:rsidRDefault="00711340" w:rsidP="00711340">
      <w:pPr>
        <w:widowControl/>
        <w:numPr>
          <w:ilvl w:val="0"/>
          <w:numId w:val="6"/>
        </w:numPr>
        <w:spacing w:before="0" w:after="0"/>
      </w:pPr>
      <w:r w:rsidRPr="00F218E1">
        <w:t xml:space="preserve">trade union facility time </w:t>
      </w:r>
    </w:p>
    <w:p w14:paraId="00C1BAB9" w14:textId="77777777" w:rsidR="00324261" w:rsidRPr="00F218E1" w:rsidRDefault="00324261" w:rsidP="00A14F84">
      <w:pPr>
        <w:widowControl/>
        <w:numPr>
          <w:ilvl w:val="0"/>
          <w:numId w:val="6"/>
        </w:numPr>
        <w:spacing w:before="0" w:after="0"/>
      </w:pPr>
      <w:r w:rsidRPr="00F218E1">
        <w:t>fraud</w:t>
      </w:r>
    </w:p>
    <w:p w14:paraId="79EF00B9" w14:textId="60FBB68F" w:rsidR="00245C17" w:rsidRPr="00F218E1" w:rsidRDefault="00245C17" w:rsidP="00A14F84">
      <w:pPr>
        <w:widowControl/>
        <w:numPr>
          <w:ilvl w:val="0"/>
          <w:numId w:val="6"/>
        </w:numPr>
        <w:spacing w:before="0" w:after="0"/>
      </w:pPr>
      <w:r w:rsidRPr="00F218E1">
        <w:t>constitution</w:t>
      </w:r>
    </w:p>
    <w:p w14:paraId="6259A168" w14:textId="62A4AB57" w:rsidR="00373C3C" w:rsidDel="00594A33" w:rsidRDefault="00373C3C" w:rsidP="00373C3C">
      <w:r>
        <w:t xml:space="preserve">To help authorities to publish the datasets in an efficient and consistent way we are also developing schemas for the datasets. </w:t>
      </w:r>
      <w:r w:rsidDel="00594A33">
        <w:t>These schemas would provide voluntary standards against which local authorities can publish data</w:t>
      </w:r>
      <w:r>
        <w:t xml:space="preserve"> </w:t>
      </w:r>
      <w:r w:rsidDel="00594A33">
        <w:t>– enabling easy access, reuse and comparison between different areas. These schemas will initially be based on the templates found in the annexes of each of the guidance documents.</w:t>
      </w:r>
    </w:p>
    <w:p w14:paraId="2391F1F1" w14:textId="597CBE56" w:rsidR="00373C3C" w:rsidRPr="00A90E82" w:rsidRDefault="00373C3C" w:rsidP="00373C3C">
      <w:pPr>
        <w:pStyle w:val="BodyText"/>
        <w:spacing w:line="240" w:lineRule="auto"/>
        <w:rPr>
          <w:rFonts w:eastAsia="Arial"/>
        </w:rPr>
      </w:pPr>
      <w:r>
        <w:t>This</w:t>
      </w:r>
      <w:r w:rsidRPr="00A90E82">
        <w:t xml:space="preserve"> guidance </w:t>
      </w:r>
      <w:r>
        <w:t xml:space="preserve">document </w:t>
      </w:r>
      <w:r w:rsidRPr="00A90E82">
        <w:t>has been produced by the L</w:t>
      </w:r>
      <w:r>
        <w:t>GA</w:t>
      </w:r>
      <w:r w:rsidRPr="00A90E82">
        <w:t xml:space="preserve"> in </w:t>
      </w:r>
      <w:r>
        <w:t xml:space="preserve">consultation </w:t>
      </w:r>
      <w:r w:rsidRPr="00A90E82">
        <w:t>with DCLG, the Local e-Government Standards Body (</w:t>
      </w:r>
      <w:proofErr w:type="spellStart"/>
      <w:r w:rsidRPr="00A90E82">
        <w:t>LeGSB</w:t>
      </w:r>
      <w:proofErr w:type="spellEnd"/>
      <w:r w:rsidRPr="00A90E82">
        <w:t>)</w:t>
      </w:r>
      <w:r w:rsidR="00711340">
        <w:rPr>
          <w:lang w:val="en-GB"/>
        </w:rPr>
        <w:t xml:space="preserve">, </w:t>
      </w:r>
      <w:r w:rsidRPr="00A90E82">
        <w:t xml:space="preserve">and local authorities. </w:t>
      </w:r>
    </w:p>
    <w:p w14:paraId="30FB7841" w14:textId="091591FE" w:rsidR="00373C3C" w:rsidRDefault="00373C3C" w:rsidP="00373C3C">
      <w:pPr>
        <w:rPr>
          <w:rFonts w:eastAsia="Arial"/>
        </w:rPr>
      </w:pPr>
      <w:r w:rsidRPr="00F218E1">
        <w:t xml:space="preserve">We </w:t>
      </w:r>
      <w:r w:rsidR="000114EE">
        <w:t>may</w:t>
      </w:r>
      <w:r w:rsidR="000475BA">
        <w:t xml:space="preserve"> amend </w:t>
      </w:r>
      <w:r w:rsidR="000114EE">
        <w:t xml:space="preserve">the </w:t>
      </w:r>
      <w:r w:rsidR="000475BA">
        <w:t xml:space="preserve">guidance </w:t>
      </w:r>
      <w:r w:rsidR="000114EE">
        <w:t>in the future to take account of</w:t>
      </w:r>
      <w:r w:rsidR="00E44726">
        <w:t xml:space="preserve"> ev</w:t>
      </w:r>
      <w:r w:rsidR="004928C8">
        <w:t xml:space="preserve">olving </w:t>
      </w:r>
      <w:r w:rsidR="0022313A">
        <w:t xml:space="preserve">good </w:t>
      </w:r>
      <w:r w:rsidR="004928C8">
        <w:t>practice,</w:t>
      </w:r>
      <w:r w:rsidR="000114EE">
        <w:t xml:space="preserve"> </w:t>
      </w:r>
      <w:r w:rsidR="00E44726">
        <w:t xml:space="preserve">technical developments </w:t>
      </w:r>
      <w:r w:rsidR="004928C8">
        <w:t xml:space="preserve">and </w:t>
      </w:r>
      <w:r w:rsidR="000114EE">
        <w:t xml:space="preserve">changes to the </w:t>
      </w:r>
      <w:r w:rsidR="004928C8">
        <w:t>Code.</w:t>
      </w:r>
      <w:r w:rsidR="000114EE">
        <w:t xml:space="preserve"> </w:t>
      </w:r>
    </w:p>
    <w:p w14:paraId="5F5D0192" w14:textId="77777777" w:rsidR="00711340" w:rsidRPr="00F218E1" w:rsidRDefault="00711340" w:rsidP="00373C3C"/>
    <w:p w14:paraId="63B06018" w14:textId="26FF4888" w:rsidR="00FE6941" w:rsidRPr="00F218E1" w:rsidRDefault="00FE6941" w:rsidP="001E5267">
      <w:pPr>
        <w:widowControl/>
        <w:spacing w:before="0" w:after="0"/>
        <w:rPr>
          <w:bCs/>
          <w:color w:val="91278F"/>
          <w:kern w:val="32"/>
        </w:rPr>
      </w:pPr>
      <w:r w:rsidRPr="00F218E1">
        <w:br w:type="page"/>
      </w:r>
    </w:p>
    <w:p w14:paraId="2C40955B" w14:textId="77777777" w:rsidR="00FE6941" w:rsidRPr="006A3468" w:rsidRDefault="00FE6941" w:rsidP="006A3468">
      <w:pPr>
        <w:rPr>
          <w:sz w:val="24"/>
          <w:szCs w:val="24"/>
        </w:rPr>
      </w:pPr>
    </w:p>
    <w:p w14:paraId="5E8DAD53" w14:textId="5887B937" w:rsidR="00D47AC9" w:rsidRPr="00ED5571" w:rsidRDefault="008B3B78" w:rsidP="00846432">
      <w:pPr>
        <w:pStyle w:val="Heading1"/>
      </w:pPr>
      <w:bookmarkStart w:id="7" w:name="_Toc421280169"/>
      <w:bookmarkEnd w:id="6"/>
      <w:r w:rsidRPr="00846432">
        <w:t xml:space="preserve">Local </w:t>
      </w:r>
      <w:r w:rsidR="00AC067E" w:rsidRPr="0021222E">
        <w:t>a</w:t>
      </w:r>
      <w:r w:rsidRPr="0021222E">
        <w:t xml:space="preserve">uthority </w:t>
      </w:r>
      <w:r w:rsidR="00AC067E" w:rsidRPr="008F2C7F">
        <w:t>l</w:t>
      </w:r>
      <w:r w:rsidR="00D47AC9" w:rsidRPr="008F2C7F">
        <w:t>and</w:t>
      </w:r>
      <w:bookmarkEnd w:id="7"/>
      <w:r w:rsidR="00B4391C" w:rsidRPr="005446EB">
        <w:t xml:space="preserve"> </w:t>
      </w:r>
    </w:p>
    <w:p w14:paraId="2ECADCB9" w14:textId="242560E8" w:rsidR="00E44EFE" w:rsidRPr="00F218E1" w:rsidRDefault="008B3B78" w:rsidP="006A3468">
      <w:pPr>
        <w:rPr>
          <w:lang w:val="en"/>
        </w:rPr>
      </w:pPr>
      <w:r w:rsidRPr="00F218E1">
        <w:t>Land and b</w:t>
      </w:r>
      <w:r w:rsidR="005348BB" w:rsidRPr="00F218E1">
        <w:t>uildings form part of local authorities</w:t>
      </w:r>
      <w:r w:rsidR="00B4391C" w:rsidRPr="00F218E1">
        <w:t>’</w:t>
      </w:r>
      <w:r w:rsidR="005348BB" w:rsidRPr="00F218E1">
        <w:t xml:space="preserve"> fixed assets</w:t>
      </w:r>
      <w:r w:rsidRPr="00F218E1">
        <w:t xml:space="preserve"> and </w:t>
      </w:r>
      <w:r w:rsidR="00B81F3B" w:rsidRPr="00F218E1">
        <w:t xml:space="preserve">details of these </w:t>
      </w:r>
      <w:r w:rsidRPr="00F218E1">
        <w:t xml:space="preserve">must be published under the </w:t>
      </w:r>
      <w:r w:rsidR="00531855" w:rsidRPr="00F218E1">
        <w:t>C</w:t>
      </w:r>
      <w:r w:rsidRPr="00F218E1">
        <w:t>ode</w:t>
      </w:r>
      <w:r w:rsidR="005348BB" w:rsidRPr="00F218E1">
        <w:t xml:space="preserve">. Most authorities hold an asset register for land and buildings and </w:t>
      </w:r>
      <w:r w:rsidR="00F24716" w:rsidRPr="00F218E1">
        <w:t xml:space="preserve">annually </w:t>
      </w:r>
      <w:r w:rsidR="005348BB" w:rsidRPr="00F218E1">
        <w:t>publish the overall value of their fixed assets</w:t>
      </w:r>
      <w:r w:rsidR="00E44EFE" w:rsidRPr="00F218E1">
        <w:t xml:space="preserve"> as part of their statement of accounts</w:t>
      </w:r>
      <w:r w:rsidR="00BB5632" w:rsidRPr="00F218E1">
        <w:rPr>
          <w:lang w:val="en"/>
        </w:rPr>
        <w:t>.</w:t>
      </w:r>
      <w:r w:rsidR="005B5BBF" w:rsidRPr="00F218E1">
        <w:rPr>
          <w:lang w:val="en"/>
        </w:rPr>
        <w:t xml:space="preserve"> </w:t>
      </w:r>
      <w:r w:rsidR="006C7F1A" w:rsidRPr="00F218E1">
        <w:rPr>
          <w:lang w:val="en"/>
        </w:rPr>
        <w:t xml:space="preserve">The </w:t>
      </w:r>
      <w:r w:rsidR="00BB5632" w:rsidRPr="00F218E1">
        <w:rPr>
          <w:lang w:val="en"/>
        </w:rPr>
        <w:t xml:space="preserve">Code now makes it mandatory for local authorities to publish details of each land and building asset at least annually with </w:t>
      </w:r>
      <w:r w:rsidR="001E48CC" w:rsidRPr="00F218E1">
        <w:rPr>
          <w:lang w:val="en"/>
        </w:rPr>
        <w:t xml:space="preserve">a </w:t>
      </w:r>
      <w:r w:rsidR="00BB5632" w:rsidRPr="00F218E1">
        <w:rPr>
          <w:lang w:val="en"/>
        </w:rPr>
        <w:t xml:space="preserve">preference </w:t>
      </w:r>
      <w:r w:rsidR="001E48CC" w:rsidRPr="00F218E1">
        <w:rPr>
          <w:lang w:val="en"/>
        </w:rPr>
        <w:t>for</w:t>
      </w:r>
      <w:r w:rsidR="008060CE" w:rsidRPr="00F218E1">
        <w:rPr>
          <w:lang w:val="en"/>
        </w:rPr>
        <w:t xml:space="preserve"> </w:t>
      </w:r>
      <w:r w:rsidR="00BB5632" w:rsidRPr="00F218E1">
        <w:rPr>
          <w:lang w:val="en"/>
        </w:rPr>
        <w:t>more frequent update</w:t>
      </w:r>
      <w:r w:rsidRPr="00F218E1">
        <w:rPr>
          <w:lang w:val="en"/>
        </w:rPr>
        <w:t>s</w:t>
      </w:r>
      <w:r w:rsidR="00BB5632" w:rsidRPr="00F218E1">
        <w:rPr>
          <w:lang w:val="en"/>
        </w:rPr>
        <w:t xml:space="preserve"> </w:t>
      </w:r>
      <w:r w:rsidR="00B81F3B" w:rsidRPr="00F218E1">
        <w:rPr>
          <w:lang w:val="en"/>
        </w:rPr>
        <w:t xml:space="preserve">as and </w:t>
      </w:r>
      <w:r w:rsidR="00BB5632" w:rsidRPr="00F218E1">
        <w:rPr>
          <w:lang w:val="en"/>
        </w:rPr>
        <w:t>when the register changes</w:t>
      </w:r>
      <w:r w:rsidR="000B053B" w:rsidRPr="00F218E1">
        <w:rPr>
          <w:lang w:val="en"/>
        </w:rPr>
        <w:t>.</w:t>
      </w:r>
    </w:p>
    <w:p w14:paraId="5AFCEEAD" w14:textId="76928668" w:rsidR="00BB5632" w:rsidRPr="00F218E1" w:rsidRDefault="00BB5632" w:rsidP="006A3468">
      <w:r w:rsidRPr="00F218E1">
        <w:t xml:space="preserve">This section offers practical help on how to publish </w:t>
      </w:r>
      <w:r w:rsidR="00B81F3B" w:rsidRPr="00F218E1">
        <w:t>a</w:t>
      </w:r>
      <w:r w:rsidR="00537F7D" w:rsidRPr="00F218E1">
        <w:t xml:space="preserve"> </w:t>
      </w:r>
      <w:r w:rsidRPr="00F218E1">
        <w:t xml:space="preserve">list of land and </w:t>
      </w:r>
      <w:r w:rsidR="001E48CC" w:rsidRPr="00F218E1">
        <w:t xml:space="preserve">building </w:t>
      </w:r>
      <w:r w:rsidRPr="00F218E1">
        <w:t>assets. It includes suggested guidance and standards covering:</w:t>
      </w:r>
    </w:p>
    <w:p w14:paraId="39B1BE67" w14:textId="0E13931F" w:rsidR="00BB5632" w:rsidRPr="00F218E1" w:rsidRDefault="00BB5632" w:rsidP="00A14F84">
      <w:pPr>
        <w:pStyle w:val="ListParagraph"/>
        <w:numPr>
          <w:ilvl w:val="0"/>
          <w:numId w:val="10"/>
        </w:numPr>
        <w:ind w:left="714" w:hanging="357"/>
      </w:pPr>
      <w:r w:rsidRPr="00F218E1">
        <w:t xml:space="preserve">the </w:t>
      </w:r>
      <w:r w:rsidR="00840D68" w:rsidRPr="00F218E1">
        <w:t xml:space="preserve">scope </w:t>
      </w:r>
      <w:r w:rsidRPr="00F218E1">
        <w:t>for publishing land assets</w:t>
      </w:r>
    </w:p>
    <w:p w14:paraId="345D5484" w14:textId="1FFFBB3E" w:rsidR="00BB5632" w:rsidRPr="00F218E1" w:rsidRDefault="00BB5632" w:rsidP="00A14F84">
      <w:pPr>
        <w:pStyle w:val="ListParagraph"/>
        <w:numPr>
          <w:ilvl w:val="0"/>
          <w:numId w:val="10"/>
        </w:numPr>
        <w:ind w:left="714" w:hanging="357"/>
      </w:pPr>
      <w:r w:rsidRPr="00F218E1">
        <w:t>what data to publish</w:t>
      </w:r>
    </w:p>
    <w:p w14:paraId="7B80147B" w14:textId="30BF0F18" w:rsidR="00BB5632" w:rsidRPr="00F218E1" w:rsidRDefault="00BB5632" w:rsidP="00A14F84">
      <w:pPr>
        <w:pStyle w:val="ListParagraph"/>
        <w:numPr>
          <w:ilvl w:val="0"/>
          <w:numId w:val="10"/>
        </w:numPr>
        <w:ind w:left="714" w:hanging="357"/>
      </w:pPr>
      <w:r w:rsidRPr="00F218E1">
        <w:t>how to add location information to assets</w:t>
      </w:r>
    </w:p>
    <w:p w14:paraId="7B9EAC4A" w14:textId="2CB2CFD4" w:rsidR="00BB5632" w:rsidRPr="00F218E1" w:rsidRDefault="00BB5632" w:rsidP="00A14F84">
      <w:pPr>
        <w:pStyle w:val="ListParagraph"/>
        <w:numPr>
          <w:ilvl w:val="0"/>
          <w:numId w:val="10"/>
        </w:numPr>
        <w:ind w:left="714" w:hanging="357"/>
      </w:pPr>
      <w:r w:rsidRPr="00F218E1">
        <w:t>what to consider when publishing the data such as data protection, licensing, exclusions and other matters</w:t>
      </w:r>
    </w:p>
    <w:p w14:paraId="11448B98" w14:textId="62DBD620" w:rsidR="00BB5632" w:rsidRPr="00F218E1" w:rsidRDefault="00BB5632" w:rsidP="00A14F84">
      <w:pPr>
        <w:pStyle w:val="ListParagraph"/>
        <w:numPr>
          <w:ilvl w:val="0"/>
          <w:numId w:val="10"/>
        </w:numPr>
        <w:ind w:left="714" w:hanging="357"/>
      </w:pPr>
      <w:r w:rsidRPr="00F218E1">
        <w:t>registering your spatial data to INSPIRE standards</w:t>
      </w:r>
    </w:p>
    <w:p w14:paraId="0DAC11AD" w14:textId="7B7BE3F1" w:rsidR="00BB5632" w:rsidRPr="00F218E1" w:rsidRDefault="00BB5632" w:rsidP="00A14F84">
      <w:pPr>
        <w:pStyle w:val="ListParagraph"/>
        <w:numPr>
          <w:ilvl w:val="0"/>
          <w:numId w:val="10"/>
        </w:numPr>
        <w:ind w:left="714" w:hanging="357"/>
      </w:pPr>
      <w:proofErr w:type="gramStart"/>
      <w:r w:rsidRPr="00F218E1">
        <w:t>how</w:t>
      </w:r>
      <w:proofErr w:type="gramEnd"/>
      <w:r w:rsidRPr="00F218E1">
        <w:t xml:space="preserve"> to make better use of the data through ‘</w:t>
      </w:r>
      <w:r w:rsidR="000056EA">
        <w:t>L</w:t>
      </w:r>
      <w:r w:rsidRPr="00F218E1">
        <w:t xml:space="preserve">inked </w:t>
      </w:r>
      <w:r w:rsidR="000056EA">
        <w:t>D</w:t>
      </w:r>
      <w:r w:rsidRPr="00F218E1">
        <w:t>ata’.</w:t>
      </w:r>
    </w:p>
    <w:p w14:paraId="12F8B25E" w14:textId="1690C3E2" w:rsidR="00DD1D9A" w:rsidRPr="000056EA" w:rsidRDefault="003202E8" w:rsidP="000056EA">
      <w:pPr>
        <w:pStyle w:val="Heading2"/>
      </w:pPr>
      <w:bookmarkStart w:id="8" w:name="_Toc421280170"/>
      <w:r w:rsidRPr="00846432">
        <w:rPr>
          <w:lang w:val="en"/>
        </w:rPr>
        <w:t>Scope</w:t>
      </w:r>
      <w:r w:rsidRPr="0021222E">
        <w:rPr>
          <w:lang w:val="en"/>
        </w:rPr>
        <w:t xml:space="preserve"> </w:t>
      </w:r>
      <w:r w:rsidR="00DD1D9A" w:rsidRPr="0021222E">
        <w:rPr>
          <w:lang w:val="en"/>
        </w:rPr>
        <w:t xml:space="preserve">for </w:t>
      </w:r>
      <w:r w:rsidR="00DD1D9A" w:rsidRPr="0021222E">
        <w:t>publishing</w:t>
      </w:r>
      <w:r w:rsidR="00DD1D9A" w:rsidRPr="0021222E">
        <w:rPr>
          <w:lang w:val="en"/>
        </w:rPr>
        <w:t xml:space="preserve"> l</w:t>
      </w:r>
      <w:r w:rsidR="008B3B78" w:rsidRPr="008F2C7F">
        <w:rPr>
          <w:lang w:val="en"/>
        </w:rPr>
        <w:t xml:space="preserve">ocal </w:t>
      </w:r>
      <w:r w:rsidR="008B3B78" w:rsidRPr="00680AFA">
        <w:t>authority</w:t>
      </w:r>
      <w:r w:rsidR="008B3B78" w:rsidRPr="00846432">
        <w:rPr>
          <w:lang w:val="en"/>
        </w:rPr>
        <w:t xml:space="preserve"> land</w:t>
      </w:r>
      <w:bookmarkEnd w:id="8"/>
    </w:p>
    <w:p w14:paraId="21980B0D" w14:textId="71B50725" w:rsidR="00E52B35" w:rsidRPr="00F218E1" w:rsidRDefault="00DD1D9A" w:rsidP="006A3468">
      <w:r w:rsidRPr="00F218E1">
        <w:t>Increasing access to information on public sect</w:t>
      </w:r>
      <w:r w:rsidR="008B3B78" w:rsidRPr="00F218E1">
        <w:t xml:space="preserve">or assets in England is </w:t>
      </w:r>
      <w:r w:rsidRPr="00F218E1">
        <w:t>setting new standards of transparency and enables increased decentralisatio</w:t>
      </w:r>
      <w:r w:rsidR="008B3B78" w:rsidRPr="00F218E1">
        <w:t xml:space="preserve">n, efficiency and productivity. </w:t>
      </w:r>
      <w:r w:rsidR="00472870" w:rsidRPr="00F218E1">
        <w:t xml:space="preserve">The opening up of local authority </w:t>
      </w:r>
      <w:r w:rsidR="00B81F3B" w:rsidRPr="00F218E1">
        <w:t>land provides</w:t>
      </w:r>
      <w:r w:rsidR="00E52B35" w:rsidRPr="00F218E1">
        <w:t xml:space="preserve"> citizen</w:t>
      </w:r>
      <w:r w:rsidR="00DC5A32" w:rsidRPr="00F218E1">
        <w:t>s</w:t>
      </w:r>
      <w:r w:rsidR="00E52B35" w:rsidRPr="00F218E1">
        <w:t xml:space="preserve"> and voluntary and community bodies with information to</w:t>
      </w:r>
      <w:r w:rsidR="00537F7D" w:rsidRPr="00F218E1">
        <w:t>:</w:t>
      </w:r>
    </w:p>
    <w:p w14:paraId="3F8C1113" w14:textId="48E0027D" w:rsidR="00DD1D9A" w:rsidRPr="00F218E1" w:rsidRDefault="00DD1D9A" w:rsidP="00A14F84">
      <w:pPr>
        <w:pStyle w:val="ListParagraph"/>
        <w:numPr>
          <w:ilvl w:val="0"/>
          <w:numId w:val="11"/>
        </w:numPr>
        <w:rPr>
          <w:color w:val="auto"/>
        </w:rPr>
      </w:pPr>
      <w:r w:rsidRPr="00F218E1">
        <w:rPr>
          <w:color w:val="auto"/>
        </w:rPr>
        <w:t>enabl</w:t>
      </w:r>
      <w:r w:rsidR="00472870" w:rsidRPr="00F218E1">
        <w:rPr>
          <w:color w:val="auto"/>
        </w:rPr>
        <w:t>e</w:t>
      </w:r>
      <w:r w:rsidRPr="00F218E1">
        <w:rPr>
          <w:color w:val="auto"/>
        </w:rPr>
        <w:t xml:space="preserve"> citizens to see public sector assets </w:t>
      </w:r>
      <w:r w:rsidR="009F04B2" w:rsidRPr="00F218E1">
        <w:rPr>
          <w:color w:val="auto"/>
        </w:rPr>
        <w:t>and</w:t>
      </w:r>
      <w:r w:rsidR="00840D68" w:rsidRPr="00F218E1">
        <w:rPr>
          <w:color w:val="auto"/>
        </w:rPr>
        <w:t xml:space="preserve"> the</w:t>
      </w:r>
      <w:r w:rsidR="009F04B2" w:rsidRPr="00F218E1">
        <w:rPr>
          <w:color w:val="auto"/>
        </w:rPr>
        <w:t>ir</w:t>
      </w:r>
      <w:r w:rsidR="00840D68" w:rsidRPr="00F218E1">
        <w:rPr>
          <w:color w:val="auto"/>
        </w:rPr>
        <w:t xml:space="preserve"> use</w:t>
      </w:r>
      <w:r w:rsidR="006A3468" w:rsidRPr="00F218E1">
        <w:rPr>
          <w:color w:val="auto"/>
        </w:rPr>
        <w:t xml:space="preserve"> </w:t>
      </w:r>
      <w:r w:rsidR="00840D68" w:rsidRPr="00F218E1">
        <w:rPr>
          <w:color w:val="auto"/>
        </w:rPr>
        <w:t>for delivering services to local communities</w:t>
      </w:r>
      <w:r w:rsidRPr="00F218E1">
        <w:rPr>
          <w:color w:val="auto"/>
        </w:rPr>
        <w:t xml:space="preserve"> and how this com</w:t>
      </w:r>
      <w:r w:rsidR="00067378" w:rsidRPr="00F218E1">
        <w:rPr>
          <w:color w:val="auto"/>
        </w:rPr>
        <w:t>pares with neighbouring areas</w:t>
      </w:r>
    </w:p>
    <w:p w14:paraId="7B77EC07" w14:textId="54CC4C67" w:rsidR="00DD1D9A" w:rsidRPr="00F218E1" w:rsidRDefault="00DD1D9A" w:rsidP="00A14F84">
      <w:pPr>
        <w:pStyle w:val="ListParagraph"/>
        <w:numPr>
          <w:ilvl w:val="0"/>
          <w:numId w:val="11"/>
        </w:numPr>
        <w:rPr>
          <w:color w:val="auto"/>
        </w:rPr>
      </w:pPr>
      <w:r w:rsidRPr="00F218E1">
        <w:rPr>
          <w:color w:val="auto"/>
        </w:rPr>
        <w:t>nominate</w:t>
      </w:r>
      <w:r w:rsidR="00E52B35" w:rsidRPr="00F218E1">
        <w:rPr>
          <w:color w:val="auto"/>
        </w:rPr>
        <w:t>,</w:t>
      </w:r>
      <w:r w:rsidRPr="00F218E1">
        <w:rPr>
          <w:color w:val="auto"/>
        </w:rPr>
        <w:t xml:space="preserve"> </w:t>
      </w:r>
      <w:r w:rsidR="00E52B35" w:rsidRPr="00F218E1">
        <w:rPr>
          <w:color w:val="auto"/>
        </w:rPr>
        <w:t xml:space="preserve">where appropriate, </w:t>
      </w:r>
      <w:r w:rsidRPr="00F218E1">
        <w:rPr>
          <w:color w:val="auto"/>
        </w:rPr>
        <w:t xml:space="preserve">particular buildings as assets of community value under the community </w:t>
      </w:r>
      <w:r w:rsidR="001E48CC" w:rsidRPr="00F218E1">
        <w:rPr>
          <w:color w:val="auto"/>
        </w:rPr>
        <w:t xml:space="preserve">Right </w:t>
      </w:r>
      <w:r w:rsidRPr="00F218E1">
        <w:rPr>
          <w:color w:val="auto"/>
        </w:rPr>
        <w:t xml:space="preserve">to </w:t>
      </w:r>
      <w:r w:rsidR="001E48CC" w:rsidRPr="00F218E1">
        <w:rPr>
          <w:color w:val="auto"/>
        </w:rPr>
        <w:t>Bid</w:t>
      </w:r>
      <w:r w:rsidR="00E52B35" w:rsidRPr="00F218E1">
        <w:rPr>
          <w:color w:val="auto"/>
        </w:rPr>
        <w:t xml:space="preserve"> provisions in the Localism Act</w:t>
      </w:r>
      <w:r w:rsidR="00537F7D" w:rsidRPr="00F218E1">
        <w:rPr>
          <w:color w:val="auto"/>
        </w:rPr>
        <w:t xml:space="preserve"> 2011</w:t>
      </w:r>
    </w:p>
    <w:p w14:paraId="77E14648" w14:textId="35E771C6" w:rsidR="00AA6374" w:rsidRPr="00F218E1" w:rsidRDefault="00B81F3B" w:rsidP="00A14F84">
      <w:pPr>
        <w:pStyle w:val="ListParagraph"/>
        <w:numPr>
          <w:ilvl w:val="0"/>
          <w:numId w:val="11"/>
        </w:numPr>
        <w:rPr>
          <w:color w:val="auto"/>
        </w:rPr>
      </w:pPr>
      <w:r w:rsidRPr="00F218E1">
        <w:rPr>
          <w:color w:val="auto"/>
        </w:rPr>
        <w:t xml:space="preserve">help them to </w:t>
      </w:r>
      <w:r w:rsidR="00067378" w:rsidRPr="00F218E1">
        <w:rPr>
          <w:color w:val="auto"/>
        </w:rPr>
        <w:t>f</w:t>
      </w:r>
      <w:r w:rsidR="00E52B35" w:rsidRPr="00F218E1">
        <w:rPr>
          <w:color w:val="auto"/>
        </w:rPr>
        <w:t xml:space="preserve">ind out </w:t>
      </w:r>
      <w:r w:rsidR="00DD1D9A" w:rsidRPr="00F218E1">
        <w:rPr>
          <w:color w:val="auto"/>
        </w:rPr>
        <w:t>about empty land and property</w:t>
      </w:r>
      <w:r w:rsidR="006A3468" w:rsidRPr="00F218E1">
        <w:rPr>
          <w:color w:val="auto"/>
        </w:rPr>
        <w:t xml:space="preserve"> that</w:t>
      </w:r>
      <w:r w:rsidR="00DD1D9A" w:rsidRPr="00F218E1">
        <w:rPr>
          <w:color w:val="auto"/>
        </w:rPr>
        <w:t xml:space="preserve"> they can </w:t>
      </w:r>
      <w:r w:rsidRPr="00F218E1">
        <w:rPr>
          <w:color w:val="auto"/>
        </w:rPr>
        <w:t xml:space="preserve">potentially </w:t>
      </w:r>
      <w:r w:rsidR="00DD1D9A" w:rsidRPr="00F218E1">
        <w:rPr>
          <w:color w:val="auto"/>
        </w:rPr>
        <w:t>develop to improve their local area to support the new community right to reclaim land</w:t>
      </w:r>
      <w:r w:rsidR="00270854" w:rsidRPr="00F218E1">
        <w:rPr>
          <w:color w:val="auto"/>
        </w:rPr>
        <w:t>, known as the Right to Contest</w:t>
      </w:r>
    </w:p>
    <w:p w14:paraId="2747B2B1" w14:textId="0B048ED7" w:rsidR="00B81F3B" w:rsidRPr="00F218E1" w:rsidRDefault="00DD2D4B" w:rsidP="00A14F84">
      <w:pPr>
        <w:pStyle w:val="ListParagraph"/>
        <w:numPr>
          <w:ilvl w:val="0"/>
          <w:numId w:val="11"/>
        </w:numPr>
        <w:rPr>
          <w:color w:val="auto"/>
        </w:rPr>
      </w:pPr>
      <w:proofErr w:type="gramStart"/>
      <w:r w:rsidRPr="00F218E1">
        <w:t>c</w:t>
      </w:r>
      <w:r w:rsidR="00E52B35" w:rsidRPr="00F218E1">
        <w:t>hallenge</w:t>
      </w:r>
      <w:proofErr w:type="gramEnd"/>
      <w:r w:rsidR="00E52B35" w:rsidRPr="00F218E1">
        <w:t xml:space="preserve"> a </w:t>
      </w:r>
      <w:r w:rsidR="00DD1D9A" w:rsidRPr="00F218E1">
        <w:t>local authority service</w:t>
      </w:r>
      <w:r w:rsidR="00E52B35" w:rsidRPr="00F218E1">
        <w:t xml:space="preserve"> and seek to run it</w:t>
      </w:r>
      <w:r w:rsidR="00F42311" w:rsidRPr="00F218E1">
        <w:t>.</w:t>
      </w:r>
    </w:p>
    <w:p w14:paraId="11005546" w14:textId="065F4534" w:rsidR="00DD1D9A" w:rsidRPr="00F218E1" w:rsidRDefault="00F42311" w:rsidP="00A14F84">
      <w:pPr>
        <w:pStyle w:val="ListParagraph"/>
        <w:numPr>
          <w:ilvl w:val="0"/>
          <w:numId w:val="11"/>
        </w:numPr>
        <w:rPr>
          <w:color w:val="auto"/>
        </w:rPr>
      </w:pPr>
      <w:r w:rsidRPr="00F218E1">
        <w:t>I</w:t>
      </w:r>
      <w:r w:rsidR="00DD1D9A" w:rsidRPr="00F218E1">
        <w:t xml:space="preserve">t will also be helpful to </w:t>
      </w:r>
      <w:r w:rsidR="00B81F3B" w:rsidRPr="00F218E1">
        <w:t>those working</w:t>
      </w:r>
      <w:r w:rsidR="00DD1D9A" w:rsidRPr="00F218E1">
        <w:t xml:space="preserve"> in the wider public sector looking to deliver </w:t>
      </w:r>
      <w:r w:rsidR="00B81F3B" w:rsidRPr="00F218E1">
        <w:t>a</w:t>
      </w:r>
      <w:r w:rsidR="00DD1D9A" w:rsidRPr="00F218E1">
        <w:t xml:space="preserve"> service as a mutual under the Right to </w:t>
      </w:r>
      <w:proofErr w:type="gramStart"/>
      <w:r w:rsidR="00DD1D9A" w:rsidRPr="00F218E1">
        <w:t>Provide</w:t>
      </w:r>
      <w:proofErr w:type="gramEnd"/>
      <w:r w:rsidR="00DD1D9A" w:rsidRPr="00F218E1">
        <w:t xml:space="preserve"> policy being developed by Cabinet Office</w:t>
      </w:r>
      <w:r w:rsidRPr="00F218E1">
        <w:rPr>
          <w:rStyle w:val="FootnoteReference"/>
        </w:rPr>
        <w:footnoteReference w:id="2"/>
      </w:r>
      <w:r w:rsidR="00DD1D9A" w:rsidRPr="00F218E1">
        <w:t>.</w:t>
      </w:r>
    </w:p>
    <w:p w14:paraId="5FB326F7" w14:textId="788A2F11" w:rsidR="00DD1D9A" w:rsidRPr="00F218E1" w:rsidRDefault="00E52B35" w:rsidP="006A3468">
      <w:r w:rsidRPr="00F218E1">
        <w:t>The p</w:t>
      </w:r>
      <w:r w:rsidR="00DD1D9A" w:rsidRPr="00F218E1">
        <w:t xml:space="preserve">ublication of the location and basic attribute data of public sector land and </w:t>
      </w:r>
      <w:r w:rsidRPr="00F218E1">
        <w:t>building</w:t>
      </w:r>
      <w:r w:rsidR="00DD1D9A" w:rsidRPr="00F218E1">
        <w:t xml:space="preserve"> assets supports the efficiency and productivity </w:t>
      </w:r>
      <w:r w:rsidR="003202E8" w:rsidRPr="00F218E1">
        <w:t xml:space="preserve">within authorities </w:t>
      </w:r>
      <w:r w:rsidR="00DD1D9A" w:rsidRPr="00F218E1">
        <w:t>by:</w:t>
      </w:r>
      <w:r w:rsidR="00067378" w:rsidRPr="00F218E1">
        <w:tab/>
      </w:r>
    </w:p>
    <w:p w14:paraId="76EAC32B" w14:textId="5AE49B32" w:rsidR="00DD1D9A" w:rsidRPr="00F218E1" w:rsidRDefault="00067378" w:rsidP="00A14F84">
      <w:pPr>
        <w:pStyle w:val="ListParagraph"/>
        <w:numPr>
          <w:ilvl w:val="0"/>
          <w:numId w:val="12"/>
        </w:numPr>
      </w:pPr>
      <w:r w:rsidRPr="00F218E1">
        <w:t>e</w:t>
      </w:r>
      <w:r w:rsidR="00DD1D9A" w:rsidRPr="00F218E1">
        <w:t xml:space="preserve">nabling public sector partners to work together </w:t>
      </w:r>
      <w:r w:rsidR="001A50DD">
        <w:t xml:space="preserve">strategically </w:t>
      </w:r>
      <w:r w:rsidR="00DD1D9A" w:rsidRPr="00F218E1">
        <w:t xml:space="preserve">to consider public sector assets in their area and </w:t>
      </w:r>
      <w:r w:rsidR="001A50DD">
        <w:t xml:space="preserve">to </w:t>
      </w:r>
      <w:r w:rsidR="00DD1D9A" w:rsidRPr="00F218E1">
        <w:t>co-design front and back office</w:t>
      </w:r>
      <w:r w:rsidR="00B81F3B" w:rsidRPr="00F218E1">
        <w:t xml:space="preserve"> services</w:t>
      </w:r>
      <w:r w:rsidR="00DD1D9A" w:rsidRPr="00F218E1">
        <w:t xml:space="preserve"> </w:t>
      </w:r>
      <w:r w:rsidRPr="00F218E1">
        <w:t>around the needs of the citizen</w:t>
      </w:r>
    </w:p>
    <w:p w14:paraId="274E48FA" w14:textId="5C56BEB9" w:rsidR="00DD1D9A" w:rsidRPr="00F218E1" w:rsidRDefault="00067378" w:rsidP="00A14F84">
      <w:pPr>
        <w:pStyle w:val="ListParagraph"/>
        <w:numPr>
          <w:ilvl w:val="0"/>
          <w:numId w:val="12"/>
        </w:numPr>
      </w:pPr>
      <w:r w:rsidRPr="00F218E1">
        <w:t>enabling strategic procurement</w:t>
      </w:r>
    </w:p>
    <w:p w14:paraId="24D9BAEE" w14:textId="0B8025D8" w:rsidR="00E52B35" w:rsidRPr="00F218E1" w:rsidRDefault="00067378" w:rsidP="00A14F84">
      <w:pPr>
        <w:pStyle w:val="ListParagraph"/>
        <w:numPr>
          <w:ilvl w:val="0"/>
          <w:numId w:val="12"/>
        </w:numPr>
      </w:pPr>
      <w:r w:rsidRPr="00F218E1">
        <w:t>e</w:t>
      </w:r>
      <w:r w:rsidR="00DD1D9A" w:rsidRPr="00F218E1">
        <w:t>nabling the consideration of energy efficiency as a key aspect of asset managemen</w:t>
      </w:r>
      <w:r w:rsidR="006C7F1A" w:rsidRPr="00F218E1">
        <w:t>t</w:t>
      </w:r>
    </w:p>
    <w:p w14:paraId="2C68CBEC" w14:textId="2D98F66B" w:rsidR="005A57C2" w:rsidRPr="00F218E1" w:rsidRDefault="005A57C2" w:rsidP="00A14F84">
      <w:pPr>
        <w:pStyle w:val="ListParagraph"/>
        <w:numPr>
          <w:ilvl w:val="0"/>
          <w:numId w:val="12"/>
        </w:numPr>
      </w:pPr>
      <w:proofErr w:type="gramStart"/>
      <w:r w:rsidRPr="00F218E1">
        <w:t>help</w:t>
      </w:r>
      <w:r w:rsidR="00D654CF" w:rsidRPr="00F218E1">
        <w:t>ing</w:t>
      </w:r>
      <w:proofErr w:type="gramEnd"/>
      <w:r w:rsidRPr="00F218E1">
        <w:t xml:space="preserve"> </w:t>
      </w:r>
      <w:r w:rsidR="00D654CF" w:rsidRPr="00F218E1">
        <w:t xml:space="preserve">to </w:t>
      </w:r>
      <w:r w:rsidRPr="00F218E1">
        <w:t>inform the public about other land owned by public organisations when taking enquiries about greenspace maintenance, public access or other queries.</w:t>
      </w:r>
    </w:p>
    <w:p w14:paraId="67CAD9BD" w14:textId="0B69DE73" w:rsidR="008B3B78" w:rsidRPr="00F218E1" w:rsidRDefault="001E5267" w:rsidP="006A3468">
      <w:pPr>
        <w:rPr>
          <w:lang w:val="en"/>
        </w:rPr>
      </w:pPr>
      <w:r w:rsidRPr="00F218E1">
        <w:rPr>
          <w:lang w:val="en"/>
        </w:rPr>
        <w:lastRenderedPageBreak/>
        <w:t xml:space="preserve">The One Public Estate programme is a pioneering initiative designed to facilitate and enable local authorities to work successfully with central government and local agencies on public property and land issues through sharing and collaboration - See more at: </w:t>
      </w:r>
      <w:hyperlink r:id="rId17" w:history="1">
        <w:r w:rsidRPr="00F218E1">
          <w:rPr>
            <w:rStyle w:val="Hyperlink"/>
          </w:rPr>
          <w:t>http://www.local.gov.uk/productivity/-/journal_content/56/10180/3932538/ARTICLE</w:t>
        </w:r>
      </w:hyperlink>
      <w:r w:rsidR="00DD2D4B" w:rsidRPr="00F218E1">
        <w:rPr>
          <w:lang w:val="en"/>
        </w:rPr>
        <w:t xml:space="preserve"> </w:t>
      </w:r>
    </w:p>
    <w:p w14:paraId="631ED1CB" w14:textId="41C947E0" w:rsidR="006C7F1A" w:rsidRPr="00846432" w:rsidRDefault="000D3641" w:rsidP="00680AFA">
      <w:pPr>
        <w:pStyle w:val="Heading2"/>
      </w:pPr>
      <w:bookmarkStart w:id="9" w:name="_Toc421280171"/>
      <w:r w:rsidRPr="00846432">
        <w:t xml:space="preserve">What land and building assets </w:t>
      </w:r>
      <w:r w:rsidR="000056EA">
        <w:t>should be published</w:t>
      </w:r>
      <w:bookmarkEnd w:id="9"/>
    </w:p>
    <w:p w14:paraId="7ECDD7C7" w14:textId="64968BB3" w:rsidR="005D0859" w:rsidRPr="00F218E1" w:rsidRDefault="005A57C2" w:rsidP="006A3468">
      <w:r w:rsidRPr="00F218E1">
        <w:t>For the purpose of th</w:t>
      </w:r>
      <w:r w:rsidR="00B81F3B" w:rsidRPr="00F218E1">
        <w:t>is</w:t>
      </w:r>
      <w:r w:rsidRPr="00F218E1">
        <w:t xml:space="preserve"> guide</w:t>
      </w:r>
      <w:r w:rsidR="00270854" w:rsidRPr="00F218E1">
        <w:t>,</w:t>
      </w:r>
      <w:r w:rsidRPr="00F218E1">
        <w:t xml:space="preserve"> land </w:t>
      </w:r>
      <w:r w:rsidR="00994FEA" w:rsidRPr="00F218E1">
        <w:t xml:space="preserve">and building </w:t>
      </w:r>
      <w:r w:rsidRPr="00F218E1">
        <w:t>assets include:</w:t>
      </w:r>
    </w:p>
    <w:p w14:paraId="5B258FBC" w14:textId="7787A9DB" w:rsidR="005D0859" w:rsidRPr="00F218E1" w:rsidRDefault="005D0859" w:rsidP="00A14F84">
      <w:pPr>
        <w:pStyle w:val="ListParagraph"/>
        <w:numPr>
          <w:ilvl w:val="0"/>
          <w:numId w:val="13"/>
        </w:numPr>
      </w:pPr>
      <w:r w:rsidRPr="00F218E1">
        <w:t xml:space="preserve">all service and office properties occupied or controlled by </w:t>
      </w:r>
      <w:r w:rsidR="00270854" w:rsidRPr="00F218E1">
        <w:t>local authorities</w:t>
      </w:r>
      <w:r w:rsidRPr="00F218E1">
        <w:t>, both freehold and leasehold</w:t>
      </w:r>
    </w:p>
    <w:p w14:paraId="4B08074C" w14:textId="7E7A4A49" w:rsidR="005D0859" w:rsidRPr="00F218E1" w:rsidRDefault="005D0859" w:rsidP="00A14F84">
      <w:pPr>
        <w:pStyle w:val="ListParagraph"/>
        <w:numPr>
          <w:ilvl w:val="0"/>
          <w:numId w:val="13"/>
        </w:numPr>
      </w:pPr>
      <w:r w:rsidRPr="00F218E1">
        <w:t xml:space="preserve">any properties occupied or run under </w:t>
      </w:r>
      <w:r w:rsidRPr="00F218E1">
        <w:rPr>
          <w:lang w:val="en"/>
        </w:rPr>
        <w:t>Private Finance Initiative</w:t>
      </w:r>
      <w:r w:rsidR="00F42311" w:rsidRPr="00F218E1">
        <w:rPr>
          <w:lang w:val="en"/>
        </w:rPr>
        <w:t xml:space="preserve"> </w:t>
      </w:r>
      <w:r w:rsidR="00B81F3B" w:rsidRPr="00F218E1">
        <w:rPr>
          <w:lang w:val="en"/>
        </w:rPr>
        <w:t>(PFI)</w:t>
      </w:r>
      <w:r w:rsidRPr="00F218E1">
        <w:t xml:space="preserve"> contracts</w:t>
      </w:r>
    </w:p>
    <w:p w14:paraId="0E0CCCF3" w14:textId="2A8C2CB9" w:rsidR="005D0859" w:rsidRPr="00F218E1" w:rsidRDefault="005D0859" w:rsidP="00A14F84">
      <w:pPr>
        <w:pStyle w:val="ListParagraph"/>
        <w:numPr>
          <w:ilvl w:val="0"/>
          <w:numId w:val="13"/>
        </w:numPr>
      </w:pPr>
      <w:r w:rsidRPr="00F218E1">
        <w:t xml:space="preserve">all other properties </w:t>
      </w:r>
      <w:r w:rsidR="00270854" w:rsidRPr="00F218E1">
        <w:t xml:space="preserve">local authorities </w:t>
      </w:r>
      <w:r w:rsidRPr="00F218E1">
        <w:t>own or use, for example, hostels, laboratories, investment properties and depots</w:t>
      </w:r>
    </w:p>
    <w:p w14:paraId="1C1F2DB1" w14:textId="77777777" w:rsidR="005D0859" w:rsidRPr="00F218E1" w:rsidRDefault="005D0859" w:rsidP="00A14F84">
      <w:pPr>
        <w:pStyle w:val="ListParagraph"/>
        <w:numPr>
          <w:ilvl w:val="0"/>
          <w:numId w:val="13"/>
        </w:numPr>
      </w:pPr>
      <w:r w:rsidRPr="00F218E1">
        <w:t>garages unless rented as part of a housing tenancy agreement</w:t>
      </w:r>
    </w:p>
    <w:p w14:paraId="7328A79B" w14:textId="3CE1FCE0" w:rsidR="005D0859" w:rsidRPr="00F218E1" w:rsidRDefault="005D0859" w:rsidP="00A14F84">
      <w:pPr>
        <w:pStyle w:val="ListParagraph"/>
        <w:numPr>
          <w:ilvl w:val="0"/>
          <w:numId w:val="13"/>
        </w:numPr>
      </w:pPr>
      <w:r w:rsidRPr="00F218E1">
        <w:t>surplus, sublet or vacant properties</w:t>
      </w:r>
      <w:r w:rsidR="00B81F3B" w:rsidRPr="00F218E1">
        <w:t xml:space="preserve"> owned by local authorities</w:t>
      </w:r>
    </w:p>
    <w:p w14:paraId="79B2CA02" w14:textId="77777777" w:rsidR="005D0859" w:rsidRPr="00F218E1" w:rsidRDefault="005D0859" w:rsidP="00A14F84">
      <w:pPr>
        <w:pStyle w:val="ListParagraph"/>
        <w:numPr>
          <w:ilvl w:val="0"/>
          <w:numId w:val="13"/>
        </w:numPr>
      </w:pPr>
      <w:r w:rsidRPr="00F218E1">
        <w:t>undeveloped land</w:t>
      </w:r>
    </w:p>
    <w:p w14:paraId="5AFCB3B9" w14:textId="0F87DE7A" w:rsidR="005D0859" w:rsidRPr="00F218E1" w:rsidRDefault="005D0859" w:rsidP="00A14F84">
      <w:pPr>
        <w:pStyle w:val="ListParagraph"/>
        <w:numPr>
          <w:ilvl w:val="0"/>
          <w:numId w:val="13"/>
        </w:numPr>
      </w:pPr>
      <w:r w:rsidRPr="00F218E1">
        <w:t>serviced or temporary offices where contractual or actual occupation exceeds 3 months</w:t>
      </w:r>
    </w:p>
    <w:p w14:paraId="2B87A9EF" w14:textId="3480C0D1" w:rsidR="005D0859" w:rsidRPr="00F218E1" w:rsidRDefault="005D0859" w:rsidP="00A14F84">
      <w:pPr>
        <w:pStyle w:val="ListParagraph"/>
        <w:numPr>
          <w:ilvl w:val="0"/>
          <w:numId w:val="13"/>
        </w:numPr>
      </w:pPr>
      <w:proofErr w:type="gramStart"/>
      <w:r w:rsidRPr="00F218E1">
        <w:t>all</w:t>
      </w:r>
      <w:proofErr w:type="gramEnd"/>
      <w:r w:rsidRPr="00F218E1">
        <w:t xml:space="preserve"> future </w:t>
      </w:r>
      <w:r w:rsidR="00B81F3B" w:rsidRPr="00F218E1">
        <w:t xml:space="preserve">authority </w:t>
      </w:r>
      <w:r w:rsidRPr="00F218E1">
        <w:t xml:space="preserve">commitments, for example under an agreement for lease, from when </w:t>
      </w:r>
      <w:r w:rsidR="00B81F3B" w:rsidRPr="00F218E1">
        <w:t>a</w:t>
      </w:r>
      <w:r w:rsidRPr="00F218E1">
        <w:t xml:space="preserve"> contractual commitment is made.</w:t>
      </w:r>
    </w:p>
    <w:p w14:paraId="11D56042" w14:textId="62731013" w:rsidR="000F4522" w:rsidRPr="00F218E1" w:rsidRDefault="000F4522" w:rsidP="006A3468">
      <w:r w:rsidRPr="00F218E1">
        <w:t>Properties must also be included even if they are part of</w:t>
      </w:r>
      <w:r w:rsidR="00AA6374" w:rsidRPr="00F218E1">
        <w:t xml:space="preserve"> a</w:t>
      </w:r>
      <w:r w:rsidRPr="00F218E1">
        <w:t xml:space="preserve"> larger estate (for instance, a school care</w:t>
      </w:r>
      <w:r w:rsidR="00270854" w:rsidRPr="00F218E1">
        <w:t>take</w:t>
      </w:r>
      <w:r w:rsidRPr="00F218E1">
        <w:t xml:space="preserve">r’s property on the site of a school, or a residential property on the site of a farm). </w:t>
      </w:r>
    </w:p>
    <w:p w14:paraId="793AAC32" w14:textId="77777777" w:rsidR="000056EA" w:rsidRDefault="00752E1C" w:rsidP="006A3468">
      <w:r w:rsidRPr="00F218E1">
        <w:t>Any land or building where the council has</w:t>
      </w:r>
      <w:r w:rsidR="00C32C87" w:rsidRPr="00F218E1">
        <w:t xml:space="preserve"> currently</w:t>
      </w:r>
      <w:r w:rsidRPr="00F218E1">
        <w:t xml:space="preserve"> a property interest sh</w:t>
      </w:r>
      <w:r w:rsidR="00AA6374" w:rsidRPr="00F218E1">
        <w:t>ould be included</w:t>
      </w:r>
      <w:r w:rsidR="00D654CF" w:rsidRPr="00F218E1">
        <w:t>.</w:t>
      </w:r>
      <w:r w:rsidR="00AA6374" w:rsidRPr="00F218E1">
        <w:t xml:space="preserve"> </w:t>
      </w:r>
      <w:r w:rsidR="00C32C87" w:rsidRPr="00F218E1">
        <w:t>This could include</w:t>
      </w:r>
      <w:r w:rsidR="00B81F3B" w:rsidRPr="00F218E1">
        <w:t xml:space="preserve">, for example, </w:t>
      </w:r>
      <w:r w:rsidR="00C32C87" w:rsidRPr="00F218E1">
        <w:t>playing fields or buildings of church run schools</w:t>
      </w:r>
      <w:r w:rsidR="00680AFA">
        <w:t>.</w:t>
      </w:r>
      <w:r w:rsidR="00F42311" w:rsidRPr="00F218E1">
        <w:t xml:space="preserve"> </w:t>
      </w:r>
    </w:p>
    <w:p w14:paraId="1D4B0D1E" w14:textId="5AECFB1D" w:rsidR="005D0859" w:rsidRPr="00F218E1" w:rsidRDefault="00B81F3B" w:rsidP="006A3468">
      <w:r w:rsidRPr="00F218E1">
        <w:t>T</w:t>
      </w:r>
      <w:r w:rsidR="009E08C4" w:rsidRPr="00F218E1">
        <w:t xml:space="preserve">here are some </w:t>
      </w:r>
      <w:proofErr w:type="gramStart"/>
      <w:r w:rsidR="00680AFA" w:rsidRPr="005032D2">
        <w:t>exclusion</w:t>
      </w:r>
      <w:r w:rsidR="00680AFA">
        <w:t>s</w:t>
      </w:r>
      <w:proofErr w:type="gramEnd"/>
      <w:r w:rsidR="005A57C2" w:rsidRPr="00F218E1">
        <w:t xml:space="preserve"> as stated in the </w:t>
      </w:r>
      <w:r w:rsidR="00531855" w:rsidRPr="00F218E1">
        <w:t>Code</w:t>
      </w:r>
      <w:r w:rsidR="005D0859" w:rsidRPr="00F218E1">
        <w:t>:</w:t>
      </w:r>
    </w:p>
    <w:p w14:paraId="634308D2" w14:textId="3D2C80C2" w:rsidR="005D0859" w:rsidRPr="00F218E1" w:rsidRDefault="005D0859" w:rsidP="00A14F84">
      <w:pPr>
        <w:pStyle w:val="ListParagraph"/>
        <w:numPr>
          <w:ilvl w:val="0"/>
          <w:numId w:val="14"/>
        </w:numPr>
        <w:rPr>
          <w:b/>
        </w:rPr>
      </w:pPr>
    </w:p>
    <w:p w14:paraId="1DB640B9" w14:textId="77777777" w:rsidR="005D0859" w:rsidRPr="00F218E1" w:rsidRDefault="005D0859" w:rsidP="00A14F84">
      <w:pPr>
        <w:pStyle w:val="ListParagraph"/>
        <w:numPr>
          <w:ilvl w:val="0"/>
          <w:numId w:val="14"/>
        </w:numPr>
      </w:pPr>
      <w:r w:rsidRPr="00F218E1">
        <w:t>rent free properties provided by traders (such as information booths in public places or ports)</w:t>
      </w:r>
    </w:p>
    <w:p w14:paraId="73DDCA47" w14:textId="77777777" w:rsidR="005D0859" w:rsidRPr="00F218E1" w:rsidRDefault="005D0859" w:rsidP="00A14F84">
      <w:pPr>
        <w:pStyle w:val="ListParagraph"/>
        <w:numPr>
          <w:ilvl w:val="0"/>
          <w:numId w:val="14"/>
        </w:numPr>
      </w:pPr>
      <w:r w:rsidRPr="00F218E1">
        <w:t>operational railways and canals</w:t>
      </w:r>
    </w:p>
    <w:p w14:paraId="1EA5F42A" w14:textId="77777777" w:rsidR="005D0859" w:rsidRPr="00F218E1" w:rsidRDefault="005D0859" w:rsidP="00A14F84">
      <w:pPr>
        <w:pStyle w:val="ListParagraph"/>
        <w:numPr>
          <w:ilvl w:val="0"/>
          <w:numId w:val="14"/>
        </w:numPr>
      </w:pPr>
      <w:r w:rsidRPr="00F218E1">
        <w:t>operational public highways (but any adjoining land not subject to public rights should be included)</w:t>
      </w:r>
    </w:p>
    <w:p w14:paraId="5F94B829" w14:textId="24C32BE6" w:rsidR="005D0859" w:rsidRPr="00F218E1" w:rsidRDefault="005D0859" w:rsidP="00A14F84">
      <w:pPr>
        <w:pStyle w:val="ListParagraph"/>
        <w:numPr>
          <w:ilvl w:val="0"/>
          <w:numId w:val="14"/>
        </w:numPr>
      </w:pPr>
      <w:r w:rsidRPr="00F218E1">
        <w:t>assets of national security</w:t>
      </w:r>
    </w:p>
    <w:p w14:paraId="6769F2FB" w14:textId="41D1A9E4" w:rsidR="005D0859" w:rsidRPr="00F218E1" w:rsidRDefault="005D0859" w:rsidP="00A14F84">
      <w:pPr>
        <w:pStyle w:val="ListParagraph"/>
        <w:numPr>
          <w:ilvl w:val="0"/>
          <w:numId w:val="14"/>
        </w:numPr>
      </w:pPr>
      <w:proofErr w:type="gramStart"/>
      <w:r w:rsidRPr="00F218E1">
        <w:t>information</w:t>
      </w:r>
      <w:proofErr w:type="gramEnd"/>
      <w:r w:rsidRPr="00F218E1">
        <w:t xml:space="preserve"> deemed inappropriate for public access as a result of data protection and/or disclosure controls (</w:t>
      </w:r>
      <w:proofErr w:type="spellStart"/>
      <w:r w:rsidRPr="00F218E1">
        <w:t>eg</w:t>
      </w:r>
      <w:proofErr w:type="spellEnd"/>
      <w:r w:rsidRPr="00F218E1">
        <w:t>. such as refuge houses).</w:t>
      </w:r>
      <w:r w:rsidR="005A57C2" w:rsidRPr="00F218E1">
        <w:t xml:space="preserve"> </w:t>
      </w:r>
    </w:p>
    <w:p w14:paraId="09FDDA86" w14:textId="48FA2238" w:rsidR="00D83313" w:rsidRDefault="00D83313" w:rsidP="006A3468">
      <w:r>
        <w:t>To avoid data protection issues d</w:t>
      </w:r>
      <w:r>
        <w:rPr>
          <w:sz w:val="23"/>
          <w:szCs w:val="23"/>
        </w:rPr>
        <w:t xml:space="preserve">etails about social housing should not be published. However, information about the value of social housing stock contained in a local authority’s Housing Revenue Account does need to be published for the social housing asset value dataset. </w:t>
      </w:r>
      <w:r>
        <w:t>Publication of the value of social housing assets is covered separately in this guide</w:t>
      </w:r>
    </w:p>
    <w:p w14:paraId="35E27DAB" w14:textId="77777777" w:rsidR="004C6A41" w:rsidRPr="00F218E1" w:rsidRDefault="004C6A41" w:rsidP="004C6A41">
      <w:r w:rsidRPr="00F218E1">
        <w:t>Only plots of land in their entirety should be included where individual tenancy arrangements exist for individual units. This would, for example, include a whole social housing estate, gypsy and traveller sites, block of garages, entire allotment site.</w:t>
      </w:r>
      <w:r>
        <w:t xml:space="preserve"> However, the individual units should not be disclosed.</w:t>
      </w:r>
    </w:p>
    <w:p w14:paraId="2CB59F17" w14:textId="28874F93" w:rsidR="000D3641" w:rsidRPr="00F218E1" w:rsidRDefault="000F4522" w:rsidP="006A3468">
      <w:r w:rsidRPr="00F218E1">
        <w:t>However the Information Commissioner ruled in the case of the London Borough of Bexley in 2007</w:t>
      </w:r>
      <w:r w:rsidR="00951ECB">
        <w:rPr>
          <w:rStyle w:val="FootnoteReference"/>
        </w:rPr>
        <w:footnoteReference w:id="3"/>
      </w:r>
      <w:r w:rsidRPr="00F218E1">
        <w:t xml:space="preserve"> that </w:t>
      </w:r>
      <w:r w:rsidR="00B4391C" w:rsidRPr="00F218E1">
        <w:lastRenderedPageBreak/>
        <w:t xml:space="preserve">details of </w:t>
      </w:r>
      <w:r w:rsidRPr="00F218E1">
        <w:t xml:space="preserve">vacant and empty properties </w:t>
      </w:r>
      <w:r w:rsidR="001E5267" w:rsidRPr="00F218E1">
        <w:t>can</w:t>
      </w:r>
      <w:r w:rsidRPr="00F218E1">
        <w:t xml:space="preserve"> be published as long as it does not refer to private individuals</w:t>
      </w:r>
      <w:r w:rsidR="000D3641" w:rsidRPr="00F218E1">
        <w:t xml:space="preserve">. </w:t>
      </w:r>
      <w:r w:rsidR="001E5267" w:rsidRPr="00680AFA">
        <w:t xml:space="preserve"> </w:t>
      </w:r>
      <w:r w:rsidR="005161FA" w:rsidRPr="00F218E1">
        <w:t xml:space="preserve">According to the Code, for vacant properties only the </w:t>
      </w:r>
      <w:r w:rsidR="001A50DD">
        <w:t xml:space="preserve">post code district level (i.e. the </w:t>
      </w:r>
      <w:r w:rsidR="005161FA" w:rsidRPr="00F218E1">
        <w:t>first part of the postcode</w:t>
      </w:r>
      <w:r w:rsidR="001A50DD">
        <w:t>)</w:t>
      </w:r>
      <w:r w:rsidR="005161FA" w:rsidRPr="00F218E1">
        <w:t xml:space="preserve"> should be published, rather than the full address details.</w:t>
      </w:r>
      <w:r w:rsidR="00260D54">
        <w:t xml:space="preserve"> This also excludes the mapping reference of the property. </w:t>
      </w:r>
    </w:p>
    <w:p w14:paraId="0A4981BE" w14:textId="6A04851B" w:rsidR="000F4522" w:rsidRPr="00F218E1" w:rsidRDefault="000F4522" w:rsidP="006A3468">
      <w:r w:rsidRPr="00F218E1">
        <w:t>A local authority asset that is defined</w:t>
      </w:r>
      <w:r w:rsidRPr="00F218E1">
        <w:rPr>
          <w:rStyle w:val="FootnoteReference"/>
        </w:rPr>
        <w:footnoteReference w:id="4"/>
      </w:r>
      <w:r w:rsidRPr="00F218E1">
        <w:t xml:space="preserve"> as a </w:t>
      </w:r>
      <w:r w:rsidR="00951ECB">
        <w:t>n</w:t>
      </w:r>
      <w:r w:rsidR="00951ECB" w:rsidRPr="00F218E1">
        <w:t xml:space="preserve">ational </w:t>
      </w:r>
      <w:r w:rsidR="00951ECB">
        <w:t>s</w:t>
      </w:r>
      <w:r w:rsidR="00951ECB" w:rsidRPr="00F218E1">
        <w:t xml:space="preserve">ecurity </w:t>
      </w:r>
      <w:r w:rsidR="00951ECB">
        <w:t>a</w:t>
      </w:r>
      <w:r w:rsidR="00951ECB" w:rsidRPr="00F218E1">
        <w:t xml:space="preserve">sset </w:t>
      </w:r>
      <w:r w:rsidRPr="00F218E1">
        <w:t xml:space="preserve">will be </w:t>
      </w:r>
      <w:r w:rsidR="00951ECB">
        <w:t>excluded from publication. National security assets are defined as an asset that</w:t>
      </w:r>
      <w:r w:rsidRPr="00F218E1">
        <w:t>, if lost or compromised, will have a major detrimental impact on the availability or integrity of essential services, leading to severe economic or social consequences or to loss of life. The Centre for the Protection of National Infrastructure use a ‘Criticality Scale’ that includes three impact dimensions: impact on delivery of the nation's essential services; economic impact (arising from loss of essential service) and impact on life (arising from loss of essential service). More details of the Criticality Scale can be found in Cabinet Office's Strategic Framework and Policy Statement</w:t>
      </w:r>
      <w:r w:rsidRPr="00F218E1">
        <w:rPr>
          <w:rStyle w:val="FootnoteReference"/>
        </w:rPr>
        <w:footnoteReference w:id="5"/>
      </w:r>
      <w:r w:rsidRPr="00F218E1">
        <w:t>.</w:t>
      </w:r>
    </w:p>
    <w:p w14:paraId="02896E75" w14:textId="5FE1FC7E" w:rsidR="000F4522" w:rsidRPr="0021222E" w:rsidRDefault="00DD2D4B" w:rsidP="00951ECB">
      <w:pPr>
        <w:pStyle w:val="Heading2"/>
      </w:pPr>
      <w:bookmarkStart w:id="10" w:name="_Ref400455078"/>
      <w:bookmarkStart w:id="11" w:name="_Toc421280172"/>
      <w:r w:rsidRPr="0021222E">
        <w:t xml:space="preserve">Contents of the </w:t>
      </w:r>
      <w:r w:rsidR="007E30E7" w:rsidRPr="005032D2">
        <w:t>land</w:t>
      </w:r>
      <w:r w:rsidR="007E30E7" w:rsidRPr="0021222E">
        <w:t xml:space="preserve"> </w:t>
      </w:r>
      <w:r w:rsidRPr="0021222E">
        <w:t xml:space="preserve">asset </w:t>
      </w:r>
      <w:r w:rsidRPr="005032D2">
        <w:t>register</w:t>
      </w:r>
      <w:bookmarkEnd w:id="10"/>
      <w:bookmarkEnd w:id="11"/>
    </w:p>
    <w:p w14:paraId="4CF435C9" w14:textId="61D746B2" w:rsidR="002F6E50" w:rsidRDefault="000D3641" w:rsidP="002F6E50">
      <w:pPr>
        <w:rPr>
          <w:lang w:val="en"/>
        </w:rPr>
      </w:pPr>
      <w:r w:rsidRPr="00F218E1">
        <w:rPr>
          <w:lang w:val="en"/>
        </w:rPr>
        <w:t xml:space="preserve">Much of the information requested in the Code will be available </w:t>
      </w:r>
      <w:r w:rsidR="005161FA" w:rsidRPr="00F218E1">
        <w:rPr>
          <w:lang w:val="en"/>
        </w:rPr>
        <w:t xml:space="preserve">on council websites </w:t>
      </w:r>
      <w:r w:rsidRPr="00F218E1">
        <w:rPr>
          <w:lang w:val="en"/>
        </w:rPr>
        <w:t xml:space="preserve">as part of a </w:t>
      </w:r>
      <w:r w:rsidR="007E30E7" w:rsidRPr="00F218E1">
        <w:rPr>
          <w:lang w:val="en"/>
        </w:rPr>
        <w:t xml:space="preserve">land </w:t>
      </w:r>
      <w:r w:rsidR="0071240E" w:rsidRPr="00F218E1">
        <w:rPr>
          <w:lang w:val="en"/>
        </w:rPr>
        <w:t>and building</w:t>
      </w:r>
      <w:r w:rsidR="005953D0" w:rsidRPr="00F218E1">
        <w:rPr>
          <w:lang w:val="en"/>
        </w:rPr>
        <w:t>s</w:t>
      </w:r>
      <w:r w:rsidR="0071240E" w:rsidRPr="00F218E1">
        <w:rPr>
          <w:lang w:val="en"/>
        </w:rPr>
        <w:t xml:space="preserve"> </w:t>
      </w:r>
      <w:r w:rsidRPr="00F218E1">
        <w:rPr>
          <w:lang w:val="en"/>
        </w:rPr>
        <w:t>asset register. Land and building assets have a value to local authorities especially when they are well managed</w:t>
      </w:r>
      <w:r w:rsidR="005161FA" w:rsidRPr="00F218E1">
        <w:rPr>
          <w:lang w:val="en"/>
        </w:rPr>
        <w:t xml:space="preserve"> and maintained</w:t>
      </w:r>
      <w:r w:rsidR="001A50DD">
        <w:rPr>
          <w:lang w:val="en"/>
        </w:rPr>
        <w:t>. K</w:t>
      </w:r>
      <w:r w:rsidRPr="00F218E1">
        <w:rPr>
          <w:lang w:val="en"/>
        </w:rPr>
        <w:t xml:space="preserve">eeping detailed and accurate records of land </w:t>
      </w:r>
      <w:r w:rsidR="00B4391C" w:rsidRPr="00F218E1">
        <w:rPr>
          <w:lang w:val="en"/>
        </w:rPr>
        <w:t xml:space="preserve">and building </w:t>
      </w:r>
      <w:r w:rsidR="005161FA" w:rsidRPr="00F218E1">
        <w:rPr>
          <w:lang w:val="en"/>
        </w:rPr>
        <w:t xml:space="preserve">assets is good practice for supporting this aim. </w:t>
      </w:r>
    </w:p>
    <w:p w14:paraId="3721FE90" w14:textId="2EFD7D8D" w:rsidR="00A269C9" w:rsidRDefault="005161FA" w:rsidP="0063003B">
      <w:pPr>
        <w:rPr>
          <w:rFonts w:ascii="Segoe UI" w:hAnsi="Segoe UI" w:cs="Segoe UI"/>
        </w:rPr>
      </w:pPr>
      <w:r w:rsidRPr="00F218E1">
        <w:rPr>
          <w:lang w:val="en"/>
        </w:rPr>
        <w:t xml:space="preserve">The LGA </w:t>
      </w:r>
      <w:r w:rsidR="000D3641" w:rsidRPr="00F218E1">
        <w:rPr>
          <w:rFonts w:eastAsia="Arial"/>
        </w:rPr>
        <w:t>recommend</w:t>
      </w:r>
      <w:r w:rsidRPr="00F218E1">
        <w:rPr>
          <w:rFonts w:eastAsia="Arial"/>
        </w:rPr>
        <w:t>s</w:t>
      </w:r>
      <w:r w:rsidR="000D3641" w:rsidRPr="00F218E1">
        <w:rPr>
          <w:rFonts w:eastAsia="Arial"/>
        </w:rPr>
        <w:t xml:space="preserve"> a common approach and format for publishing the content of the data to </w:t>
      </w:r>
      <w:r w:rsidR="002909FD" w:rsidRPr="00F218E1">
        <w:rPr>
          <w:rFonts w:eastAsia="Arial"/>
        </w:rPr>
        <w:t>enable more straightforward</w:t>
      </w:r>
      <w:r w:rsidR="000D3641" w:rsidRPr="00F218E1">
        <w:rPr>
          <w:rFonts w:eastAsia="Arial"/>
        </w:rPr>
        <w:t xml:space="preserve"> sharing and analysis of data.</w:t>
      </w:r>
      <w:r w:rsidR="002F6E50">
        <w:rPr>
          <w:rFonts w:eastAsia="Arial"/>
        </w:rPr>
        <w:t xml:space="preserve"> We advise </w:t>
      </w:r>
      <w:r w:rsidR="000D3641" w:rsidRPr="00F218E1">
        <w:rPr>
          <w:rFonts w:eastAsia="Arial"/>
        </w:rPr>
        <w:t>that the content of the published land and building register data match</w:t>
      </w:r>
      <w:r w:rsidR="00846432" w:rsidRPr="00F218E1">
        <w:rPr>
          <w:rFonts w:eastAsia="Arial"/>
        </w:rPr>
        <w:t>es</w:t>
      </w:r>
      <w:r w:rsidRPr="00F218E1">
        <w:rPr>
          <w:rFonts w:eastAsia="Arial"/>
        </w:rPr>
        <w:t xml:space="preserve"> </w:t>
      </w:r>
      <w:r w:rsidR="000D3641" w:rsidRPr="00F218E1">
        <w:rPr>
          <w:rFonts w:eastAsia="Arial"/>
        </w:rPr>
        <w:t>the format set out in the template provided in</w:t>
      </w:r>
      <w:r w:rsidR="002F6E50">
        <w:rPr>
          <w:rFonts w:eastAsia="Arial"/>
        </w:rPr>
        <w:t xml:space="preserve"> Annex I</w:t>
      </w:r>
      <w:r w:rsidR="000056EA">
        <w:rPr>
          <w:rFonts w:eastAsia="Arial"/>
        </w:rPr>
        <w:t xml:space="preserve">- </w:t>
      </w:r>
      <w:hyperlink w:anchor="landassets" w:history="1">
        <w:r w:rsidR="000056EA" w:rsidRPr="002C3FA3">
          <w:rPr>
            <w:rStyle w:val="Hyperlink"/>
            <w:rFonts w:eastAsia="Arial" w:cs="Arial"/>
          </w:rPr>
          <w:t>Land and building asset template</w:t>
        </w:r>
      </w:hyperlink>
      <w:r w:rsidR="002F6E50">
        <w:rPr>
          <w:rFonts w:eastAsia="Arial"/>
        </w:rPr>
        <w:t xml:space="preserve"> .</w:t>
      </w:r>
      <w:r w:rsidR="00A269C9">
        <w:rPr>
          <w:rFonts w:eastAsia="Arial"/>
        </w:rPr>
        <w:t xml:space="preserve"> The template is also available as a standardised schema which can be downloaded from</w:t>
      </w:r>
      <w:r w:rsidR="008B64C5">
        <w:rPr>
          <w:rFonts w:eastAsia="Arial"/>
        </w:rPr>
        <w:t xml:space="preserve"> </w:t>
      </w:r>
      <w:hyperlink r:id="rId18" w:tgtFrame="_blank" w:history="1">
        <w:r w:rsidR="008B64C5">
          <w:rPr>
            <w:rStyle w:val="Hyperlink"/>
          </w:rPr>
          <w:t>http://schemas.opendata.esd.org.uk/LandAssets</w:t>
        </w:r>
      </w:hyperlink>
      <w:r w:rsidR="008B64C5">
        <w:t xml:space="preserve">.  </w:t>
      </w:r>
      <w:r w:rsidR="008B64C5">
        <w:rPr>
          <w:rFonts w:eastAsia="Arial"/>
        </w:rPr>
        <w:t xml:space="preserve"> </w:t>
      </w:r>
      <w:r w:rsidR="00A269C9">
        <w:rPr>
          <w:rFonts w:eastAsia="Arial"/>
        </w:rPr>
        <w:t xml:space="preserve"> </w:t>
      </w:r>
    </w:p>
    <w:p w14:paraId="394729F9" w14:textId="5A4F0577" w:rsidR="004F590B" w:rsidRDefault="002F6E50" w:rsidP="00951ECB">
      <w:pPr>
        <w:rPr>
          <w:rFonts w:eastAsia="Arial"/>
        </w:rPr>
      </w:pPr>
      <w:r>
        <w:rPr>
          <w:rFonts w:eastAsia="Arial"/>
        </w:rPr>
        <w:t>The data should</w:t>
      </w:r>
      <w:r w:rsidRPr="00F218E1">
        <w:rPr>
          <w:rFonts w:eastAsia="Arial"/>
        </w:rPr>
        <w:t xml:space="preserve"> follow the </w:t>
      </w:r>
      <w:r w:rsidR="001A50DD">
        <w:rPr>
          <w:rFonts w:eastAsia="Arial"/>
        </w:rPr>
        <w:t>collection</w:t>
      </w:r>
      <w:r w:rsidR="001A50DD" w:rsidRPr="00F218E1">
        <w:rPr>
          <w:rFonts w:eastAsia="Arial"/>
        </w:rPr>
        <w:t xml:space="preserve"> </w:t>
      </w:r>
      <w:r w:rsidRPr="00F218E1">
        <w:rPr>
          <w:rFonts w:eastAsia="Arial"/>
        </w:rPr>
        <w:t xml:space="preserve">of columns suggested. Any additional fields that an authority wishes to publish should be added </w:t>
      </w:r>
      <w:r w:rsidR="001A50DD">
        <w:rPr>
          <w:rFonts w:eastAsia="Arial"/>
        </w:rPr>
        <w:t>as required</w:t>
      </w:r>
      <w:r w:rsidRPr="00F218E1">
        <w:rPr>
          <w:rFonts w:eastAsia="Arial"/>
        </w:rPr>
        <w:t xml:space="preserve"> </w:t>
      </w:r>
      <w:r>
        <w:rPr>
          <w:rFonts w:eastAsia="Arial"/>
        </w:rPr>
        <w:t>in the template</w:t>
      </w:r>
      <w:r w:rsidRPr="005032D2">
        <w:rPr>
          <w:rFonts w:eastAsia="Arial"/>
        </w:rPr>
        <w:t>.</w:t>
      </w:r>
      <w:r w:rsidRPr="00F218E1">
        <w:rPr>
          <w:rFonts w:eastAsia="Arial"/>
        </w:rPr>
        <w:t xml:space="preserve"> </w:t>
      </w:r>
    </w:p>
    <w:p w14:paraId="01DF70FC" w14:textId="77777777" w:rsidR="004F590B" w:rsidRDefault="004F590B" w:rsidP="00951ECB">
      <w:r>
        <w:rPr>
          <w:rFonts w:eastAsia="Arial"/>
        </w:rPr>
        <w:t xml:space="preserve">The data elements as used in the template are described below. </w:t>
      </w:r>
      <w:r>
        <w:t xml:space="preserve">Data fields that are mandated or recommended in the Code are marked accordingly. Fields that are added to make the data more meaningful when compared or combined are marked as optional. </w:t>
      </w:r>
    </w:p>
    <w:p w14:paraId="33650AF7" w14:textId="0EA73E89" w:rsidR="008B64C5" w:rsidRDefault="008B64C5" w:rsidP="008B64C5">
      <w:pPr>
        <w:rPr>
          <w:rFonts w:eastAsia="Arial"/>
        </w:rPr>
      </w:pPr>
      <w:r>
        <w:rPr>
          <w:rFonts w:eastAsia="Arial"/>
        </w:rPr>
        <w:t xml:space="preserve">Local authorities can delete columns if they are not mandated and local authorities will not publish data for that field. Alternatively, the local authority can add further fields. However, we recommend </w:t>
      </w:r>
      <w:proofErr w:type="gramStart"/>
      <w:r>
        <w:rPr>
          <w:rFonts w:eastAsia="Arial"/>
        </w:rPr>
        <w:t>to publish</w:t>
      </w:r>
      <w:proofErr w:type="gramEnd"/>
      <w:r>
        <w:rPr>
          <w:rFonts w:eastAsia="Arial"/>
        </w:rPr>
        <w:t xml:space="preserve"> as much information as possible according to the standard to enable wider usability of the data.  </w:t>
      </w:r>
    </w:p>
    <w:p w14:paraId="46627082" w14:textId="77777777" w:rsidR="008B64C5" w:rsidRPr="00E06147" w:rsidRDefault="008B64C5" w:rsidP="008B64C5">
      <w:pPr>
        <w:rPr>
          <w:rFonts w:eastAsia="Arial"/>
        </w:rPr>
      </w:pPr>
      <w:r w:rsidRPr="00E06147">
        <w:rPr>
          <w:rFonts w:eastAsia="Arial"/>
        </w:rPr>
        <w:t xml:space="preserve">We acknowledge that local authorities have different systems and procedures in place for extracting data, and accordingly some may not be able to match all the fields recommended here. </w:t>
      </w:r>
    </w:p>
    <w:p w14:paraId="5F9AB493" w14:textId="76AEE153" w:rsidR="00C547D8" w:rsidRPr="00F218E1" w:rsidRDefault="003202E8" w:rsidP="006A3468">
      <w:pPr>
        <w:rPr>
          <w:rFonts w:eastAsia="Arial"/>
          <w:b/>
        </w:rPr>
      </w:pPr>
      <w:bookmarkStart w:id="12" w:name="organisation"/>
      <w:bookmarkEnd w:id="12"/>
      <w:r w:rsidRPr="00F218E1">
        <w:rPr>
          <w:rFonts w:eastAsia="Arial"/>
          <w:b/>
        </w:rPr>
        <w:t>Organisation</w:t>
      </w:r>
      <w:r w:rsidR="0021222E" w:rsidRPr="00F218E1">
        <w:rPr>
          <w:rFonts w:eastAsia="Arial"/>
          <w:b/>
        </w:rPr>
        <w:t xml:space="preserve"> (optional)</w:t>
      </w:r>
    </w:p>
    <w:p w14:paraId="22FC12B1" w14:textId="16687D48" w:rsidR="0021222E" w:rsidRPr="00F218E1" w:rsidRDefault="00C547D8" w:rsidP="00AF12DC">
      <w:r w:rsidRPr="00F218E1">
        <w:rPr>
          <w:rFonts w:eastAsia="Arial"/>
          <w:bCs/>
        </w:rPr>
        <w:t>‘</w:t>
      </w:r>
      <w:r w:rsidR="003202E8" w:rsidRPr="00F218E1">
        <w:rPr>
          <w:rFonts w:eastAsia="Arial"/>
        </w:rPr>
        <w:t>Organisation</w:t>
      </w:r>
      <w:r w:rsidRPr="00F218E1">
        <w:rPr>
          <w:rFonts w:eastAsia="Arial"/>
        </w:rPr>
        <w:t xml:space="preserve">’ identifies the </w:t>
      </w:r>
      <w:r w:rsidR="001A50DD">
        <w:rPr>
          <w:rFonts w:eastAsia="Arial"/>
        </w:rPr>
        <w:t xml:space="preserve">name of the </w:t>
      </w:r>
      <w:r w:rsidR="004F590B">
        <w:rPr>
          <w:rFonts w:eastAsia="Arial"/>
        </w:rPr>
        <w:t>organisation</w:t>
      </w:r>
      <w:r w:rsidRPr="00F218E1">
        <w:rPr>
          <w:rFonts w:eastAsia="Arial"/>
        </w:rPr>
        <w:t xml:space="preserve"> to which </w:t>
      </w:r>
      <w:r w:rsidR="00D654CF" w:rsidRPr="00F218E1">
        <w:rPr>
          <w:rFonts w:eastAsia="Arial"/>
        </w:rPr>
        <w:t>assets belong</w:t>
      </w:r>
      <w:r w:rsidRPr="00F218E1">
        <w:rPr>
          <w:rFonts w:eastAsia="Arial"/>
        </w:rPr>
        <w:t xml:space="preserve"> and means that the file is self-describing </w:t>
      </w:r>
      <w:r w:rsidR="004F590B">
        <w:rPr>
          <w:rFonts w:eastAsia="Arial"/>
        </w:rPr>
        <w:t>when combined with other data</w:t>
      </w:r>
      <w:r w:rsidRPr="00F218E1">
        <w:rPr>
          <w:rFonts w:eastAsia="Arial"/>
        </w:rPr>
        <w:t xml:space="preserve">. </w:t>
      </w:r>
      <w:r w:rsidR="00564506" w:rsidRPr="00F218E1">
        <w:t xml:space="preserve">Authority information should include a unique identifier for a local authority that owns the data </w:t>
      </w:r>
      <w:r w:rsidR="001A50DD">
        <w:t xml:space="preserve">so that content </w:t>
      </w:r>
      <w:r w:rsidR="004F590B">
        <w:t xml:space="preserve">may be linked with other data from the same </w:t>
      </w:r>
      <w:r w:rsidR="004F590B">
        <w:lastRenderedPageBreak/>
        <w:t>organisation that use</w:t>
      </w:r>
      <w:r w:rsidR="001A50DD">
        <w:t>s</w:t>
      </w:r>
      <w:r w:rsidR="004F590B">
        <w:t xml:space="preserve"> the same identifier</w:t>
      </w:r>
      <w:r w:rsidR="00564506" w:rsidRPr="00F218E1">
        <w:t xml:space="preserve">. </w:t>
      </w:r>
    </w:p>
    <w:p w14:paraId="1EDAB828" w14:textId="0E74139D" w:rsidR="00DE2BAB" w:rsidRPr="00F218E1" w:rsidRDefault="00DE2BAB" w:rsidP="006A3468">
      <w:r w:rsidRPr="00F218E1">
        <w:t xml:space="preserve">Ideally, the </w:t>
      </w:r>
      <w:r w:rsidR="005F4EF6">
        <w:t xml:space="preserve">organisation </w:t>
      </w:r>
      <w:r w:rsidRPr="00F218E1">
        <w:t xml:space="preserve">code should be represented in the form of a ‘uniform reference identifier’ (URI) used in open data standards – see the </w:t>
      </w:r>
      <w:r w:rsidRPr="00F218E1">
        <w:rPr>
          <w:i/>
        </w:rPr>
        <w:t xml:space="preserve">File formats: open and linked data </w:t>
      </w:r>
      <w:r w:rsidRPr="00F218E1">
        <w:t xml:space="preserve">section in the general guidance for publishing data for further information. URI sets that represent local authorities are, for example, the statistics.data.gov.uk set. </w:t>
      </w:r>
      <w:r w:rsidR="00D3393A" w:rsidRPr="00F218E1">
        <w:t>T</w:t>
      </w:r>
      <w:r w:rsidR="008875A5" w:rsidRPr="00F218E1">
        <w:t>his</w:t>
      </w:r>
      <w:r w:rsidRPr="00F218E1">
        <w:t xml:space="preserve"> takes the form of: http://statistics.data.gov.uk/id/local-authority/XXXX</w:t>
      </w:r>
      <w:r w:rsidR="008B64C5">
        <w:t>.</w:t>
      </w:r>
      <w:r w:rsidRPr="00F218E1">
        <w:t xml:space="preserve"> </w:t>
      </w:r>
    </w:p>
    <w:p w14:paraId="40F81F22" w14:textId="5660034D" w:rsidR="00E2348A" w:rsidRDefault="00E2348A" w:rsidP="00E2348A">
      <w:r>
        <w:t xml:space="preserve">Codes describing URIs are not yet available for every public organisation. A URI used in Linked Data is the preferred option. </w:t>
      </w:r>
    </w:p>
    <w:p w14:paraId="09CF4035" w14:textId="77777777" w:rsidR="00E2348A" w:rsidRDefault="00E2348A" w:rsidP="00E2348A">
      <w:r>
        <w:t xml:space="preserve">For local authorities the code could be </w:t>
      </w:r>
    </w:p>
    <w:p w14:paraId="6EDEF776" w14:textId="62086522" w:rsidR="00E2348A" w:rsidRDefault="00E2348A" w:rsidP="00E2348A">
      <w:pPr>
        <w:pStyle w:val="ListParagraph"/>
        <w:numPr>
          <w:ilvl w:val="0"/>
          <w:numId w:val="50"/>
        </w:numPr>
      </w:pPr>
      <w:r>
        <w:t xml:space="preserve">the open data communities code for local authorities on </w:t>
      </w:r>
      <w:hyperlink r:id="rId19" w:history="1">
        <w:r w:rsidRPr="00756F64">
          <w:rPr>
            <w:rStyle w:val="Hyperlink"/>
            <w:rFonts w:cs="Arial"/>
          </w:rPr>
          <w:t>http://opendatacommunities.org/data/local-authorities</w:t>
        </w:r>
      </w:hyperlink>
      <w:r>
        <w:t xml:space="preserve"> </w:t>
      </w:r>
    </w:p>
    <w:p w14:paraId="7AC84B45" w14:textId="109BAEEE" w:rsidR="00E2348A" w:rsidRDefault="00E2348A" w:rsidP="00E2348A">
      <w:pPr>
        <w:pStyle w:val="ListParagraph"/>
        <w:numPr>
          <w:ilvl w:val="0"/>
          <w:numId w:val="50"/>
        </w:numPr>
      </w:pPr>
      <w:proofErr w:type="gramStart"/>
      <w:r>
        <w:t>or</w:t>
      </w:r>
      <w:proofErr w:type="gramEnd"/>
      <w:r>
        <w:t xml:space="preserve"> the Office for National Statistics’ (ONS) Government Statistics Services (GSS) Coding and Naming for Statistical Geographies. (</w:t>
      </w:r>
      <w:hyperlink r:id="rId20" w:history="1">
        <w:r w:rsidRPr="00756F64">
          <w:rPr>
            <w:rStyle w:val="Hyperlink"/>
            <w:rFonts w:cs="Arial"/>
          </w:rPr>
          <w:t>http://tinyurl.com/onsgeog</w:t>
        </w:r>
      </w:hyperlink>
      <w:r>
        <w:t xml:space="preserve">) </w:t>
      </w:r>
    </w:p>
    <w:p w14:paraId="58BF57D7" w14:textId="36E8650F" w:rsidR="00A05B1D" w:rsidRPr="00F218E1" w:rsidRDefault="00A05B1D" w:rsidP="006A3468">
      <w:pPr>
        <w:rPr>
          <w:rFonts w:eastAsia="Arial"/>
        </w:rPr>
      </w:pPr>
      <w:r w:rsidRPr="00F218E1">
        <w:rPr>
          <w:rFonts w:eastAsia="Arial"/>
        </w:rPr>
        <w:t xml:space="preserve">A </w:t>
      </w:r>
      <w:r w:rsidR="00315AD4" w:rsidRPr="00F218E1">
        <w:rPr>
          <w:rFonts w:eastAsia="Arial"/>
        </w:rPr>
        <w:t xml:space="preserve">lookup tool for </w:t>
      </w:r>
      <w:r w:rsidRPr="00F218E1">
        <w:rPr>
          <w:rFonts w:eastAsia="Arial"/>
        </w:rPr>
        <w:t>URIs can be found on the LG Inform Plus website (</w:t>
      </w:r>
      <w:hyperlink r:id="rId21" w:history="1">
        <w:r w:rsidRPr="00F218E1">
          <w:rPr>
            <w:rStyle w:val="Hyperlink"/>
            <w:rFonts w:eastAsia="Arial" w:cs="Arial"/>
          </w:rPr>
          <w:t>http://uris.opendata.esd.org.uk/</w:t>
        </w:r>
      </w:hyperlink>
      <w:r w:rsidRPr="00F218E1">
        <w:rPr>
          <w:rFonts w:eastAsia="Arial"/>
        </w:rPr>
        <w:t xml:space="preserve">) </w:t>
      </w:r>
    </w:p>
    <w:p w14:paraId="637DC7F9" w14:textId="77777777" w:rsidR="00DE2BAB" w:rsidRPr="00F218E1" w:rsidRDefault="00DE2BAB" w:rsidP="006A3468">
      <w:pPr>
        <w:rPr>
          <w:rFonts w:eastAsia="Arial"/>
        </w:rPr>
      </w:pPr>
      <w:r w:rsidRPr="00F218E1">
        <w:rPr>
          <w:rFonts w:eastAsia="Arial"/>
        </w:rPr>
        <w:t xml:space="preserve">For example the URIs for Sedgemoor </w:t>
      </w:r>
      <w:proofErr w:type="gramStart"/>
      <w:r w:rsidRPr="00F218E1">
        <w:rPr>
          <w:rFonts w:eastAsia="Arial"/>
        </w:rPr>
        <w:t>are</w:t>
      </w:r>
      <w:proofErr w:type="gramEnd"/>
      <w:r w:rsidRPr="00F218E1">
        <w:rPr>
          <w:rFonts w:eastAsia="Arial"/>
        </w:rPr>
        <w:t>:</w:t>
      </w:r>
    </w:p>
    <w:p w14:paraId="6B6D7D03" w14:textId="3B323110" w:rsidR="00DE2BAB" w:rsidRPr="00F218E1" w:rsidRDefault="00583EBE" w:rsidP="00A14F84">
      <w:pPr>
        <w:pStyle w:val="ListParagraph"/>
        <w:numPr>
          <w:ilvl w:val="0"/>
          <w:numId w:val="23"/>
        </w:numPr>
        <w:rPr>
          <w:color w:val="auto"/>
        </w:rPr>
      </w:pPr>
      <w:hyperlink r:id="rId22" w:history="1">
        <w:r w:rsidR="00E2348A" w:rsidRPr="00756F64">
          <w:rPr>
            <w:rStyle w:val="Hyperlink"/>
            <w:rFonts w:cs="Arial"/>
          </w:rPr>
          <w:t>http://opendatacommunities.org/id/district-council/sedgemoor</w:t>
        </w:r>
      </w:hyperlink>
      <w:r w:rsidR="00E2348A">
        <w:rPr>
          <w:color w:val="373737"/>
          <w:u w:val="single"/>
        </w:rPr>
        <w:t xml:space="preserve"> </w:t>
      </w:r>
    </w:p>
    <w:p w14:paraId="6261C8F5" w14:textId="23DA46DE" w:rsidR="00DE2BAB" w:rsidRPr="00F218E1" w:rsidRDefault="00583EBE" w:rsidP="00A14F84">
      <w:pPr>
        <w:pStyle w:val="ListParagraph"/>
        <w:numPr>
          <w:ilvl w:val="0"/>
          <w:numId w:val="23"/>
        </w:numPr>
        <w:rPr>
          <w:rFonts w:eastAsia="Arial"/>
        </w:rPr>
      </w:pPr>
      <w:hyperlink r:id="rId23" w:history="1">
        <w:r w:rsidR="00E2348A" w:rsidRPr="00756F64">
          <w:rPr>
            <w:rStyle w:val="Hyperlink"/>
            <w:rFonts w:cs="Arial"/>
          </w:rPr>
          <w:t>http://statistics.data.gov.uk/id/statistical-geography/E07000188</w:t>
        </w:r>
      </w:hyperlink>
      <w:r w:rsidR="00E2348A">
        <w:rPr>
          <w:color w:val="373737"/>
          <w:u w:val="single"/>
        </w:rPr>
        <w:t xml:space="preserve"> </w:t>
      </w:r>
    </w:p>
    <w:p w14:paraId="58B50A50" w14:textId="77777777" w:rsidR="00E2348A" w:rsidRPr="003452E0" w:rsidRDefault="00E2348A" w:rsidP="0063003B">
      <w:pPr>
        <w:rPr>
          <w:rFonts w:eastAsia="Arial"/>
        </w:rPr>
      </w:pPr>
      <w:r w:rsidRPr="003452E0">
        <w:rPr>
          <w:rFonts w:eastAsia="Arial"/>
        </w:rPr>
        <w:t xml:space="preserve">Where the URI for the local authority exists on </w:t>
      </w:r>
      <w:proofErr w:type="spellStart"/>
      <w:r w:rsidRPr="003452E0">
        <w:rPr>
          <w:rFonts w:eastAsia="Arial"/>
        </w:rPr>
        <w:t>opendatacommunities</w:t>
      </w:r>
      <w:proofErr w:type="spellEnd"/>
      <w:r w:rsidRPr="003452E0">
        <w:rPr>
          <w:rFonts w:eastAsia="Arial"/>
        </w:rPr>
        <w:t xml:space="preserve"> we recommend use of that identifier, otherwise the statistical geographies identifier could be used which refers to an area.  </w:t>
      </w:r>
    </w:p>
    <w:p w14:paraId="018BAAEC" w14:textId="11292397" w:rsidR="00C547D8" w:rsidRDefault="00D05926" w:rsidP="006A3468">
      <w:pPr>
        <w:rPr>
          <w:rFonts w:eastAsia="Arial"/>
        </w:rPr>
      </w:pPr>
      <w:r>
        <w:rPr>
          <w:rFonts w:eastAsia="Arial"/>
        </w:rPr>
        <w:t>A</w:t>
      </w:r>
      <w:r w:rsidR="00C547D8" w:rsidRPr="00F218E1">
        <w:rPr>
          <w:rFonts w:eastAsia="Arial"/>
        </w:rPr>
        <w:t>dding the name of the authority in the ‘</w:t>
      </w:r>
      <w:r w:rsidR="007E30E7" w:rsidRPr="00F218E1">
        <w:rPr>
          <w:rFonts w:eastAsia="Arial"/>
        </w:rPr>
        <w:t xml:space="preserve">organisation </w:t>
      </w:r>
      <w:r w:rsidR="00C547D8" w:rsidRPr="00F218E1">
        <w:rPr>
          <w:rFonts w:eastAsia="Arial"/>
        </w:rPr>
        <w:t>name’ field helps readability.</w:t>
      </w:r>
      <w:r w:rsidR="009E57B4">
        <w:rPr>
          <w:rFonts w:eastAsia="Arial"/>
        </w:rPr>
        <w:t xml:space="preserve"> Alternatively,</w:t>
      </w:r>
      <w:r w:rsidR="00C547D8" w:rsidRPr="00F218E1">
        <w:rPr>
          <w:rFonts w:eastAsia="Arial"/>
        </w:rPr>
        <w:t xml:space="preserve"> the </w:t>
      </w:r>
      <w:r w:rsidR="009E57B4">
        <w:rPr>
          <w:rFonts w:eastAsia="Arial"/>
        </w:rPr>
        <w:t>organisation</w:t>
      </w:r>
      <w:r w:rsidR="00C547D8" w:rsidRPr="00F218E1">
        <w:rPr>
          <w:rFonts w:eastAsia="Arial"/>
        </w:rPr>
        <w:t xml:space="preserve"> name and code can be added to the metadata of the file –</w:t>
      </w:r>
      <w:r w:rsidR="00C547D8" w:rsidRPr="00F218E1" w:rsidDel="000E5BD3">
        <w:rPr>
          <w:rFonts w:eastAsia="Arial"/>
        </w:rPr>
        <w:t xml:space="preserve"> </w:t>
      </w:r>
      <w:r w:rsidR="00C547D8" w:rsidRPr="00F218E1">
        <w:rPr>
          <w:rFonts w:eastAsia="Arial"/>
        </w:rPr>
        <w:t xml:space="preserve">see the </w:t>
      </w:r>
      <w:r w:rsidR="00A21D20" w:rsidRPr="00F218E1">
        <w:rPr>
          <w:rFonts w:eastAsia="Arial"/>
          <w:i/>
        </w:rPr>
        <w:t>Publication</w:t>
      </w:r>
      <w:r w:rsidR="00A21D20" w:rsidRPr="00F218E1">
        <w:rPr>
          <w:rFonts w:eastAsia="Arial"/>
        </w:rPr>
        <w:t xml:space="preserve"> </w:t>
      </w:r>
      <w:r w:rsidR="00C547D8" w:rsidRPr="00F218E1">
        <w:rPr>
          <w:rFonts w:eastAsia="Arial"/>
        </w:rPr>
        <w:t xml:space="preserve">section </w:t>
      </w:r>
      <w:r w:rsidR="00A21D20" w:rsidRPr="00F218E1">
        <w:rPr>
          <w:rFonts w:eastAsia="Arial"/>
        </w:rPr>
        <w:t>in the general guidance for publishing data</w:t>
      </w:r>
      <w:r w:rsidR="008B64C5">
        <w:rPr>
          <w:rStyle w:val="FootnoteReference"/>
          <w:rFonts w:eastAsia="Arial"/>
        </w:rPr>
        <w:footnoteReference w:id="6"/>
      </w:r>
      <w:r w:rsidR="00A21D20" w:rsidRPr="00F218E1">
        <w:rPr>
          <w:rFonts w:eastAsia="Arial"/>
        </w:rPr>
        <w:t xml:space="preserve"> </w:t>
      </w:r>
      <w:r w:rsidR="00C547D8" w:rsidRPr="00F218E1">
        <w:rPr>
          <w:rFonts w:eastAsia="Arial"/>
        </w:rPr>
        <w:t>for more information.</w:t>
      </w:r>
    </w:p>
    <w:p w14:paraId="79D96064" w14:textId="654DD157" w:rsidR="000056EA" w:rsidRPr="004B0CC1" w:rsidRDefault="002C3FA3" w:rsidP="006A3468">
      <w:pPr>
        <w:rPr>
          <w:rFonts w:eastAsia="Arial"/>
        </w:rPr>
      </w:pPr>
      <w:r>
        <w:rPr>
          <w:rFonts w:eastAsia="Arial"/>
        </w:rPr>
        <w:t>Effective d</w:t>
      </w:r>
      <w:r w:rsidR="00D12EB9" w:rsidRPr="004B0CC1">
        <w:rPr>
          <w:rFonts w:eastAsia="Arial"/>
        </w:rPr>
        <w:t>ate (optiona</w:t>
      </w:r>
      <w:r w:rsidR="00D12EB9">
        <w:rPr>
          <w:rFonts w:eastAsia="Arial"/>
        </w:rPr>
        <w:t>l</w:t>
      </w:r>
      <w:r w:rsidR="00D12EB9" w:rsidRPr="004B0CC1">
        <w:rPr>
          <w:rFonts w:eastAsia="Arial"/>
        </w:rPr>
        <w:t>)</w:t>
      </w:r>
    </w:p>
    <w:p w14:paraId="6FBC4F5E" w14:textId="77777777" w:rsidR="00D12EB9" w:rsidRPr="00A439C4" w:rsidRDefault="00D12EB9" w:rsidP="00D12EB9">
      <w:pPr>
        <w:ind w:left="720"/>
        <w:rPr>
          <w:rFonts w:eastAsia="Arial"/>
          <w:bCs/>
        </w:rPr>
      </w:pPr>
      <w:r>
        <w:rPr>
          <w:rFonts w:eastAsia="Arial"/>
          <w:bCs/>
        </w:rPr>
        <w:t xml:space="preserve">Effective date is </w:t>
      </w:r>
      <w:r>
        <w:rPr>
          <w:shd w:val="clear" w:color="auto" w:fill="FFFFFF"/>
        </w:rPr>
        <w:t>the end date of the accounting period for the data. For example, the effective data would be the 31/12/2014 for an annual reporting period ending at the end of December.</w:t>
      </w:r>
      <w:r>
        <w:rPr>
          <w:rFonts w:eastAsia="Arial"/>
          <w:bCs/>
        </w:rPr>
        <w:t xml:space="preserve"> This enables users of the data to identify for which period the data apply.  </w:t>
      </w:r>
    </w:p>
    <w:p w14:paraId="4172A4D8" w14:textId="45C1114C" w:rsidR="009174CA" w:rsidRPr="00F218E1" w:rsidRDefault="002C3FA3" w:rsidP="006A3468">
      <w:pPr>
        <w:pStyle w:val="BodyText"/>
        <w:spacing w:line="240" w:lineRule="auto"/>
        <w:rPr>
          <w:b/>
        </w:rPr>
      </w:pPr>
      <w:r>
        <w:rPr>
          <w:b/>
        </w:rPr>
        <w:t xml:space="preserve">Address </w:t>
      </w:r>
      <w:proofErr w:type="spellStart"/>
      <w:r>
        <w:rPr>
          <w:b/>
          <w:lang w:val="en-GB"/>
        </w:rPr>
        <w:t>i</w:t>
      </w:r>
      <w:r w:rsidR="00ED452F" w:rsidRPr="00F218E1">
        <w:rPr>
          <w:b/>
        </w:rPr>
        <w:t>nformation</w:t>
      </w:r>
      <w:proofErr w:type="spellEnd"/>
    </w:p>
    <w:p w14:paraId="662AD4EC" w14:textId="33910B02" w:rsidR="009174CA" w:rsidRDefault="009174CA" w:rsidP="006A3468">
      <w:r w:rsidRPr="00F218E1">
        <w:t xml:space="preserve">All address information </w:t>
      </w:r>
      <w:r w:rsidR="00B4391C" w:rsidRPr="00F218E1">
        <w:t xml:space="preserve">is </w:t>
      </w:r>
      <w:r w:rsidRPr="00F218E1">
        <w:t xml:space="preserve">based on the information in the </w:t>
      </w:r>
      <w:r w:rsidR="009E57B4">
        <w:t xml:space="preserve">national </w:t>
      </w:r>
      <w:r w:rsidRPr="00F218E1">
        <w:t>address gazetteer provided to authorities for free under the Public Sector Mapping Agreement</w:t>
      </w:r>
      <w:r w:rsidR="00A21D20" w:rsidRPr="00F218E1">
        <w:t xml:space="preserve"> (PSMA)</w:t>
      </w:r>
      <w:r w:rsidRPr="00F218E1">
        <w:t xml:space="preserve">. In street naming and numbering </w:t>
      </w:r>
      <w:r w:rsidR="00D3393A" w:rsidRPr="00F218E1">
        <w:t>authorities</w:t>
      </w:r>
      <w:r w:rsidRPr="00F218E1">
        <w:t xml:space="preserve"> this information is also available in the land and property gazetteer created and maintained by the local authority. </w:t>
      </w:r>
      <w:r w:rsidR="007E6145" w:rsidRPr="00F218E1">
        <w:t xml:space="preserve">Further information about the address data entry convention for gazetteers is available on </w:t>
      </w:r>
      <w:hyperlink r:id="rId24" w:history="1">
        <w:r w:rsidR="00D654CF" w:rsidRPr="00F218E1">
          <w:rPr>
            <w:rStyle w:val="Hyperlink"/>
            <w:rFonts w:cs="Arial"/>
          </w:rPr>
          <w:t>http://www.nlpg.org.uk/nlpg/document.htm?targ=1260</w:t>
        </w:r>
      </w:hyperlink>
      <w:r w:rsidR="00D654CF" w:rsidRPr="00F218E1">
        <w:t xml:space="preserve">. </w:t>
      </w:r>
    </w:p>
    <w:p w14:paraId="38E65CB1" w14:textId="11367D43" w:rsidR="00416C97" w:rsidRPr="00F218E1" w:rsidRDefault="000D21D4" w:rsidP="006A3468">
      <w:r>
        <w:t xml:space="preserve">The Code recommends </w:t>
      </w:r>
      <w:proofErr w:type="gramStart"/>
      <w:r>
        <w:t>to use</w:t>
      </w:r>
      <w:proofErr w:type="gramEnd"/>
      <w:r>
        <w:t xml:space="preserve"> the postal address, however, this may not exist especially for land without </w:t>
      </w:r>
      <w:r>
        <w:lastRenderedPageBreak/>
        <w:t>a postal delivery point such as public conveniences, parks, etc. Hence, we recommend using the address from the national address gazetteer of land and property gazetteer or a local address if the land is not listed in any of the address gazetteers.</w:t>
      </w:r>
    </w:p>
    <w:p w14:paraId="358F98FC" w14:textId="37C2B709" w:rsidR="008875A5" w:rsidRPr="00F218E1" w:rsidRDefault="00711340" w:rsidP="006A3468">
      <w:r>
        <w:t>K</w:t>
      </w:r>
      <w:r w:rsidR="008875A5" w:rsidRPr="00F218E1">
        <w:t>ey elements of address information</w:t>
      </w:r>
      <w:r>
        <w:t xml:space="preserve"> include</w:t>
      </w:r>
      <w:r w:rsidR="008875A5" w:rsidRPr="00F218E1">
        <w:t xml:space="preserve">: </w:t>
      </w:r>
    </w:p>
    <w:p w14:paraId="335769B7" w14:textId="266682D1" w:rsidR="005D0859" w:rsidRPr="00F218E1" w:rsidRDefault="005D0859" w:rsidP="006A3468">
      <w:r w:rsidRPr="00F218E1">
        <w:t>Unique Property Reference Number</w:t>
      </w:r>
    </w:p>
    <w:p w14:paraId="4FB8563D" w14:textId="50AA28D0" w:rsidR="0079092D" w:rsidRPr="00F218E1" w:rsidRDefault="0079092D" w:rsidP="00804CCF">
      <w:pPr>
        <w:ind w:left="720"/>
      </w:pPr>
      <w:r w:rsidRPr="00F218E1">
        <w:t xml:space="preserve">The unique property reference number </w:t>
      </w:r>
      <w:r w:rsidR="00247ABB" w:rsidRPr="00F218E1">
        <w:t xml:space="preserve">(UPRN) </w:t>
      </w:r>
      <w:r w:rsidRPr="00F218E1">
        <w:t>uniquely identifies each property or land</w:t>
      </w:r>
      <w:r w:rsidR="00247ABB" w:rsidRPr="00F218E1">
        <w:t xml:space="preserve"> parcel</w:t>
      </w:r>
      <w:r w:rsidRPr="00F218E1">
        <w:t>. The UPRN is</w:t>
      </w:r>
      <w:r w:rsidR="00752E1C" w:rsidRPr="00F218E1">
        <w:t xml:space="preserve"> a 12 digit code</w:t>
      </w:r>
      <w:r w:rsidRPr="00F218E1">
        <w:t xml:space="preserve"> assigned to a property by the local authority as part of the street naming and numbering process</w:t>
      </w:r>
      <w:r w:rsidR="00752E1C" w:rsidRPr="00F218E1">
        <w:rPr>
          <w:rStyle w:val="FootnoteReference"/>
        </w:rPr>
        <w:footnoteReference w:id="7"/>
      </w:r>
      <w:r w:rsidRPr="00F218E1">
        <w:t>. It is contained in the land and property gazetteer and the address gazetteer provided by the Or</w:t>
      </w:r>
      <w:r w:rsidR="00752E1C" w:rsidRPr="00F218E1">
        <w:t>dnance Survey through the</w:t>
      </w:r>
      <w:r w:rsidR="00247ABB" w:rsidRPr="00F218E1">
        <w:t xml:space="preserve"> </w:t>
      </w:r>
      <w:r w:rsidR="00752E1C" w:rsidRPr="00F218E1">
        <w:t>PSMA.</w:t>
      </w:r>
      <w:r w:rsidR="00F32F50" w:rsidRPr="00F218E1">
        <w:t xml:space="preserve"> </w:t>
      </w:r>
    </w:p>
    <w:p w14:paraId="6DA84B29" w14:textId="5D50F9EE" w:rsidR="0079092D" w:rsidRPr="00F218E1" w:rsidRDefault="005D0859" w:rsidP="006A3468">
      <w:r w:rsidRPr="00F218E1">
        <w:t xml:space="preserve">Unique asset identity </w:t>
      </w:r>
    </w:p>
    <w:p w14:paraId="3B7F6C5E" w14:textId="13E76BB7" w:rsidR="005D0859" w:rsidRPr="00F218E1" w:rsidRDefault="008B64C5" w:rsidP="006A3468">
      <w:pPr>
        <w:ind w:left="720"/>
      </w:pPr>
      <w:r>
        <w:t xml:space="preserve">The unique asset identity refers to the individual asset </w:t>
      </w:r>
      <w:r w:rsidR="005D0859" w:rsidRPr="00F218E1">
        <w:t>sometimes known as building block. There should be one entry per asset or user/owner (</w:t>
      </w:r>
      <w:r w:rsidR="00184506" w:rsidRPr="00F218E1">
        <w:t>e.g.</w:t>
      </w:r>
      <w:r w:rsidR="005D0859" w:rsidRPr="00F218E1">
        <w:t xml:space="preserve"> on one site there could be several buildings or in one building there could be several users</w:t>
      </w:r>
      <w:r w:rsidR="007C51B9" w:rsidRPr="00F218E1">
        <w:t>/</w:t>
      </w:r>
      <w:r w:rsidR="005D0859" w:rsidRPr="00F218E1">
        <w:t>floors/rooms</w:t>
      </w:r>
      <w:r w:rsidR="008875A5" w:rsidRPr="00F218E1">
        <w:t>.</w:t>
      </w:r>
      <w:r w:rsidR="00D3393A" w:rsidRPr="00F218E1">
        <w:t xml:space="preserve"> </w:t>
      </w:r>
      <w:r w:rsidR="008875A5" w:rsidRPr="00F218E1">
        <w:t>W</w:t>
      </w:r>
      <w:r w:rsidR="005D0859" w:rsidRPr="00F218E1">
        <w:t>here this is the case, each of these will have a separate asset identity</w:t>
      </w:r>
      <w:r w:rsidR="00416C97">
        <w:t>)</w:t>
      </w:r>
      <w:r w:rsidR="005D0859" w:rsidRPr="00F218E1">
        <w:t xml:space="preserve">. This </w:t>
      </w:r>
      <w:r w:rsidR="008875A5" w:rsidRPr="00F218E1">
        <w:t xml:space="preserve">identifier </w:t>
      </w:r>
      <w:r w:rsidR="005D0859" w:rsidRPr="00F218E1">
        <w:t>must include the original reference number from the data source</w:t>
      </w:r>
      <w:r w:rsidR="00C32C87" w:rsidRPr="00F218E1">
        <w:t xml:space="preserve">. </w:t>
      </w:r>
    </w:p>
    <w:p w14:paraId="4EF70FC6" w14:textId="39C9D74E" w:rsidR="0079092D" w:rsidRPr="00F218E1" w:rsidRDefault="00A8682D" w:rsidP="006A3468">
      <w:r w:rsidRPr="00F218E1">
        <w:t>N</w:t>
      </w:r>
      <w:r w:rsidR="005D0859" w:rsidRPr="00F218E1">
        <w:t>ame of the building/land or both</w:t>
      </w:r>
    </w:p>
    <w:p w14:paraId="64DE95E1" w14:textId="2B2688E7" w:rsidR="00416C97" w:rsidRDefault="0079092D" w:rsidP="00804CCF">
      <w:pPr>
        <w:widowControl/>
        <w:spacing w:before="0" w:after="200" w:line="276" w:lineRule="auto"/>
        <w:ind w:left="720"/>
      </w:pPr>
      <w:r w:rsidRPr="00F218E1">
        <w:t xml:space="preserve">The name </w:t>
      </w:r>
      <w:r w:rsidR="00416C97">
        <w:t xml:space="preserve">should be the common name used across the organisation. Where the land or property does not have a unique name use a location description such as “land at rear”. </w:t>
      </w:r>
    </w:p>
    <w:p w14:paraId="4ACBAEF8" w14:textId="78D31C17" w:rsidR="0079092D" w:rsidRPr="00F218E1" w:rsidRDefault="00A8682D" w:rsidP="006A3468">
      <w:r w:rsidRPr="00F218E1">
        <w:t>S</w:t>
      </w:r>
      <w:r w:rsidR="005D0859" w:rsidRPr="00F218E1">
        <w:t>treet number or numbers</w:t>
      </w:r>
    </w:p>
    <w:p w14:paraId="532324BA" w14:textId="301C162F" w:rsidR="005D0859" w:rsidRPr="00F218E1" w:rsidRDefault="007C51B9" w:rsidP="006A3468">
      <w:pPr>
        <w:ind w:left="720"/>
      </w:pPr>
      <w:r w:rsidRPr="00F218E1">
        <w:t>Any</w:t>
      </w:r>
      <w:r w:rsidR="005D0859" w:rsidRPr="00F218E1">
        <w:t xml:space="preserve"> sets of </w:t>
      </w:r>
      <w:r w:rsidR="006418A0">
        <w:t>two</w:t>
      </w:r>
      <w:r w:rsidR="006418A0" w:rsidRPr="00F218E1">
        <w:t xml:space="preserve"> </w:t>
      </w:r>
      <w:r w:rsidR="005D0859" w:rsidRPr="00F218E1">
        <w:t>or more numbers should be separated with the ‘-</w:t>
      </w:r>
      <w:proofErr w:type="gramStart"/>
      <w:r w:rsidR="005D0859" w:rsidRPr="00F218E1">
        <w:t>‘ symbol</w:t>
      </w:r>
      <w:proofErr w:type="gramEnd"/>
      <w:r w:rsidR="005D0859" w:rsidRPr="00F218E1">
        <w:t xml:space="preserve"> (e</w:t>
      </w:r>
      <w:r w:rsidR="006418A0">
        <w:t>.</w:t>
      </w:r>
      <w:r w:rsidR="005D0859" w:rsidRPr="00F218E1">
        <w:t>g. 10-15 London Road)</w:t>
      </w:r>
      <w:r w:rsidR="0079092D" w:rsidRPr="00F218E1">
        <w:t>. Some property may either have a house name or street number. If only a name is available leave blank</w:t>
      </w:r>
      <w:r w:rsidR="00C32C87" w:rsidRPr="00F218E1">
        <w:t>.</w:t>
      </w:r>
      <w:r w:rsidR="000D21D4">
        <w:t xml:space="preserve"> The number is not required if the property is vacant. </w:t>
      </w:r>
    </w:p>
    <w:p w14:paraId="3A03C7DC" w14:textId="55E99ACF" w:rsidR="009174CA" w:rsidRPr="00F218E1" w:rsidRDefault="00A8682D" w:rsidP="006A3468">
      <w:r w:rsidRPr="00F218E1">
        <w:t>S</w:t>
      </w:r>
      <w:r w:rsidR="005D0859" w:rsidRPr="00F218E1">
        <w:t>treet name</w:t>
      </w:r>
    </w:p>
    <w:p w14:paraId="0644C70B" w14:textId="1DCA416A" w:rsidR="005D0859" w:rsidRPr="00F218E1" w:rsidRDefault="00416C97" w:rsidP="006A3468">
      <w:pPr>
        <w:ind w:left="720"/>
      </w:pPr>
      <w:r>
        <w:t xml:space="preserve">The Code recommends </w:t>
      </w:r>
      <w:proofErr w:type="gramStart"/>
      <w:r>
        <w:t>to use</w:t>
      </w:r>
      <w:proofErr w:type="gramEnd"/>
      <w:r w:rsidR="005D0859" w:rsidRPr="00F218E1">
        <w:t xml:space="preserve"> the postal road address</w:t>
      </w:r>
      <w:r w:rsidR="000D21D4">
        <w:t>,</w:t>
      </w:r>
      <w:r w:rsidR="009174CA" w:rsidRPr="00F218E1">
        <w:t xml:space="preserve"> </w:t>
      </w:r>
      <w:r>
        <w:t xml:space="preserve">however, </w:t>
      </w:r>
      <w:r w:rsidR="000D21D4">
        <w:t>local authorities may want to use the</w:t>
      </w:r>
      <w:r>
        <w:t xml:space="preserve"> street name </w:t>
      </w:r>
      <w:r w:rsidR="009174CA" w:rsidRPr="00F218E1">
        <w:t>found in the address gazetteer</w:t>
      </w:r>
      <w:r>
        <w:t xml:space="preserve"> </w:t>
      </w:r>
      <w:r w:rsidR="000D21D4">
        <w:t>instead</w:t>
      </w:r>
      <w:r>
        <w:t>.</w:t>
      </w:r>
      <w:r w:rsidR="000D21D4">
        <w:t xml:space="preserve"> The street name is not require</w:t>
      </w:r>
      <w:r w:rsidR="001F5B0C">
        <w:t>d</w:t>
      </w:r>
      <w:r w:rsidR="000D21D4">
        <w:t xml:space="preserve"> if the property is vacant. </w:t>
      </w:r>
    </w:p>
    <w:p w14:paraId="1794B1D0" w14:textId="79492F70" w:rsidR="005D0859" w:rsidRPr="00F218E1" w:rsidRDefault="00AB15DC" w:rsidP="006A3468">
      <w:r w:rsidRPr="00F218E1">
        <w:t>Post</w:t>
      </w:r>
      <w:r w:rsidR="005D0859" w:rsidRPr="00F218E1">
        <w:t xml:space="preserve"> town</w:t>
      </w:r>
    </w:p>
    <w:p w14:paraId="1864E6A4" w14:textId="644C6E7A" w:rsidR="007E30E7" w:rsidRPr="00F218E1" w:rsidRDefault="007E30E7" w:rsidP="006A3468">
      <w:pPr>
        <w:ind w:left="720"/>
      </w:pPr>
      <w:proofErr w:type="gramStart"/>
      <w:r w:rsidRPr="00F218E1">
        <w:t>The post town as given in the postal address.</w:t>
      </w:r>
      <w:proofErr w:type="gramEnd"/>
      <w:r w:rsidRPr="00F218E1">
        <w:t xml:space="preserve"> </w:t>
      </w:r>
    </w:p>
    <w:p w14:paraId="3E76309C" w14:textId="77777777" w:rsidR="005D0859" w:rsidRPr="00F218E1" w:rsidRDefault="005D0859" w:rsidP="006A3468">
      <w:r w:rsidRPr="00F218E1">
        <w:t>United Kingdom postcode</w:t>
      </w:r>
    </w:p>
    <w:p w14:paraId="63372366" w14:textId="244329C6" w:rsidR="007E30E7" w:rsidRPr="00F218E1" w:rsidRDefault="00F32F50" w:rsidP="006A3468">
      <w:pPr>
        <w:ind w:left="720"/>
      </w:pPr>
      <w:r w:rsidRPr="00F218E1">
        <w:t xml:space="preserve">The postcode as defined in the postal address file for any given address. </w:t>
      </w:r>
      <w:r w:rsidR="007E30E7" w:rsidRPr="00F218E1">
        <w:t xml:space="preserve">For vacant properties </w:t>
      </w:r>
      <w:r w:rsidR="005F4EF6">
        <w:t xml:space="preserve">the post code district level should be used (i.e. </w:t>
      </w:r>
      <w:r w:rsidR="007E30E7" w:rsidRPr="00F218E1">
        <w:t>only the first part of the postcode</w:t>
      </w:r>
      <w:r w:rsidR="005F4EF6">
        <w:t>)</w:t>
      </w:r>
      <w:r w:rsidRPr="00F218E1">
        <w:t xml:space="preserve">, the postal district needs to be revealed such as </w:t>
      </w:r>
      <w:r w:rsidRPr="00F218E1">
        <w:rPr>
          <w:lang w:val="en"/>
        </w:rPr>
        <w:t>"W1A", "RH1", "RH10" or "SE1P".</w:t>
      </w:r>
      <w:r w:rsidR="0021222E" w:rsidRPr="00F218E1">
        <w:rPr>
          <w:lang w:val="en"/>
        </w:rPr>
        <w:t xml:space="preserve"> However, the whole code </w:t>
      </w:r>
      <w:r w:rsidR="005F4EF6">
        <w:rPr>
          <w:lang w:val="en"/>
        </w:rPr>
        <w:t xml:space="preserve">down to post code unit level </w:t>
      </w:r>
      <w:r w:rsidR="0021222E" w:rsidRPr="00F218E1">
        <w:rPr>
          <w:lang w:val="en"/>
        </w:rPr>
        <w:t>can be published</w:t>
      </w:r>
      <w:r w:rsidR="005F4EF6">
        <w:rPr>
          <w:lang w:val="en"/>
        </w:rPr>
        <w:t xml:space="preserve"> if desired</w:t>
      </w:r>
      <w:r w:rsidR="0021222E" w:rsidRPr="00F218E1">
        <w:rPr>
          <w:lang w:val="en"/>
        </w:rPr>
        <w:t>.</w:t>
      </w:r>
    </w:p>
    <w:p w14:paraId="5870E8BF" w14:textId="74C37225" w:rsidR="009174CA" w:rsidRPr="00F218E1" w:rsidRDefault="008060CE" w:rsidP="006A3468">
      <w:r w:rsidRPr="00F218E1">
        <w:lastRenderedPageBreak/>
        <w:t>Map Reference (</w:t>
      </w:r>
      <w:proofErr w:type="spellStart"/>
      <w:r w:rsidR="00CD2323">
        <w:t>GeoX</w:t>
      </w:r>
      <w:proofErr w:type="spellEnd"/>
      <w:r w:rsidR="00CD2323" w:rsidRPr="00F218E1">
        <w:t xml:space="preserve"> </w:t>
      </w:r>
      <w:r w:rsidRPr="00F218E1">
        <w:t xml:space="preserve">and </w:t>
      </w:r>
      <w:proofErr w:type="spellStart"/>
      <w:r w:rsidR="00CD2323">
        <w:t>GeoY</w:t>
      </w:r>
      <w:proofErr w:type="spellEnd"/>
      <w:r w:rsidRPr="00F218E1">
        <w:t>)</w:t>
      </w:r>
    </w:p>
    <w:p w14:paraId="74D30C94" w14:textId="3FA64B4D" w:rsidR="00CD2323" w:rsidRDefault="008060CE" w:rsidP="00F218E1">
      <w:pPr>
        <w:spacing w:after="0"/>
        <w:ind w:left="360"/>
      </w:pPr>
      <w:r w:rsidRPr="00F218E1">
        <w:t>The map reference</w:t>
      </w:r>
      <w:r w:rsidR="009174CA" w:rsidRPr="00F218E1">
        <w:t xml:space="preserve"> refer</w:t>
      </w:r>
      <w:r w:rsidRPr="00F218E1">
        <w:t>s</w:t>
      </w:r>
      <w:r w:rsidR="009174CA" w:rsidRPr="00F218E1">
        <w:t xml:space="preserve"> to the location of the land and property and should usually be the centre point of the asset location</w:t>
      </w:r>
      <w:r w:rsidR="005F4EF6">
        <w:t xml:space="preserve"> (the centroid)</w:t>
      </w:r>
      <w:r w:rsidR="009174CA" w:rsidRPr="00F218E1">
        <w:t xml:space="preserve">. The location should be </w:t>
      </w:r>
      <w:r w:rsidRPr="00F218E1">
        <w:t xml:space="preserve">geocoded </w:t>
      </w:r>
      <w:r w:rsidR="005D0859" w:rsidRPr="00F218E1">
        <w:t>in accordance with ISO 6709 Standard Representation for Geographic Point Location by Coordinates</w:t>
      </w:r>
      <w:r w:rsidRPr="00F218E1">
        <w:t xml:space="preserve"> or according to the Ordnance Survey grid system (Easting and Northing)</w:t>
      </w:r>
      <w:r w:rsidR="009174CA" w:rsidRPr="00F218E1">
        <w:t>.</w:t>
      </w:r>
      <w:r w:rsidR="00D92133" w:rsidRPr="00F218E1">
        <w:t xml:space="preserve"> </w:t>
      </w:r>
    </w:p>
    <w:p w14:paraId="780AD043" w14:textId="43F4B6BA" w:rsidR="00CD2323" w:rsidRDefault="00CD2323" w:rsidP="00F218E1">
      <w:pPr>
        <w:ind w:left="360"/>
      </w:pPr>
      <w:r w:rsidRPr="000B413D">
        <w:t xml:space="preserve">The ISO 6709 Standard Representation for Geographic Point Location by Coordinates requires the northing and easting to be presented in latitudes (northing) and longitudes (easting). Further information </w:t>
      </w:r>
      <w:r w:rsidR="00711340" w:rsidRPr="000B413D">
        <w:t>about the</w:t>
      </w:r>
      <w:r w:rsidRPr="000B413D">
        <w:t xml:space="preserve"> ISO standard is available on </w:t>
      </w:r>
      <w:hyperlink r:id="rId25" w:history="1">
        <w:r w:rsidRPr="000B413D">
          <w:rPr>
            <w:rStyle w:val="Hyperlink"/>
            <w:rFonts w:cs="Arial"/>
          </w:rPr>
          <w:t>http://www.iso.org/iso/iso_catalogue/catalogue_tc/catalogue_detail.htm?csnumber=39242</w:t>
        </w:r>
      </w:hyperlink>
      <w:r w:rsidRPr="000B413D">
        <w:t xml:space="preserve">. </w:t>
      </w:r>
    </w:p>
    <w:p w14:paraId="607864A2" w14:textId="408BE696" w:rsidR="00F745D7" w:rsidRPr="000B413D" w:rsidRDefault="008060CE" w:rsidP="00F218E1">
      <w:pPr>
        <w:spacing w:after="0"/>
        <w:ind w:left="360"/>
      </w:pPr>
      <w:r w:rsidRPr="00F218E1">
        <w:rPr>
          <w:color w:val="auto"/>
        </w:rPr>
        <w:t xml:space="preserve">Local authorities should make it clear which </w:t>
      </w:r>
      <w:r w:rsidR="005F4EF6">
        <w:rPr>
          <w:color w:val="auto"/>
        </w:rPr>
        <w:t xml:space="preserve">geodetic datum reference </w:t>
      </w:r>
      <w:r w:rsidRPr="00F218E1">
        <w:rPr>
          <w:color w:val="auto"/>
        </w:rPr>
        <w:t>system is being used</w:t>
      </w:r>
      <w:r w:rsidR="00D92133" w:rsidRPr="00F218E1">
        <w:rPr>
          <w:color w:val="auto"/>
        </w:rPr>
        <w:t>, for example in the metadata or on the webpage wherein the data is being published</w:t>
      </w:r>
      <w:r w:rsidRPr="00F218E1">
        <w:rPr>
          <w:color w:val="auto"/>
        </w:rPr>
        <w:t xml:space="preserve">. </w:t>
      </w:r>
      <w:r w:rsidR="00F745D7" w:rsidRPr="000B413D">
        <w:t xml:space="preserve">Values, if specified, </w:t>
      </w:r>
      <w:r w:rsidR="005F4EF6">
        <w:t>will likely be either of the following</w:t>
      </w:r>
      <w:r w:rsidR="00F745D7" w:rsidRPr="000B413D">
        <w:t>:</w:t>
      </w:r>
    </w:p>
    <w:p w14:paraId="05B98B9F" w14:textId="208388E0" w:rsidR="00F745D7" w:rsidRPr="000B413D" w:rsidRDefault="00F745D7" w:rsidP="00A14F84">
      <w:pPr>
        <w:pStyle w:val="ListParagraph"/>
        <w:numPr>
          <w:ilvl w:val="0"/>
          <w:numId w:val="25"/>
        </w:numPr>
        <w:spacing w:before="0" w:after="0"/>
      </w:pPr>
      <w:r w:rsidRPr="000B413D">
        <w:t xml:space="preserve">WGS84 (see </w:t>
      </w:r>
      <w:hyperlink r:id="rId26" w:history="1">
        <w:r w:rsidRPr="005032D2">
          <w:rPr>
            <w:rStyle w:val="Hyperlink"/>
            <w:rFonts w:cs="Arial"/>
            <w:color w:val="0070C0"/>
          </w:rPr>
          <w:t>http://en.wikipedia.org/wiki</w:t>
        </w:r>
        <w:r w:rsidRPr="00631708">
          <w:rPr>
            <w:rStyle w:val="Hyperlink"/>
            <w:rFonts w:cs="Arial"/>
            <w:color w:val="0070C0"/>
          </w:rPr>
          <w:t>/WGS84</w:t>
        </w:r>
      </w:hyperlink>
      <w:r w:rsidRPr="000B413D">
        <w:t>) - version of latitude and longitude. or</w:t>
      </w:r>
    </w:p>
    <w:p w14:paraId="3A2E1466" w14:textId="77777777" w:rsidR="00F745D7" w:rsidRDefault="00F745D7" w:rsidP="00A14F84">
      <w:pPr>
        <w:pStyle w:val="ListParagraph"/>
        <w:numPr>
          <w:ilvl w:val="0"/>
          <w:numId w:val="25"/>
        </w:numPr>
      </w:pPr>
      <w:r w:rsidRPr="000B413D">
        <w:t xml:space="preserve">OSGB36 (see </w:t>
      </w:r>
      <w:hyperlink r:id="rId27" w:history="1">
        <w:r w:rsidRPr="005032D2">
          <w:rPr>
            <w:rStyle w:val="Hyperlink"/>
            <w:rFonts w:cs="Arial"/>
            <w:color w:val="0070C0"/>
          </w:rPr>
          <w:t>http://en.wikipedia.org/wiki/Ordnance_Survey_National_Grid</w:t>
        </w:r>
      </w:hyperlink>
      <w:r w:rsidRPr="000B413D">
        <w:t>) - version of northing and easting.</w:t>
      </w:r>
    </w:p>
    <w:p w14:paraId="4E060FE1" w14:textId="686AC9C6" w:rsidR="00CD2323" w:rsidRPr="000B413D" w:rsidRDefault="00CD2323" w:rsidP="0063003B">
      <w:r w:rsidRPr="000B413D">
        <w:t xml:space="preserve">The map reference and the UPRN </w:t>
      </w:r>
      <w:r w:rsidR="004C6A41">
        <w:t xml:space="preserve">can now be published under the </w:t>
      </w:r>
      <w:r w:rsidRPr="000B413D">
        <w:t xml:space="preserve">Open Government Licence (see </w:t>
      </w:r>
      <w:r w:rsidR="004C6A41">
        <w:t xml:space="preserve">further information under a </w:t>
      </w:r>
      <w:r w:rsidRPr="000B413D">
        <w:t>separate section</w:t>
      </w:r>
      <w:r w:rsidR="00220D8B">
        <w:t xml:space="preserve"> on</w:t>
      </w:r>
      <w:r w:rsidR="0063003B">
        <w:t xml:space="preserve"> </w:t>
      </w:r>
      <w:hyperlink w:anchor="Licensing" w:history="1">
        <w:r w:rsidR="0063003B" w:rsidRPr="0063003B">
          <w:rPr>
            <w:rStyle w:val="Hyperlink"/>
            <w:rFonts w:cs="Arial"/>
          </w:rPr>
          <w:t>Licensing</w:t>
        </w:r>
      </w:hyperlink>
      <w:r w:rsidRPr="000B413D">
        <w:t>).</w:t>
      </w:r>
      <w:r w:rsidR="00220D8B">
        <w:t xml:space="preserve"> The map reference</w:t>
      </w:r>
      <w:r w:rsidR="004C6A41">
        <w:t xml:space="preserve"> and address details should</w:t>
      </w:r>
      <w:r w:rsidR="00220D8B">
        <w:t xml:space="preserve"> not</w:t>
      </w:r>
      <w:r w:rsidR="004C6A41">
        <w:t xml:space="preserve"> be published </w:t>
      </w:r>
      <w:r w:rsidR="00220D8B">
        <w:t>if the property is vacant.</w:t>
      </w:r>
    </w:p>
    <w:p w14:paraId="072209CB" w14:textId="3FDE5AEE" w:rsidR="009918C9" w:rsidRPr="00F218E1" w:rsidRDefault="009918C9" w:rsidP="006A3468">
      <w:pPr>
        <w:pStyle w:val="BodyText"/>
        <w:spacing w:line="240" w:lineRule="auto"/>
        <w:rPr>
          <w:b/>
        </w:rPr>
      </w:pPr>
      <w:r w:rsidRPr="00F218E1">
        <w:rPr>
          <w:b/>
        </w:rPr>
        <w:t>Core information about the property</w:t>
      </w:r>
    </w:p>
    <w:p w14:paraId="04DF5417" w14:textId="6B90143B" w:rsidR="001A6EC0" w:rsidRPr="00F218E1" w:rsidRDefault="001A6EC0" w:rsidP="006A3468">
      <w:pPr>
        <w:pStyle w:val="BodyText"/>
        <w:spacing w:line="240" w:lineRule="auto"/>
      </w:pPr>
      <w:r w:rsidRPr="00F218E1">
        <w:t xml:space="preserve">The core information about the land and asset refer to property information. The following three data components are mandatory and have to be submitted for every land and building asset. </w:t>
      </w:r>
    </w:p>
    <w:p w14:paraId="5053406A" w14:textId="5AA8C0C1" w:rsidR="009918C9" w:rsidRPr="00CF5082" w:rsidRDefault="00220D8B" w:rsidP="00CF5082">
      <w:pPr>
        <w:pStyle w:val="BodyText"/>
        <w:spacing w:line="240" w:lineRule="auto"/>
        <w:rPr>
          <w:lang w:val="en-GB"/>
        </w:rPr>
      </w:pPr>
      <w:r>
        <w:rPr>
          <w:lang w:val="en-GB"/>
        </w:rPr>
        <w:t>Tenure</w:t>
      </w:r>
      <w:r w:rsidR="00D12EB9">
        <w:rPr>
          <w:lang w:val="en-GB"/>
        </w:rPr>
        <w:t xml:space="preserve"> type</w:t>
      </w:r>
    </w:p>
    <w:p w14:paraId="1D7656E7" w14:textId="1F502303" w:rsidR="009918C9" w:rsidRPr="00F218E1" w:rsidRDefault="009918C9" w:rsidP="006A3468">
      <w:pPr>
        <w:pStyle w:val="BodyText"/>
        <w:spacing w:line="240" w:lineRule="auto"/>
        <w:ind w:left="720"/>
      </w:pPr>
      <w:r w:rsidRPr="00F218E1">
        <w:t xml:space="preserve">The tenure determines </w:t>
      </w:r>
      <w:r w:rsidR="005D0859" w:rsidRPr="00F218E1">
        <w:t>whether the local authority owns the freehold or a lease for the asset</w:t>
      </w:r>
      <w:r w:rsidRPr="00F218E1">
        <w:t xml:space="preserve">. </w:t>
      </w:r>
      <w:r w:rsidR="00ED452F" w:rsidRPr="00F218E1">
        <w:t xml:space="preserve">Please, enter </w:t>
      </w:r>
      <w:r w:rsidR="00232152" w:rsidRPr="00F218E1">
        <w:t>Leasehold, Freehold or Other</w:t>
      </w:r>
      <w:r w:rsidR="00ED452F" w:rsidRPr="00F218E1">
        <w:t>.</w:t>
      </w:r>
    </w:p>
    <w:p w14:paraId="2FB62DF2" w14:textId="2A258E81" w:rsidR="009918C9" w:rsidRPr="00CF5082" w:rsidRDefault="009918C9" w:rsidP="00CF5082">
      <w:pPr>
        <w:pStyle w:val="BodyText"/>
        <w:spacing w:line="240" w:lineRule="auto"/>
        <w:rPr>
          <w:lang w:val="en-GB"/>
        </w:rPr>
      </w:pPr>
      <w:r w:rsidRPr="00F218E1">
        <w:t xml:space="preserve">Tenure </w:t>
      </w:r>
      <w:r w:rsidR="00D12EB9">
        <w:rPr>
          <w:lang w:val="en-GB"/>
        </w:rPr>
        <w:t>detail</w:t>
      </w:r>
    </w:p>
    <w:p w14:paraId="735DBE0E" w14:textId="3F13B004" w:rsidR="005D0859" w:rsidRPr="00F218E1" w:rsidRDefault="00232152" w:rsidP="006A3468">
      <w:pPr>
        <w:pStyle w:val="BodyText"/>
        <w:spacing w:line="240" w:lineRule="auto"/>
        <w:ind w:left="720"/>
        <w:rPr>
          <w:lang w:val="en-GB"/>
        </w:rPr>
      </w:pPr>
      <w:r w:rsidRPr="00F218E1">
        <w:t>The tenure is divided into</w:t>
      </w:r>
      <w:r w:rsidR="001E77CA" w:rsidRPr="00F218E1">
        <w:rPr>
          <w:lang w:val="en-GB"/>
        </w:rPr>
        <w:t xml:space="preserve"> </w:t>
      </w:r>
      <w:r w:rsidR="00220D8B">
        <w:rPr>
          <w:lang w:val="en-GB"/>
        </w:rPr>
        <w:t>further</w:t>
      </w:r>
      <w:r w:rsidR="00220D8B" w:rsidRPr="00F218E1">
        <w:t xml:space="preserve"> </w:t>
      </w:r>
      <w:r w:rsidRPr="00F218E1">
        <w:t>categories</w:t>
      </w:r>
      <w:r w:rsidR="00220D8B">
        <w:rPr>
          <w:lang w:val="en-GB"/>
        </w:rPr>
        <w:t xml:space="preserve"> which refer to tenure or occupancy</w:t>
      </w:r>
      <w:r w:rsidRPr="00F218E1">
        <w:t>. T</w:t>
      </w:r>
      <w:r w:rsidR="005D0859" w:rsidRPr="00F218E1">
        <w:t>he local authority must list all the characteristics that appl</w:t>
      </w:r>
      <w:r w:rsidR="001A6EC0" w:rsidRPr="00F218E1">
        <w:t xml:space="preserve">y from the options given below. </w:t>
      </w:r>
      <w:r w:rsidR="00ED452F" w:rsidRPr="00F218E1">
        <w:t>There may be more than one entry in the field which should be separated by</w:t>
      </w:r>
      <w:r w:rsidR="00220D8B">
        <w:rPr>
          <w:lang w:val="en-GB"/>
        </w:rPr>
        <w:t xml:space="preserve"> “/”. For example if a property is part vacant or part leased out. The following characteristics apply</w:t>
      </w:r>
      <w:r w:rsidR="0071240E" w:rsidRPr="00F218E1">
        <w:rPr>
          <w:lang w:val="en-GB"/>
        </w:rPr>
        <w:t>:</w:t>
      </w:r>
    </w:p>
    <w:p w14:paraId="35199A72" w14:textId="77777777" w:rsidR="005D0859" w:rsidRPr="00F218E1" w:rsidRDefault="005D0859" w:rsidP="006A3468">
      <w:pPr>
        <w:pStyle w:val="BodyText"/>
        <w:spacing w:line="240" w:lineRule="auto"/>
        <w:ind w:left="720"/>
        <w:rPr>
          <w:i/>
        </w:rPr>
      </w:pPr>
      <w:r w:rsidRPr="00F218E1">
        <w:rPr>
          <w:i/>
        </w:rPr>
        <w:t>for freehold assets:</w:t>
      </w:r>
    </w:p>
    <w:p w14:paraId="3246E381" w14:textId="77777777" w:rsidR="005D0859" w:rsidRPr="00F218E1" w:rsidRDefault="005D0859" w:rsidP="00A14F84">
      <w:pPr>
        <w:pStyle w:val="BodyText"/>
        <w:numPr>
          <w:ilvl w:val="1"/>
          <w:numId w:val="17"/>
        </w:numPr>
        <w:spacing w:before="0" w:after="0" w:line="240" w:lineRule="auto"/>
      </w:pPr>
      <w:r w:rsidRPr="00F218E1">
        <w:t>occupied by the local authority</w:t>
      </w:r>
    </w:p>
    <w:p w14:paraId="64928867" w14:textId="26A8BE82" w:rsidR="005D0859" w:rsidRPr="00F218E1" w:rsidRDefault="005D0859" w:rsidP="00A14F84">
      <w:pPr>
        <w:pStyle w:val="BodyText"/>
        <w:numPr>
          <w:ilvl w:val="1"/>
          <w:numId w:val="17"/>
        </w:numPr>
        <w:spacing w:before="0" w:after="0" w:line="240" w:lineRule="auto"/>
      </w:pPr>
      <w:r w:rsidRPr="00F218E1">
        <w:t>ground leasehold</w:t>
      </w:r>
      <w:r w:rsidR="00005B2A">
        <w:rPr>
          <w:lang w:val="en-GB"/>
        </w:rPr>
        <w:t xml:space="preserve"> (out)</w:t>
      </w:r>
    </w:p>
    <w:p w14:paraId="6487CEA1" w14:textId="759E4A34" w:rsidR="005D0859" w:rsidRPr="00F218E1" w:rsidRDefault="005D0859" w:rsidP="00A14F84">
      <w:pPr>
        <w:pStyle w:val="BodyText"/>
        <w:numPr>
          <w:ilvl w:val="1"/>
          <w:numId w:val="17"/>
        </w:numPr>
        <w:spacing w:before="0" w:after="0" w:line="240" w:lineRule="auto"/>
      </w:pPr>
      <w:r w:rsidRPr="00F218E1">
        <w:t>leasehold</w:t>
      </w:r>
      <w:r w:rsidR="00220D8B">
        <w:rPr>
          <w:lang w:val="en-GB"/>
        </w:rPr>
        <w:t xml:space="preserve"> (out)</w:t>
      </w:r>
    </w:p>
    <w:p w14:paraId="490ECFF4" w14:textId="722F985B" w:rsidR="005D0859" w:rsidRPr="00F218E1" w:rsidRDefault="005D0859" w:rsidP="00A14F84">
      <w:pPr>
        <w:pStyle w:val="BodyText"/>
        <w:numPr>
          <w:ilvl w:val="1"/>
          <w:numId w:val="17"/>
        </w:numPr>
        <w:spacing w:before="0" w:after="0" w:line="240" w:lineRule="auto"/>
      </w:pPr>
      <w:r w:rsidRPr="00F218E1">
        <w:t>licence</w:t>
      </w:r>
      <w:r w:rsidR="00005B2A">
        <w:rPr>
          <w:lang w:val="en-GB"/>
        </w:rPr>
        <w:t xml:space="preserve"> (out)</w:t>
      </w:r>
    </w:p>
    <w:p w14:paraId="7D29856B" w14:textId="0EC3B1A6" w:rsidR="000B053B" w:rsidRPr="00F218E1" w:rsidRDefault="000B053B" w:rsidP="00A14F84">
      <w:pPr>
        <w:widowControl/>
        <w:numPr>
          <w:ilvl w:val="1"/>
          <w:numId w:val="17"/>
        </w:numPr>
        <w:spacing w:before="0" w:after="0"/>
        <w:rPr>
          <w:color w:val="auto"/>
        </w:rPr>
      </w:pPr>
      <w:proofErr w:type="gramStart"/>
      <w:r w:rsidRPr="00F218E1">
        <w:rPr>
          <w:color w:val="auto"/>
        </w:rPr>
        <w:t>vacant</w:t>
      </w:r>
      <w:proofErr w:type="gramEnd"/>
      <w:r w:rsidR="00220D8B">
        <w:rPr>
          <w:rStyle w:val="FootnoteReference"/>
          <w:color w:val="auto"/>
        </w:rPr>
        <w:footnoteReference w:id="8"/>
      </w:r>
      <w:r w:rsidRPr="00F218E1">
        <w:rPr>
          <w:color w:val="auto"/>
        </w:rPr>
        <w:t xml:space="preserve"> (for vacant properties, local authorities </w:t>
      </w:r>
      <w:r w:rsidR="00601719" w:rsidRPr="00F218E1">
        <w:rPr>
          <w:color w:val="auto"/>
        </w:rPr>
        <w:t xml:space="preserve">should </w:t>
      </w:r>
      <w:r w:rsidRPr="00F218E1">
        <w:rPr>
          <w:color w:val="auto"/>
        </w:rPr>
        <w:t>not  publish the full address details and should only publish the first part of the postcode)</w:t>
      </w:r>
      <w:r w:rsidR="001E77CA" w:rsidRPr="00F218E1">
        <w:rPr>
          <w:color w:val="auto"/>
        </w:rPr>
        <w:t>.</w:t>
      </w:r>
    </w:p>
    <w:p w14:paraId="6AF75C3A" w14:textId="14903E1E" w:rsidR="005D0859" w:rsidRPr="00F218E1" w:rsidRDefault="005D0859" w:rsidP="006A3468">
      <w:pPr>
        <w:pStyle w:val="BodyText"/>
        <w:spacing w:line="240" w:lineRule="auto"/>
        <w:ind w:left="720"/>
        <w:rPr>
          <w:i/>
        </w:rPr>
      </w:pPr>
      <w:r w:rsidRPr="00F218E1">
        <w:rPr>
          <w:i/>
        </w:rPr>
        <w:lastRenderedPageBreak/>
        <w:t>for leasehold assets</w:t>
      </w:r>
      <w:r w:rsidR="00A1781F">
        <w:rPr>
          <w:i/>
          <w:lang w:val="en-GB"/>
        </w:rPr>
        <w:t xml:space="preserve"> (leased in)</w:t>
      </w:r>
      <w:r w:rsidRPr="00F218E1">
        <w:rPr>
          <w:i/>
        </w:rPr>
        <w:t>:</w:t>
      </w:r>
    </w:p>
    <w:p w14:paraId="2E99FA6F" w14:textId="77777777" w:rsidR="005D0859" w:rsidRPr="00F218E1" w:rsidRDefault="005D0859" w:rsidP="00A14F84">
      <w:pPr>
        <w:pStyle w:val="BodyText"/>
        <w:numPr>
          <w:ilvl w:val="0"/>
          <w:numId w:val="15"/>
        </w:numPr>
        <w:spacing w:before="0" w:after="0" w:line="240" w:lineRule="auto"/>
        <w:ind w:left="1080"/>
      </w:pPr>
      <w:r w:rsidRPr="00F218E1">
        <w:t>occupied by the local authority</w:t>
      </w:r>
    </w:p>
    <w:p w14:paraId="64293463" w14:textId="4930EF29" w:rsidR="005D0859" w:rsidRPr="00F218E1" w:rsidRDefault="005D0859" w:rsidP="00A14F84">
      <w:pPr>
        <w:pStyle w:val="BodyText"/>
        <w:numPr>
          <w:ilvl w:val="0"/>
          <w:numId w:val="15"/>
        </w:numPr>
        <w:spacing w:before="0" w:after="0" w:line="240" w:lineRule="auto"/>
        <w:ind w:left="1080"/>
      </w:pPr>
      <w:r w:rsidRPr="00F218E1">
        <w:t>ground leasehold</w:t>
      </w:r>
      <w:r w:rsidR="00005B2A">
        <w:rPr>
          <w:lang w:val="en-GB"/>
        </w:rPr>
        <w:t xml:space="preserve"> (in or out)</w:t>
      </w:r>
    </w:p>
    <w:p w14:paraId="1BCB9F6C" w14:textId="469E7D12" w:rsidR="005D0859" w:rsidRPr="00F218E1" w:rsidRDefault="005D0859" w:rsidP="00A14F84">
      <w:pPr>
        <w:pStyle w:val="BodyText"/>
        <w:numPr>
          <w:ilvl w:val="0"/>
          <w:numId w:val="15"/>
        </w:numPr>
        <w:spacing w:before="0" w:after="0" w:line="240" w:lineRule="auto"/>
        <w:ind w:left="1080"/>
      </w:pPr>
      <w:r w:rsidRPr="00F218E1">
        <w:t>sub leasehold</w:t>
      </w:r>
      <w:r w:rsidR="00005B2A">
        <w:rPr>
          <w:lang w:val="en-GB"/>
        </w:rPr>
        <w:t xml:space="preserve"> (in or out)</w:t>
      </w:r>
    </w:p>
    <w:p w14:paraId="6DAFA376" w14:textId="0D189295" w:rsidR="005D0859" w:rsidRPr="00F218E1" w:rsidRDefault="005D0859" w:rsidP="00A14F84">
      <w:pPr>
        <w:pStyle w:val="BodyText"/>
        <w:numPr>
          <w:ilvl w:val="0"/>
          <w:numId w:val="15"/>
        </w:numPr>
        <w:spacing w:before="0" w:after="0" w:line="240" w:lineRule="auto"/>
        <w:ind w:left="1080"/>
      </w:pPr>
      <w:r w:rsidRPr="00F218E1">
        <w:t>licence</w:t>
      </w:r>
      <w:r w:rsidR="00005B2A">
        <w:rPr>
          <w:lang w:val="en-GB"/>
        </w:rPr>
        <w:t xml:space="preserve"> (in or out)</w:t>
      </w:r>
    </w:p>
    <w:p w14:paraId="669E9E0D" w14:textId="77777777" w:rsidR="005D0859" w:rsidRPr="00F218E1" w:rsidRDefault="005D0859" w:rsidP="006A3468">
      <w:pPr>
        <w:pStyle w:val="BodyText"/>
        <w:spacing w:line="240" w:lineRule="auto"/>
        <w:ind w:left="360" w:firstLine="360"/>
        <w:rPr>
          <w:i/>
        </w:rPr>
      </w:pPr>
      <w:r w:rsidRPr="00F218E1">
        <w:rPr>
          <w:i/>
        </w:rPr>
        <w:t>for other assets:</w:t>
      </w:r>
    </w:p>
    <w:p w14:paraId="6E224212" w14:textId="77777777" w:rsidR="005D0859" w:rsidRPr="004B0CC1" w:rsidRDefault="005D0859" w:rsidP="00A14F84">
      <w:pPr>
        <w:pStyle w:val="BodyText"/>
        <w:numPr>
          <w:ilvl w:val="0"/>
          <w:numId w:val="16"/>
        </w:numPr>
        <w:spacing w:line="240" w:lineRule="auto"/>
      </w:pPr>
      <w:r w:rsidRPr="00F218E1">
        <w:t xml:space="preserve">free text description </w:t>
      </w:r>
      <w:proofErr w:type="spellStart"/>
      <w:r w:rsidRPr="00F218E1">
        <w:t>eg</w:t>
      </w:r>
      <w:proofErr w:type="spellEnd"/>
      <w:r w:rsidRPr="00F218E1">
        <w:t xml:space="preserve">. rights of way, access </w:t>
      </w:r>
      <w:proofErr w:type="spellStart"/>
      <w:r w:rsidRPr="00F218E1">
        <w:t>etc</w:t>
      </w:r>
      <w:proofErr w:type="spellEnd"/>
      <w:r w:rsidRPr="00F218E1">
        <w:rPr>
          <w:rStyle w:val="FootnoteReference"/>
        </w:rPr>
        <w:footnoteReference w:id="9"/>
      </w:r>
      <w:r w:rsidRPr="00F218E1">
        <w:t>.</w:t>
      </w:r>
    </w:p>
    <w:p w14:paraId="334D9537" w14:textId="308B0288" w:rsidR="005D0859" w:rsidRPr="00F218E1" w:rsidRDefault="00A1781F" w:rsidP="006A3468">
      <w:pPr>
        <w:pStyle w:val="BodyText"/>
        <w:spacing w:line="240" w:lineRule="auto"/>
        <w:rPr>
          <w:lang w:val="en-GB"/>
        </w:rPr>
      </w:pPr>
      <w:r>
        <w:rPr>
          <w:lang w:val="en-GB"/>
        </w:rPr>
        <w:t>Holding type</w:t>
      </w:r>
    </w:p>
    <w:p w14:paraId="74178ADF" w14:textId="1E197FA0" w:rsidR="00A1781F" w:rsidRDefault="00A1781F" w:rsidP="006A3468">
      <w:pPr>
        <w:pStyle w:val="BodyText"/>
        <w:spacing w:line="240" w:lineRule="auto"/>
        <w:ind w:left="720"/>
        <w:rPr>
          <w:lang w:val="en-GB"/>
        </w:rPr>
      </w:pPr>
      <w:r w:rsidRPr="00F218E1">
        <w:t>Th</w:t>
      </w:r>
      <w:r>
        <w:rPr>
          <w:lang w:val="en-GB"/>
        </w:rPr>
        <w:t>e holding type</w:t>
      </w:r>
      <w:r w:rsidRPr="00F218E1">
        <w:t xml:space="preserve"> </w:t>
      </w:r>
      <w:r w:rsidR="00612F3C" w:rsidRPr="00F218E1">
        <w:t>determines w</w:t>
      </w:r>
      <w:r w:rsidR="005D0859" w:rsidRPr="00F218E1">
        <w:t>hether the asset is</w:t>
      </w:r>
      <w:r>
        <w:rPr>
          <w:lang w:val="en-GB"/>
        </w:rPr>
        <w:t>:</w:t>
      </w:r>
    </w:p>
    <w:p w14:paraId="4836B07E" w14:textId="20A441D5" w:rsidR="00A10271" w:rsidRDefault="005D0859" w:rsidP="00CF5082">
      <w:pPr>
        <w:pStyle w:val="BodyText"/>
        <w:numPr>
          <w:ilvl w:val="0"/>
          <w:numId w:val="16"/>
        </w:numPr>
        <w:spacing w:before="0" w:after="0" w:line="240" w:lineRule="auto"/>
        <w:ind w:left="1077" w:hanging="357"/>
        <w:rPr>
          <w:lang w:val="en-GB"/>
        </w:rPr>
      </w:pPr>
      <w:r w:rsidRPr="00F218E1">
        <w:t>land only w</w:t>
      </w:r>
      <w:r w:rsidR="00D92133" w:rsidRPr="00F218E1">
        <w:t>ithout permanent buildings</w:t>
      </w:r>
      <w:r w:rsidR="00A10271">
        <w:rPr>
          <w:lang w:val="en-GB"/>
        </w:rPr>
        <w:t xml:space="preserve"> (land</w:t>
      </w:r>
      <w:r w:rsidR="00D92133" w:rsidRPr="00F218E1">
        <w:t>)</w:t>
      </w:r>
    </w:p>
    <w:p w14:paraId="739FDAA9" w14:textId="5A5E49E1" w:rsidR="00A1781F" w:rsidRPr="00AF12DC" w:rsidRDefault="005D0859" w:rsidP="00CF5082">
      <w:pPr>
        <w:pStyle w:val="BodyText"/>
        <w:numPr>
          <w:ilvl w:val="0"/>
          <w:numId w:val="16"/>
        </w:numPr>
        <w:spacing w:before="0" w:after="0" w:line="240" w:lineRule="auto"/>
        <w:ind w:left="1077" w:hanging="357"/>
        <w:rPr>
          <w:lang w:val="en-GB"/>
        </w:rPr>
      </w:pPr>
      <w:r w:rsidRPr="00F218E1">
        <w:t>land with a permanent building</w:t>
      </w:r>
      <w:r w:rsidR="00A10271">
        <w:rPr>
          <w:lang w:val="en-GB"/>
        </w:rPr>
        <w:t xml:space="preserve"> (</w:t>
      </w:r>
      <w:r w:rsidR="00A10271" w:rsidRPr="00F218E1">
        <w:t>land</w:t>
      </w:r>
      <w:r w:rsidR="00A10271" w:rsidRPr="00F218E1">
        <w:rPr>
          <w:lang w:val="en-GB"/>
        </w:rPr>
        <w:t>/</w:t>
      </w:r>
      <w:r w:rsidR="00A10271" w:rsidRPr="00F218E1">
        <w:t>|building</w:t>
      </w:r>
      <w:r w:rsidR="00A10271">
        <w:rPr>
          <w:lang w:val="en-GB"/>
        </w:rPr>
        <w:t>)</w:t>
      </w:r>
    </w:p>
    <w:p w14:paraId="182FAEDA" w14:textId="6CD5BAFD" w:rsidR="00A1781F" w:rsidRDefault="00A1781F" w:rsidP="00CF5082">
      <w:pPr>
        <w:pStyle w:val="BodyText"/>
        <w:numPr>
          <w:ilvl w:val="0"/>
          <w:numId w:val="16"/>
        </w:numPr>
        <w:spacing w:before="0" w:after="0" w:line="240" w:lineRule="auto"/>
        <w:ind w:left="1077" w:hanging="357"/>
        <w:rPr>
          <w:lang w:val="en-GB"/>
        </w:rPr>
      </w:pPr>
      <w:r>
        <w:rPr>
          <w:lang w:val="en-GB"/>
        </w:rPr>
        <w:t>building only</w:t>
      </w:r>
      <w:r w:rsidR="00A10271">
        <w:rPr>
          <w:lang w:val="en-GB"/>
        </w:rPr>
        <w:t xml:space="preserve"> (building)</w:t>
      </w:r>
    </w:p>
    <w:p w14:paraId="6470D2E5" w14:textId="77777777" w:rsidR="005A2139" w:rsidRDefault="005A2139" w:rsidP="00CF5082">
      <w:pPr>
        <w:pStyle w:val="BodyText"/>
        <w:spacing w:before="0" w:after="0" w:line="240" w:lineRule="auto"/>
        <w:ind w:left="720"/>
        <w:rPr>
          <w:lang w:val="en-GB"/>
        </w:rPr>
      </w:pPr>
    </w:p>
    <w:p w14:paraId="175516BB" w14:textId="6E524012" w:rsidR="005A2139" w:rsidRDefault="005A2139" w:rsidP="00CF5082">
      <w:pPr>
        <w:pStyle w:val="BodyText"/>
        <w:spacing w:before="0" w:after="0" w:line="240" w:lineRule="auto"/>
        <w:ind w:left="720"/>
        <w:rPr>
          <w:lang w:val="en-GB"/>
        </w:rPr>
      </w:pPr>
      <w:r>
        <w:rPr>
          <w:lang w:val="en-GB"/>
        </w:rPr>
        <w:t xml:space="preserve">To classify the holding type by building only is not mandated in the Code but has been added for completeness. </w:t>
      </w:r>
    </w:p>
    <w:p w14:paraId="1814DA51" w14:textId="1BC75232" w:rsidR="00ED452F" w:rsidRPr="00F218E1" w:rsidRDefault="00BD033F" w:rsidP="006A3468">
      <w:pPr>
        <w:pStyle w:val="BodyText"/>
        <w:spacing w:line="240" w:lineRule="auto"/>
        <w:rPr>
          <w:b/>
        </w:rPr>
      </w:pPr>
      <w:r w:rsidRPr="00F218E1">
        <w:rPr>
          <w:b/>
        </w:rPr>
        <w:t>Recommended</w:t>
      </w:r>
      <w:r w:rsidR="00ED452F" w:rsidRPr="00F218E1">
        <w:rPr>
          <w:b/>
        </w:rPr>
        <w:t xml:space="preserve"> property attributes</w:t>
      </w:r>
    </w:p>
    <w:p w14:paraId="1CF56669" w14:textId="02A08A24" w:rsidR="00612F3C" w:rsidRPr="00F218E1" w:rsidRDefault="00D4539E" w:rsidP="006A3468">
      <w:pPr>
        <w:pStyle w:val="BodyText"/>
        <w:spacing w:line="240" w:lineRule="auto"/>
      </w:pPr>
      <w:r w:rsidRPr="00F218E1">
        <w:t>The following property attributes</w:t>
      </w:r>
      <w:r w:rsidR="00612F3C" w:rsidRPr="00F218E1">
        <w:t xml:space="preserve"> about </w:t>
      </w:r>
      <w:r w:rsidR="001E77CA" w:rsidRPr="00F218E1">
        <w:rPr>
          <w:lang w:val="en-GB"/>
        </w:rPr>
        <w:t>individual</w:t>
      </w:r>
      <w:r w:rsidR="00612F3C" w:rsidRPr="00F218E1">
        <w:t xml:space="preserve"> land asset</w:t>
      </w:r>
      <w:r w:rsidR="001E77CA" w:rsidRPr="00F218E1">
        <w:rPr>
          <w:lang w:val="en-GB"/>
        </w:rPr>
        <w:t>s</w:t>
      </w:r>
      <w:r w:rsidR="00612F3C" w:rsidRPr="00F218E1">
        <w:t xml:space="preserve"> are optional. </w:t>
      </w:r>
    </w:p>
    <w:p w14:paraId="10A5D12E" w14:textId="6CD2EA92" w:rsidR="00C01109" w:rsidRPr="00F218E1" w:rsidRDefault="00C01109" w:rsidP="006A3468">
      <w:pPr>
        <w:pStyle w:val="BodyText"/>
        <w:spacing w:line="240" w:lineRule="auto"/>
      </w:pPr>
      <w:r w:rsidRPr="00F218E1">
        <w:t>Size</w:t>
      </w:r>
    </w:p>
    <w:p w14:paraId="62FE1651" w14:textId="51BF82C6" w:rsidR="00E96CDA" w:rsidRDefault="00612F3C" w:rsidP="006A3468">
      <w:pPr>
        <w:ind w:left="720"/>
      </w:pPr>
      <w:r w:rsidRPr="00F218E1">
        <w:t>The si</w:t>
      </w:r>
      <w:r w:rsidR="002714AF" w:rsidRPr="00F218E1">
        <w:t>z</w:t>
      </w:r>
      <w:r w:rsidRPr="00F218E1">
        <w:t xml:space="preserve">e of the asset is </w:t>
      </w:r>
      <w:r w:rsidR="00E96CDA" w:rsidRPr="00F218E1">
        <w:t>measured in Gross Internal Area (m</w:t>
      </w:r>
      <w:r w:rsidR="00E96CDA" w:rsidRPr="00F218E1">
        <w:rPr>
          <w:vertAlign w:val="superscript"/>
        </w:rPr>
        <w:t>2</w:t>
      </w:r>
      <w:r w:rsidR="00E96CDA" w:rsidRPr="00F218E1">
        <w:t>) for buildings or hectares for land, in accordance with the Royal Institut</w:t>
      </w:r>
      <w:r w:rsidR="00247ABB" w:rsidRPr="00F218E1">
        <w:t>ion</w:t>
      </w:r>
      <w:r w:rsidR="00E96CDA" w:rsidRPr="00F218E1">
        <w:t xml:space="preserve"> of Chartered Surveyors Code of Measuring Practice. The Gross Internal Area is the area of a building measured to the internal face of the perimeter walls at each floor level. Local authorities using Net Internal Area (m</w:t>
      </w:r>
      <w:r w:rsidR="00E96CDA" w:rsidRPr="00F218E1">
        <w:rPr>
          <w:vertAlign w:val="superscript"/>
        </w:rPr>
        <w:t>2</w:t>
      </w:r>
      <w:r w:rsidR="00E96CDA" w:rsidRPr="00F218E1">
        <w:t>) should convert measurements to Gross Internal Area using appropriate conversion factors</w:t>
      </w:r>
      <w:r w:rsidR="00E96CDA" w:rsidRPr="00F218E1">
        <w:rPr>
          <w:rStyle w:val="FootnoteReference"/>
        </w:rPr>
        <w:footnoteReference w:id="10"/>
      </w:r>
      <w:r w:rsidR="00E96CDA" w:rsidRPr="00F218E1">
        <w:t xml:space="preserve"> and state the conversion factor used.</w:t>
      </w:r>
    </w:p>
    <w:p w14:paraId="60E54AF4" w14:textId="5B2B8D31" w:rsidR="00D12EB9" w:rsidRPr="00F218E1" w:rsidRDefault="00D12EB9" w:rsidP="006A3468">
      <w:pPr>
        <w:ind w:left="720"/>
      </w:pPr>
      <w:r>
        <w:t xml:space="preserve">The template distinguishes between building size and land size. </w:t>
      </w:r>
    </w:p>
    <w:p w14:paraId="78AED350" w14:textId="00C17B87" w:rsidR="00612F3C" w:rsidRPr="00F218E1" w:rsidRDefault="00D4539E" w:rsidP="006A3468">
      <w:pPr>
        <w:pStyle w:val="BodyText"/>
        <w:spacing w:line="240" w:lineRule="auto"/>
      </w:pPr>
      <w:r w:rsidRPr="00F218E1">
        <w:t>S</w:t>
      </w:r>
      <w:r w:rsidR="00E96CDA" w:rsidRPr="00F218E1">
        <w:t xml:space="preserve">ervices offered from the asset </w:t>
      </w:r>
    </w:p>
    <w:p w14:paraId="26CE240C" w14:textId="131A69FF" w:rsidR="000D385B" w:rsidRDefault="006C24EC" w:rsidP="000D385B">
      <w:pPr>
        <w:ind w:left="720"/>
      </w:pPr>
      <w:r>
        <w:rPr>
          <w:rFonts w:eastAsia="Arial"/>
        </w:rPr>
        <w:t xml:space="preserve">We recommend use of the local government’s esd (effective service delivery) information sharing standards at </w:t>
      </w:r>
      <w:hyperlink r:id="rId28" w:history="1">
        <w:r w:rsidRPr="00EB5836">
          <w:rPr>
            <w:rStyle w:val="Hyperlink"/>
            <w:rFonts w:eastAsia="Arial" w:cs="Arial"/>
          </w:rPr>
          <w:t>http://standards.esd.org.uk</w:t>
        </w:r>
      </w:hyperlink>
      <w:r>
        <w:rPr>
          <w:rFonts w:eastAsia="Arial"/>
        </w:rPr>
        <w:t>. These are available is human and machine readable form.  Specifically, t</w:t>
      </w:r>
      <w:r w:rsidR="00601719" w:rsidRPr="005032D2">
        <w:rPr>
          <w:rFonts w:eastAsia="Arial"/>
        </w:rPr>
        <w:t xml:space="preserve">he Local Government Functions List (LGFL - </w:t>
      </w:r>
      <w:hyperlink r:id="rId29" w:history="1">
        <w:r w:rsidR="005F4EF6" w:rsidRPr="00EB5836">
          <w:rPr>
            <w:rStyle w:val="Hyperlink"/>
            <w:rFonts w:cs="Arial"/>
          </w:rPr>
          <w:t>http://standards.esd.org.uk/?uri=list%2Ffunctions</w:t>
        </w:r>
      </w:hyperlink>
      <w:r>
        <w:t xml:space="preserve"> (human) and </w:t>
      </w:r>
      <w:hyperlink r:id="rId30" w:history="1">
        <w:r w:rsidR="00601719" w:rsidRPr="004C6EB8">
          <w:rPr>
            <w:rStyle w:val="Hyperlink"/>
          </w:rPr>
          <w:t>http://id.esd.org.uk/list/functions</w:t>
        </w:r>
      </w:hyperlink>
      <w:r>
        <w:rPr>
          <w:rStyle w:val="Hyperlink"/>
        </w:rPr>
        <w:t xml:space="preserve"> (machine)</w:t>
      </w:r>
      <w:r w:rsidR="00601719" w:rsidRPr="005032D2">
        <w:rPr>
          <w:rFonts w:cs="Times New Roman"/>
        </w:rPr>
        <w:t xml:space="preserve">) </w:t>
      </w:r>
      <w:r w:rsidR="00601719" w:rsidRPr="004C6EB8">
        <w:rPr>
          <w:rFonts w:eastAsia="Arial"/>
        </w:rPr>
        <w:t xml:space="preserve">and the Local Government Service List (LGSL - </w:t>
      </w:r>
      <w:hyperlink r:id="rId31" w:history="1">
        <w:r w:rsidRPr="00EB5836">
          <w:rPr>
            <w:rStyle w:val="Hyperlink"/>
            <w:rFonts w:cs="Arial"/>
          </w:rPr>
          <w:t>http://standards.esd.org.uk/?uri=list%2FenglishAndWelshServices</w:t>
        </w:r>
      </w:hyperlink>
      <w:r>
        <w:t xml:space="preserve"> (human) and  </w:t>
      </w:r>
      <w:hyperlink r:id="rId32" w:history="1">
        <w:r w:rsidR="00601719" w:rsidRPr="004C6EB8">
          <w:rPr>
            <w:rStyle w:val="Hyperlink"/>
          </w:rPr>
          <w:t>http://id.esd.org.uk/list/service</w:t>
        </w:r>
        <w:r w:rsidR="00601719" w:rsidRPr="004C6EB8">
          <w:rPr>
            <w:rStyle w:val="Hyperlink"/>
            <w:rFonts w:cs="Arial"/>
          </w:rPr>
          <w:t>s</w:t>
        </w:r>
      </w:hyperlink>
      <w:r>
        <w:rPr>
          <w:rStyle w:val="Hyperlink"/>
          <w:rFonts w:cs="Arial"/>
        </w:rPr>
        <w:t xml:space="preserve"> (machine)</w:t>
      </w:r>
      <w:r w:rsidR="00601719" w:rsidRPr="005032D2">
        <w:rPr>
          <w:rFonts w:eastAsia="Arial"/>
        </w:rPr>
        <w:t>)</w:t>
      </w:r>
      <w:r w:rsidR="00601719" w:rsidRPr="00F218E1">
        <w:rPr>
          <w:rFonts w:eastAsia="Arial"/>
        </w:rPr>
        <w:t xml:space="preserve">give a URI to each type of function at the high level or each service at the lower level that local authorities provide.  </w:t>
      </w:r>
      <w:r w:rsidR="000D385B" w:rsidRPr="00F218E1">
        <w:t xml:space="preserve">The function list is a hierarchy of service areas. Only the top functions are required listing up to five main functions. </w:t>
      </w:r>
    </w:p>
    <w:p w14:paraId="090144C7" w14:textId="67EE06B1" w:rsidR="003F2374" w:rsidRPr="00F218E1" w:rsidRDefault="003F2374" w:rsidP="000D385B">
      <w:pPr>
        <w:ind w:left="720"/>
      </w:pPr>
      <w:r>
        <w:t xml:space="preserve">The service function can be described in human readable form using a label such as transport and highways or a unique identifier such as </w:t>
      </w:r>
      <w:hyperlink r:id="rId33" w:history="1">
        <w:r>
          <w:rPr>
            <w:rStyle w:val="Hyperlink"/>
            <w:rFonts w:ascii="Roboto" w:hAnsi="Roboto"/>
          </w:rPr>
          <w:t>http://id.esd.org.uk/function/105</w:t>
        </w:r>
      </w:hyperlink>
      <w:r>
        <w:rPr>
          <w:rFonts w:ascii="Roboto" w:hAnsi="Roboto"/>
        </w:rPr>
        <w:t xml:space="preserve">. </w:t>
      </w:r>
    </w:p>
    <w:p w14:paraId="1B55FBB3" w14:textId="77777777" w:rsidR="00612F3C" w:rsidRPr="00F218E1" w:rsidRDefault="00612F3C" w:rsidP="006A3468">
      <w:pPr>
        <w:pStyle w:val="BodyText"/>
        <w:spacing w:line="240" w:lineRule="auto"/>
      </w:pPr>
      <w:r w:rsidRPr="00F218E1">
        <w:t>Purpose</w:t>
      </w:r>
    </w:p>
    <w:p w14:paraId="088B7BB2" w14:textId="79E93E0F" w:rsidR="00B73076" w:rsidRPr="00F218E1" w:rsidRDefault="00B73076" w:rsidP="006A3468">
      <w:pPr>
        <w:pStyle w:val="BodyText"/>
        <w:spacing w:line="240" w:lineRule="auto"/>
        <w:ind w:left="720"/>
      </w:pPr>
      <w:r w:rsidRPr="00F218E1">
        <w:t xml:space="preserve">State the </w:t>
      </w:r>
      <w:r w:rsidR="00E96CDA" w:rsidRPr="00F218E1">
        <w:t>reason</w:t>
      </w:r>
      <w:r w:rsidRPr="00F218E1">
        <w:t>s</w:t>
      </w:r>
      <w:r w:rsidR="00E96CDA" w:rsidRPr="00F218E1">
        <w:t xml:space="preserve"> for holding </w:t>
      </w:r>
      <w:r w:rsidR="006418A0">
        <w:rPr>
          <w:lang w:val="en-GB"/>
        </w:rPr>
        <w:t xml:space="preserve">an </w:t>
      </w:r>
      <w:r w:rsidR="00E96CDA" w:rsidRPr="00F218E1">
        <w:t xml:space="preserve">asset such as, it is </w:t>
      </w:r>
    </w:p>
    <w:p w14:paraId="2EEE0003" w14:textId="77777777" w:rsidR="00B73076" w:rsidRPr="00F218E1" w:rsidRDefault="00E96CDA" w:rsidP="00A14F84">
      <w:pPr>
        <w:pStyle w:val="BodyText"/>
        <w:numPr>
          <w:ilvl w:val="0"/>
          <w:numId w:val="16"/>
        </w:numPr>
        <w:spacing w:before="0" w:after="0" w:line="240" w:lineRule="auto"/>
      </w:pPr>
      <w:r w:rsidRPr="00F218E1">
        <w:t>occupied by the local authority</w:t>
      </w:r>
    </w:p>
    <w:p w14:paraId="43AAF15F" w14:textId="77777777" w:rsidR="00B73076" w:rsidRPr="00F218E1" w:rsidRDefault="00E96CDA" w:rsidP="00A14F84">
      <w:pPr>
        <w:pStyle w:val="BodyText"/>
        <w:numPr>
          <w:ilvl w:val="0"/>
          <w:numId w:val="16"/>
        </w:numPr>
        <w:spacing w:before="0" w:after="0" w:line="240" w:lineRule="auto"/>
      </w:pPr>
      <w:r w:rsidRPr="00F218E1">
        <w:t xml:space="preserve">providing a service on the authority’s behalf, </w:t>
      </w:r>
    </w:p>
    <w:p w14:paraId="2CA04A9E" w14:textId="77777777" w:rsidR="00B73076" w:rsidRPr="00F218E1" w:rsidRDefault="00E96CDA" w:rsidP="00A14F84">
      <w:pPr>
        <w:pStyle w:val="BodyText"/>
        <w:numPr>
          <w:ilvl w:val="0"/>
          <w:numId w:val="16"/>
        </w:numPr>
        <w:spacing w:before="0" w:after="0" w:line="240" w:lineRule="auto"/>
      </w:pPr>
      <w:r w:rsidRPr="00F218E1">
        <w:t xml:space="preserve">an investment property, </w:t>
      </w:r>
    </w:p>
    <w:p w14:paraId="198DDCD2" w14:textId="77777777" w:rsidR="00B73076" w:rsidRPr="00F218E1" w:rsidRDefault="00E96CDA" w:rsidP="00A14F84">
      <w:pPr>
        <w:pStyle w:val="BodyText"/>
        <w:numPr>
          <w:ilvl w:val="0"/>
          <w:numId w:val="16"/>
        </w:numPr>
        <w:spacing w:before="0" w:after="0" w:line="240" w:lineRule="auto"/>
      </w:pPr>
      <w:r w:rsidRPr="00F218E1">
        <w:t>support</w:t>
      </w:r>
      <w:r w:rsidR="00B73076" w:rsidRPr="00F218E1">
        <w:t>ing</w:t>
      </w:r>
      <w:r w:rsidRPr="00F218E1">
        <w:t xml:space="preserve"> economic development (</w:t>
      </w:r>
      <w:proofErr w:type="spellStart"/>
      <w:r w:rsidRPr="00F218E1">
        <w:t>eg</w:t>
      </w:r>
      <w:proofErr w:type="spellEnd"/>
      <w:r w:rsidRPr="00F218E1">
        <w:t xml:space="preserve">. provision of small businesses or incubator space), </w:t>
      </w:r>
    </w:p>
    <w:p w14:paraId="49B47360" w14:textId="77777777" w:rsidR="00B73076" w:rsidRPr="00F218E1" w:rsidRDefault="00E96CDA" w:rsidP="00A14F84">
      <w:pPr>
        <w:pStyle w:val="BodyText"/>
        <w:numPr>
          <w:ilvl w:val="0"/>
          <w:numId w:val="16"/>
        </w:numPr>
        <w:spacing w:before="0" w:after="0" w:line="240" w:lineRule="auto"/>
      </w:pPr>
      <w:r w:rsidRPr="00F218E1">
        <w:t xml:space="preserve">surplus to the authority’s requirements, </w:t>
      </w:r>
    </w:p>
    <w:p w14:paraId="45FD3C54" w14:textId="77777777" w:rsidR="00B73076" w:rsidRPr="00F218E1" w:rsidRDefault="00B73076" w:rsidP="00A14F84">
      <w:pPr>
        <w:pStyle w:val="BodyText"/>
        <w:numPr>
          <w:ilvl w:val="0"/>
          <w:numId w:val="16"/>
        </w:numPr>
        <w:spacing w:before="0" w:after="0" w:line="240" w:lineRule="auto"/>
      </w:pPr>
      <w:r w:rsidRPr="00F218E1">
        <w:t xml:space="preserve">awaiting development, </w:t>
      </w:r>
    </w:p>
    <w:p w14:paraId="629F7263" w14:textId="77777777" w:rsidR="00B73076" w:rsidRPr="00F218E1" w:rsidRDefault="00E96CDA" w:rsidP="00A14F84">
      <w:pPr>
        <w:pStyle w:val="BodyText"/>
        <w:numPr>
          <w:ilvl w:val="0"/>
          <w:numId w:val="16"/>
        </w:numPr>
        <w:spacing w:before="0" w:after="0" w:line="240" w:lineRule="auto"/>
      </w:pPr>
      <w:r w:rsidRPr="00F218E1">
        <w:t xml:space="preserve">under construction, </w:t>
      </w:r>
      <w:r w:rsidR="00B73076" w:rsidRPr="00F218E1">
        <w:t>pr</w:t>
      </w:r>
      <w:r w:rsidRPr="00F218E1">
        <w:t>ovid</w:t>
      </w:r>
      <w:r w:rsidR="00B73076" w:rsidRPr="00F218E1">
        <w:t>ing</w:t>
      </w:r>
      <w:r w:rsidRPr="00F218E1">
        <w:t xml:space="preserve"> infrastructure </w:t>
      </w:r>
    </w:p>
    <w:p w14:paraId="395B098B" w14:textId="64E076ED" w:rsidR="00B73076" w:rsidRPr="00F218E1" w:rsidRDefault="006418A0" w:rsidP="00A14F84">
      <w:pPr>
        <w:pStyle w:val="BodyText"/>
        <w:numPr>
          <w:ilvl w:val="0"/>
          <w:numId w:val="16"/>
        </w:numPr>
        <w:spacing w:before="0" w:after="0" w:line="240" w:lineRule="auto"/>
      </w:pPr>
      <w:r>
        <w:rPr>
          <w:lang w:val="en-GB"/>
        </w:rPr>
        <w:t>a</w:t>
      </w:r>
      <w:proofErr w:type="spellStart"/>
      <w:r w:rsidRPr="00F218E1">
        <w:t>sset</w:t>
      </w:r>
      <w:proofErr w:type="spellEnd"/>
      <w:r w:rsidRPr="00F218E1">
        <w:t xml:space="preserve"> </w:t>
      </w:r>
      <w:r w:rsidR="00B73076" w:rsidRPr="00F218E1">
        <w:t>of community value (as determined under Part 5 Ch</w:t>
      </w:r>
      <w:r w:rsidR="00D15AD9" w:rsidRPr="00F218E1">
        <w:rPr>
          <w:lang w:val="en-GB"/>
        </w:rPr>
        <w:t>ap</w:t>
      </w:r>
      <w:r w:rsidR="00B73076" w:rsidRPr="00F218E1">
        <w:t>ter 3 of the Localism Act 2011)</w:t>
      </w:r>
    </w:p>
    <w:p w14:paraId="4785C26C" w14:textId="43531DC0" w:rsidR="00B73076" w:rsidRPr="00F218E1" w:rsidRDefault="00B6250B" w:rsidP="00A14F84">
      <w:pPr>
        <w:pStyle w:val="BodyText"/>
        <w:numPr>
          <w:ilvl w:val="0"/>
          <w:numId w:val="16"/>
        </w:numPr>
        <w:spacing w:before="0" w:after="0" w:line="240" w:lineRule="auto"/>
      </w:pPr>
      <w:r w:rsidRPr="00F218E1">
        <w:t xml:space="preserve">Potential asset of community value </w:t>
      </w:r>
      <w:r w:rsidR="00B73076" w:rsidRPr="00F218E1">
        <w:t xml:space="preserve"> (asset which the </w:t>
      </w:r>
      <w:r w:rsidR="00A21D20" w:rsidRPr="00F218E1">
        <w:t>authorit</w:t>
      </w:r>
      <w:r w:rsidR="00A21D20" w:rsidRPr="00F218E1">
        <w:rPr>
          <w:lang w:val="en-GB"/>
        </w:rPr>
        <w:t>y</w:t>
      </w:r>
      <w:r w:rsidR="00A21D20" w:rsidRPr="00F218E1">
        <w:t xml:space="preserve"> </w:t>
      </w:r>
      <w:r w:rsidR="00B73076" w:rsidRPr="00F218E1">
        <w:t xml:space="preserve">is </w:t>
      </w:r>
      <w:r w:rsidRPr="00F218E1">
        <w:t xml:space="preserve">actively </w:t>
      </w:r>
      <w:r w:rsidR="00B73076" w:rsidRPr="00F218E1">
        <w:t>see</w:t>
      </w:r>
      <w:r w:rsidRPr="00F218E1">
        <w:t>k</w:t>
      </w:r>
      <w:r w:rsidR="00B73076" w:rsidRPr="00F218E1">
        <w:t>ing to transfer</w:t>
      </w:r>
      <w:r w:rsidR="00247ABB" w:rsidRPr="00F218E1">
        <w:rPr>
          <w:lang w:val="en-GB"/>
        </w:rPr>
        <w:t xml:space="preserve"> to the community</w:t>
      </w:r>
      <w:r w:rsidR="00B73076" w:rsidRPr="00F218E1">
        <w:t>)</w:t>
      </w:r>
    </w:p>
    <w:p w14:paraId="650E3380" w14:textId="7E86A3CB" w:rsidR="00E96CDA" w:rsidRPr="00F218E1" w:rsidRDefault="00B73076" w:rsidP="00A14F84">
      <w:pPr>
        <w:pStyle w:val="BodyText"/>
        <w:numPr>
          <w:ilvl w:val="0"/>
          <w:numId w:val="16"/>
        </w:numPr>
        <w:spacing w:before="0" w:after="0" w:line="240" w:lineRule="auto"/>
      </w:pPr>
      <w:r w:rsidRPr="00F218E1">
        <w:t>other</w:t>
      </w:r>
      <w:r w:rsidR="00B903DF" w:rsidRPr="00F218E1">
        <w:t>.</w:t>
      </w:r>
    </w:p>
    <w:p w14:paraId="4AC84DB7" w14:textId="336FF4AE" w:rsidR="00B6250B" w:rsidRPr="00F218E1" w:rsidRDefault="00B6250B" w:rsidP="006A3468">
      <w:pPr>
        <w:pStyle w:val="BodyText"/>
        <w:spacing w:line="240" w:lineRule="auto"/>
      </w:pPr>
      <w:r w:rsidRPr="00F218E1">
        <w:t>T</w:t>
      </w:r>
      <w:r w:rsidR="00E96CDA" w:rsidRPr="00F218E1">
        <w:t xml:space="preserve">otal building operation (revenue) costs </w:t>
      </w:r>
    </w:p>
    <w:p w14:paraId="62E53B14" w14:textId="2303C2F6" w:rsidR="00D92133" w:rsidRPr="00AF12DC" w:rsidRDefault="00CD3A90" w:rsidP="00D92133">
      <w:pPr>
        <w:pStyle w:val="BodyText"/>
        <w:spacing w:line="240" w:lineRule="auto"/>
        <w:ind w:left="720"/>
        <w:rPr>
          <w:lang w:val="en-GB"/>
        </w:rPr>
      </w:pPr>
      <w:r>
        <w:rPr>
          <w:lang w:val="en-GB"/>
        </w:rPr>
        <w:t>The total building operation costs are</w:t>
      </w:r>
      <w:r w:rsidR="00E96CDA" w:rsidRPr="00F218E1">
        <w:t xml:space="preserve"> defined </w:t>
      </w:r>
      <w:proofErr w:type="gramStart"/>
      <w:r w:rsidR="00E96CDA" w:rsidRPr="00F218E1">
        <w:t>in  the</w:t>
      </w:r>
      <w:proofErr w:type="gramEnd"/>
      <w:r w:rsidR="00E96CDA" w:rsidRPr="00F218E1">
        <w:t xml:space="preserve"> Corporate value for money indicators for public services</w:t>
      </w:r>
      <w:r w:rsidR="005952AF">
        <w:rPr>
          <w:lang w:val="en-GB"/>
        </w:rPr>
        <w:t xml:space="preserve"> by CIPFA</w:t>
      </w:r>
      <w:r w:rsidR="00C12A76">
        <w:rPr>
          <w:lang w:val="en-GB"/>
        </w:rPr>
        <w:t>. The Code refers to the CIPFA document</w:t>
      </w:r>
      <w:r w:rsidR="00E96CDA" w:rsidRPr="00F218E1">
        <w:t xml:space="preserve"> at </w:t>
      </w:r>
      <w:hyperlink r:id="rId34" w:history="1">
        <w:r w:rsidR="00D92133" w:rsidRPr="00F218E1">
          <w:rPr>
            <w:rStyle w:val="Hyperlink"/>
            <w:rFonts w:cs="Arial"/>
          </w:rPr>
          <w:t>http://www.cipfa.org/services/benchmarking/vfm-indicators/estates-management</w:t>
        </w:r>
      </w:hyperlink>
      <w:r w:rsidR="005952AF">
        <w:rPr>
          <w:rStyle w:val="Hyperlink"/>
          <w:rFonts w:cs="Arial"/>
          <w:lang w:val="en-GB"/>
        </w:rPr>
        <w:t xml:space="preserve"> which currently is not openly available. </w:t>
      </w:r>
    </w:p>
    <w:p w14:paraId="4FBE5F49" w14:textId="0F18470F" w:rsidR="00B6250B" w:rsidRPr="00F218E1" w:rsidRDefault="00C01109" w:rsidP="00CF5082">
      <w:pPr>
        <w:pStyle w:val="BodyText"/>
        <w:spacing w:line="240" w:lineRule="auto"/>
      </w:pPr>
      <w:r w:rsidRPr="00F218E1">
        <w:t>R</w:t>
      </w:r>
      <w:r w:rsidR="00E96CDA" w:rsidRPr="00F218E1">
        <w:t xml:space="preserve">equired maintenance </w:t>
      </w:r>
    </w:p>
    <w:p w14:paraId="24A62387" w14:textId="625B1661" w:rsidR="00E96CDA" w:rsidRPr="00F218E1" w:rsidRDefault="00CD3A90" w:rsidP="00AF12DC">
      <w:pPr>
        <w:ind w:left="720"/>
      </w:pPr>
      <w:r>
        <w:t>Required maintenance refers to t</w:t>
      </w:r>
      <w:r w:rsidR="00E96CDA" w:rsidRPr="00F218E1">
        <w:t>he cost to bring the property from its present state up to the state reasonably required by the authority to deliver the service and/or to meet statutory or contract obligations and maintain it at the standard. This should exclude improvement projects but include works necessary to comply with new legislation (</w:t>
      </w:r>
      <w:proofErr w:type="spellStart"/>
      <w:r w:rsidR="00E96CDA" w:rsidRPr="00F218E1">
        <w:t>eg</w:t>
      </w:r>
      <w:proofErr w:type="spellEnd"/>
      <w:r w:rsidR="00E96CDA" w:rsidRPr="00F218E1">
        <w:t>. asbestos and legionella)</w:t>
      </w:r>
    </w:p>
    <w:p w14:paraId="4F749776" w14:textId="3670FA78" w:rsidR="00B6250B" w:rsidRPr="00F218E1" w:rsidRDefault="00C01109" w:rsidP="006A3468">
      <w:pPr>
        <w:pStyle w:val="BodyText"/>
        <w:spacing w:line="240" w:lineRule="auto"/>
      </w:pPr>
      <w:r w:rsidRPr="00F218E1">
        <w:t>F</w:t>
      </w:r>
      <w:r w:rsidR="00E96CDA" w:rsidRPr="00F218E1">
        <w:t xml:space="preserve">unctional suitability rating </w:t>
      </w:r>
    </w:p>
    <w:p w14:paraId="14ADC238" w14:textId="52017E49" w:rsidR="00E96CDA" w:rsidRPr="00F218E1" w:rsidRDefault="00596C13" w:rsidP="00CF5082">
      <w:pPr>
        <w:pStyle w:val="BodyText"/>
        <w:spacing w:before="0" w:after="0" w:line="240" w:lineRule="auto"/>
        <w:ind w:left="720"/>
      </w:pPr>
      <w:r>
        <w:rPr>
          <w:lang w:val="en-GB"/>
        </w:rPr>
        <w:t>This is a rating of the general performance of asset in terms of its ability to enable effective service delivery. The following scale is recommended in the Code</w:t>
      </w:r>
      <w:r w:rsidR="00E96CDA" w:rsidRPr="00F218E1">
        <w:t>:</w:t>
      </w:r>
    </w:p>
    <w:p w14:paraId="69009F74" w14:textId="77777777" w:rsidR="00E96CDA" w:rsidRPr="00F218E1" w:rsidRDefault="00E96CDA" w:rsidP="00CF5082">
      <w:pPr>
        <w:pStyle w:val="BodyText"/>
        <w:numPr>
          <w:ilvl w:val="0"/>
          <w:numId w:val="18"/>
        </w:numPr>
        <w:spacing w:before="0" w:after="0" w:line="240" w:lineRule="auto"/>
        <w:ind w:left="1440"/>
      </w:pPr>
      <w:r w:rsidRPr="00F218E1">
        <w:t>good – performing well and operating efficiently (supports the needs of staff and the delivery of services)</w:t>
      </w:r>
    </w:p>
    <w:p w14:paraId="57F21F6C" w14:textId="77777777" w:rsidR="00E96CDA" w:rsidRPr="00F218E1" w:rsidRDefault="00E96CDA" w:rsidP="00CF5082">
      <w:pPr>
        <w:pStyle w:val="BodyText"/>
        <w:numPr>
          <w:ilvl w:val="0"/>
          <w:numId w:val="18"/>
        </w:numPr>
        <w:spacing w:before="0" w:after="0" w:line="240" w:lineRule="auto"/>
        <w:ind w:left="1440"/>
      </w:pPr>
      <w:r w:rsidRPr="00F218E1">
        <w:t>satisfactory – performing well but with minor problems (generally supports the needs of staff and the delivery of services)</w:t>
      </w:r>
    </w:p>
    <w:p w14:paraId="7EAC5CDB" w14:textId="2B3A5E98" w:rsidR="00E96CDA" w:rsidRPr="00F218E1" w:rsidRDefault="00E96CDA" w:rsidP="00CF5082">
      <w:pPr>
        <w:pStyle w:val="BodyText"/>
        <w:numPr>
          <w:ilvl w:val="0"/>
          <w:numId w:val="18"/>
        </w:numPr>
        <w:spacing w:before="0" w:after="0" w:line="240" w:lineRule="auto"/>
        <w:ind w:left="1440"/>
      </w:pPr>
      <w:r w:rsidRPr="00F218E1">
        <w:t>poor – showing major problems and/or not operating optimally (impedes the performance of staff and/or the delivery of services)</w:t>
      </w:r>
    </w:p>
    <w:p w14:paraId="3573299B" w14:textId="77777777" w:rsidR="00E96CDA" w:rsidRPr="00F218E1" w:rsidRDefault="00E96CDA" w:rsidP="00CF5082">
      <w:pPr>
        <w:pStyle w:val="BodyText"/>
        <w:numPr>
          <w:ilvl w:val="0"/>
          <w:numId w:val="18"/>
        </w:numPr>
        <w:spacing w:before="0" w:after="0" w:line="240" w:lineRule="auto"/>
        <w:ind w:left="1440"/>
      </w:pPr>
      <w:r w:rsidRPr="00F218E1">
        <w:t>unsuitable – does not support or actually impedes the delivery of services</w:t>
      </w:r>
    </w:p>
    <w:p w14:paraId="2B5D7F44" w14:textId="123F436F" w:rsidR="00CD3A90" w:rsidRDefault="00CD3A90" w:rsidP="00CF5082">
      <w:pPr>
        <w:pStyle w:val="BodyText"/>
        <w:spacing w:line="240" w:lineRule="auto"/>
        <w:ind w:left="720"/>
        <w:rPr>
          <w:lang w:val="en-GB"/>
        </w:rPr>
      </w:pPr>
      <w:r>
        <w:rPr>
          <w:lang w:val="en-GB"/>
        </w:rPr>
        <w:t xml:space="preserve">The functional suitability rating is subject to the authorities rating based on the current function of the building. The functionality may vary for different functional use. </w:t>
      </w:r>
    </w:p>
    <w:p w14:paraId="5BC6A31C" w14:textId="45D0BD7C" w:rsidR="00B6250B" w:rsidRPr="00F218E1" w:rsidRDefault="00C221CD" w:rsidP="006A3468">
      <w:pPr>
        <w:pStyle w:val="BodyText"/>
        <w:spacing w:line="240" w:lineRule="auto"/>
      </w:pPr>
      <w:r w:rsidRPr="00F218E1">
        <w:lastRenderedPageBreak/>
        <w:t>E</w:t>
      </w:r>
      <w:r w:rsidR="00E96CDA" w:rsidRPr="00F218E1">
        <w:t xml:space="preserve">nergy performance rating </w:t>
      </w:r>
    </w:p>
    <w:p w14:paraId="1E0FF674" w14:textId="5B767E39" w:rsidR="00E96CDA" w:rsidRDefault="00B6250B" w:rsidP="006A3468">
      <w:pPr>
        <w:pStyle w:val="BodyText"/>
        <w:spacing w:line="240" w:lineRule="auto"/>
        <w:ind w:left="720"/>
        <w:rPr>
          <w:lang w:val="en-GB"/>
        </w:rPr>
      </w:pPr>
      <w:r w:rsidRPr="00F218E1">
        <w:t xml:space="preserve">The energy </w:t>
      </w:r>
      <w:r w:rsidR="00C221CD" w:rsidRPr="00F218E1">
        <w:t>performance</w:t>
      </w:r>
      <w:r w:rsidRPr="00F218E1">
        <w:t xml:space="preserve"> rating is </w:t>
      </w:r>
      <w:r w:rsidR="00E96CDA" w:rsidRPr="00F218E1">
        <w:t>stated on the Display Energy Certificate under the Energy Performance of Buildings (Certificates and Inspections) (England and Wales</w:t>
      </w:r>
      <w:r w:rsidRPr="00F218E1">
        <w:t>) Regulations 2012</w:t>
      </w:r>
      <w:r w:rsidR="00E96CDA" w:rsidRPr="00F218E1">
        <w:t>.</w:t>
      </w:r>
      <w:r w:rsidRPr="00F218E1">
        <w:t xml:space="preserve">  </w:t>
      </w:r>
    </w:p>
    <w:p w14:paraId="45C0C242" w14:textId="3B1B1E39" w:rsidR="00CD3A90" w:rsidRDefault="00CD3A90" w:rsidP="00CF5082">
      <w:pPr>
        <w:ind w:left="720"/>
      </w:pPr>
      <w:r>
        <w:t xml:space="preserve">DCLG is responsible for the Energy Performance of Buildings register which holds the following certificates: </w:t>
      </w:r>
    </w:p>
    <w:p w14:paraId="0EE94289" w14:textId="47FD580C" w:rsidR="00CD3A90" w:rsidRDefault="00CD3A90" w:rsidP="00CF5082">
      <w:pPr>
        <w:pStyle w:val="ListParagraph"/>
        <w:numPr>
          <w:ilvl w:val="0"/>
          <w:numId w:val="32"/>
        </w:numPr>
      </w:pPr>
      <w:r>
        <w:t xml:space="preserve">Energy Performance Certificates (domestic and non-domestic); </w:t>
      </w:r>
    </w:p>
    <w:p w14:paraId="25AA2C1B" w14:textId="55684B21" w:rsidR="00CD3A90" w:rsidRDefault="00CD3A90" w:rsidP="00CF5082">
      <w:pPr>
        <w:pStyle w:val="ListParagraph"/>
        <w:numPr>
          <w:ilvl w:val="0"/>
          <w:numId w:val="32"/>
        </w:numPr>
      </w:pPr>
      <w:r>
        <w:t xml:space="preserve">Display Energy Certificates; and, </w:t>
      </w:r>
    </w:p>
    <w:p w14:paraId="0C6AD357" w14:textId="16ED855D" w:rsidR="00CD3A90" w:rsidRDefault="00CD3A90" w:rsidP="00CF5082">
      <w:pPr>
        <w:pStyle w:val="ListParagraph"/>
        <w:numPr>
          <w:ilvl w:val="0"/>
          <w:numId w:val="32"/>
        </w:numPr>
      </w:pPr>
      <w:r>
        <w:t xml:space="preserve">Air Conditioning Inspection Reports. </w:t>
      </w:r>
    </w:p>
    <w:p w14:paraId="2EF7A3E6" w14:textId="1BEFF352" w:rsidR="00CD3A90" w:rsidRDefault="006E25D3" w:rsidP="00CF5082">
      <w:pPr>
        <w:ind w:left="720"/>
      </w:pPr>
      <w:r w:rsidRPr="00F218E1">
        <w:t xml:space="preserve">Guidance may be found here, </w:t>
      </w:r>
      <w:hyperlink r:id="rId35" w:history="1">
        <w:r w:rsidRPr="00F218E1">
          <w:rPr>
            <w:rStyle w:val="Hyperlink"/>
            <w:rFonts w:cs="Arial"/>
          </w:rPr>
          <w:t>https://www.gov.uk/government/uploads/system/uploads/attachment_data/file/307557/Accessing_register_data_under_the_EP_of_Buildings_regulations_2012.pdf</w:t>
        </w:r>
      </w:hyperlink>
      <w:r w:rsidRPr="00F218E1">
        <w:t xml:space="preserve">.  </w:t>
      </w:r>
      <w:r w:rsidR="00CD3A90">
        <w:t xml:space="preserve">The certificates can be obtained from </w:t>
      </w:r>
      <w:hyperlink r:id="rId36" w:history="1">
        <w:r w:rsidR="00CD3A90" w:rsidRPr="008E2E36">
          <w:rPr>
            <w:rStyle w:val="Hyperlink"/>
            <w:rFonts w:cs="Arial"/>
          </w:rPr>
          <w:t>https://www.ndepcregister.com/home.html</w:t>
        </w:r>
      </w:hyperlink>
      <w:r w:rsidR="00CD3A90">
        <w:t>. The</w:t>
      </w:r>
      <w:r>
        <w:t xml:space="preserve">re are currently some restrictions on the use of the data. </w:t>
      </w:r>
      <w:r w:rsidR="00CD3A90">
        <w:t xml:space="preserve"> </w:t>
      </w:r>
    </w:p>
    <w:p w14:paraId="3C06801C" w14:textId="7CF2F4A4" w:rsidR="005557ED" w:rsidRPr="00CF5082" w:rsidRDefault="005557ED" w:rsidP="00CF5082">
      <w:pPr>
        <w:rPr>
          <w:b/>
        </w:rPr>
      </w:pPr>
      <w:r w:rsidRPr="00CF5082">
        <w:rPr>
          <w:b/>
        </w:rPr>
        <w:t>Additional information (optional)</w:t>
      </w:r>
    </w:p>
    <w:p w14:paraId="5E996DEE" w14:textId="11B25CF2" w:rsidR="005557ED" w:rsidRDefault="005557ED" w:rsidP="00CF5082">
      <w:r>
        <w:t>Land registry title number</w:t>
      </w:r>
    </w:p>
    <w:p w14:paraId="3F1B344E" w14:textId="1172E259" w:rsidR="005557ED" w:rsidRDefault="005557ED" w:rsidP="00CF5082">
      <w:pPr>
        <w:ind w:left="720"/>
        <w:rPr>
          <w:sz w:val="20"/>
          <w:szCs w:val="20"/>
        </w:rPr>
      </w:pPr>
      <w:r>
        <w:t xml:space="preserve">The land registry title enables the linking of the asset information to further deed title information of the property. </w:t>
      </w:r>
      <w:r>
        <w:rPr>
          <w:sz w:val="20"/>
          <w:szCs w:val="20"/>
        </w:rPr>
        <w:t>The land registry title reference can only be provided if the land is registered.</w:t>
      </w:r>
    </w:p>
    <w:p w14:paraId="0FA03C5B" w14:textId="30CE3C3D" w:rsidR="005557ED" w:rsidRDefault="005557ED" w:rsidP="00CF5082">
      <w:pPr>
        <w:rPr>
          <w:sz w:val="20"/>
          <w:szCs w:val="20"/>
        </w:rPr>
      </w:pPr>
      <w:r>
        <w:rPr>
          <w:sz w:val="20"/>
          <w:szCs w:val="20"/>
        </w:rPr>
        <w:t>INSPIRE URL</w:t>
      </w:r>
    </w:p>
    <w:p w14:paraId="6207AD45" w14:textId="19203931" w:rsidR="005557ED" w:rsidRDefault="005557ED" w:rsidP="006418A0">
      <w:pPr>
        <w:ind w:left="720"/>
      </w:pPr>
      <w:r>
        <w:t>Publishing the land asset information through view services is a requirement of the INSPIRE regulation. Provide a URL to the service as published on data.gov.uk</w:t>
      </w:r>
      <w:r w:rsidR="0063003B">
        <w:t xml:space="preserve">. Further information about INSPIRE is available under the </w:t>
      </w:r>
      <w:hyperlink w:anchor="INSPIRE" w:history="1">
        <w:r w:rsidR="0063003B" w:rsidRPr="0063003B">
          <w:rPr>
            <w:rStyle w:val="Hyperlink"/>
            <w:rFonts w:cs="Arial"/>
            <w:sz w:val="20"/>
            <w:szCs w:val="20"/>
          </w:rPr>
          <w:t>INSPIRE section</w:t>
        </w:r>
      </w:hyperlink>
      <w:r w:rsidR="0063003B">
        <w:t xml:space="preserve"> in this guide. </w:t>
      </w:r>
    </w:p>
    <w:p w14:paraId="7E07391A" w14:textId="77777777" w:rsidR="002C3FA3" w:rsidRDefault="002C3FA3" w:rsidP="006418A0">
      <w:pPr>
        <w:ind w:left="720"/>
      </w:pPr>
    </w:p>
    <w:p w14:paraId="4B879471" w14:textId="0E080067" w:rsidR="00E96CDA" w:rsidRDefault="00E96CDA" w:rsidP="004C6EB8">
      <w:pPr>
        <w:pStyle w:val="Heading2"/>
      </w:pPr>
      <w:bookmarkStart w:id="13" w:name="_Toc421280173"/>
      <w:r w:rsidRPr="005032D2">
        <w:t>How to process</w:t>
      </w:r>
      <w:r w:rsidR="00C221CD" w:rsidRPr="004C6EB8">
        <w:t xml:space="preserve"> and publish </w:t>
      </w:r>
      <w:r w:rsidRPr="004C6EB8">
        <w:t>the data</w:t>
      </w:r>
      <w:bookmarkEnd w:id="13"/>
    </w:p>
    <w:p w14:paraId="3879CCD9" w14:textId="08DC3B91" w:rsidR="000B053B" w:rsidRPr="00F218E1" w:rsidRDefault="00C221CD" w:rsidP="00CF5082">
      <w:pPr>
        <w:widowControl/>
        <w:spacing w:before="0" w:after="120"/>
        <w:rPr>
          <w:lang w:val="en"/>
        </w:rPr>
      </w:pPr>
      <w:r w:rsidRPr="00F218E1">
        <w:t xml:space="preserve">Local authorities are mandated to publish the data </w:t>
      </w:r>
      <w:r w:rsidR="006E25D3">
        <w:t>not less than annually and not later than one month after the year to which the data and information is applicable.</w:t>
      </w:r>
      <w:r w:rsidR="006E25D3" w:rsidRPr="00F218E1">
        <w:t xml:space="preserve"> </w:t>
      </w:r>
      <w:r w:rsidR="000B053B" w:rsidRPr="00F218E1">
        <w:rPr>
          <w:lang w:val="en"/>
        </w:rPr>
        <w:t xml:space="preserve"> If </w:t>
      </w:r>
      <w:r w:rsidR="006418A0">
        <w:rPr>
          <w:lang w:val="en"/>
        </w:rPr>
        <w:t>the authority</w:t>
      </w:r>
      <w:r w:rsidR="006418A0" w:rsidRPr="00F218E1">
        <w:rPr>
          <w:lang w:val="en"/>
        </w:rPr>
        <w:t xml:space="preserve"> </w:t>
      </w:r>
      <w:r w:rsidR="000B053B" w:rsidRPr="00F218E1">
        <w:rPr>
          <w:lang w:val="en"/>
        </w:rPr>
        <w:t xml:space="preserve">had not published </w:t>
      </w:r>
      <w:r w:rsidR="006418A0">
        <w:rPr>
          <w:lang w:val="en"/>
        </w:rPr>
        <w:t>the</w:t>
      </w:r>
      <w:r w:rsidR="006418A0" w:rsidRPr="00F218E1">
        <w:rPr>
          <w:lang w:val="en"/>
        </w:rPr>
        <w:t xml:space="preserve"> </w:t>
      </w:r>
      <w:r w:rsidR="000B053B" w:rsidRPr="00F218E1">
        <w:rPr>
          <w:lang w:val="en"/>
        </w:rPr>
        <w:t xml:space="preserve">land asset register this year, the Code demands </w:t>
      </w:r>
      <w:r w:rsidR="00987D4A" w:rsidRPr="00F218E1">
        <w:rPr>
          <w:lang w:val="en"/>
        </w:rPr>
        <w:t xml:space="preserve">it </w:t>
      </w:r>
      <w:r w:rsidR="000B053B" w:rsidRPr="00F218E1">
        <w:rPr>
          <w:lang w:val="en"/>
        </w:rPr>
        <w:t xml:space="preserve">to </w:t>
      </w:r>
      <w:r w:rsidR="00711340">
        <w:rPr>
          <w:lang w:val="en"/>
        </w:rPr>
        <w:t xml:space="preserve">be </w:t>
      </w:r>
      <w:r w:rsidR="00711340" w:rsidRPr="00F218E1">
        <w:rPr>
          <w:lang w:val="en"/>
        </w:rPr>
        <w:t>publish</w:t>
      </w:r>
      <w:r w:rsidR="00711340">
        <w:rPr>
          <w:lang w:val="en"/>
        </w:rPr>
        <w:t>ed</w:t>
      </w:r>
      <w:r w:rsidR="000B053B" w:rsidRPr="00F218E1">
        <w:rPr>
          <w:lang w:val="en"/>
        </w:rPr>
        <w:t xml:space="preserve"> </w:t>
      </w:r>
      <w:r w:rsidR="00987D4A" w:rsidRPr="00F218E1">
        <w:rPr>
          <w:lang w:val="en"/>
        </w:rPr>
        <w:t>no later than</w:t>
      </w:r>
      <w:r w:rsidR="008060CE" w:rsidRPr="00F218E1">
        <w:rPr>
          <w:lang w:val="en"/>
        </w:rPr>
        <w:t xml:space="preserve"> 2 February</w:t>
      </w:r>
      <w:r w:rsidR="000B053B" w:rsidRPr="00F218E1">
        <w:rPr>
          <w:lang w:val="en"/>
        </w:rPr>
        <w:t xml:space="preserve"> 2015.</w:t>
      </w:r>
    </w:p>
    <w:p w14:paraId="23749D7A" w14:textId="009F4F04" w:rsidR="00E96CDA" w:rsidRPr="00F218E1" w:rsidRDefault="00C221CD" w:rsidP="006A3468">
      <w:r w:rsidRPr="00F218E1">
        <w:t xml:space="preserve">Ideally the data </w:t>
      </w:r>
      <w:r w:rsidR="00987D4A" w:rsidRPr="00F218E1">
        <w:t xml:space="preserve">should be </w:t>
      </w:r>
      <w:r w:rsidRPr="00F218E1">
        <w:t>published alongside the statement of accounts</w:t>
      </w:r>
      <w:r w:rsidR="00E96CDA" w:rsidRPr="00F218E1">
        <w:t>. It is also recommended that local authorities publish all the information possible on Electronic Property Information Mapping Service (e-</w:t>
      </w:r>
      <w:proofErr w:type="spellStart"/>
      <w:r w:rsidR="00E96CDA" w:rsidRPr="00F218E1">
        <w:t>pims</w:t>
      </w:r>
      <w:proofErr w:type="spellEnd"/>
      <w:r w:rsidR="00E96CDA" w:rsidRPr="00F218E1">
        <w:t xml:space="preserve">), managed by </w:t>
      </w:r>
      <w:r w:rsidR="00987D4A" w:rsidRPr="00F218E1">
        <w:t xml:space="preserve">the </w:t>
      </w:r>
      <w:r w:rsidR="00E96CDA" w:rsidRPr="00F218E1">
        <w:t xml:space="preserve">Government Property Unit (GPU) in </w:t>
      </w:r>
      <w:r w:rsidR="007D4601" w:rsidRPr="00F218E1">
        <w:t xml:space="preserve">the </w:t>
      </w:r>
      <w:r w:rsidR="00E96CDA" w:rsidRPr="00F218E1">
        <w:t>C</w:t>
      </w:r>
      <w:r w:rsidR="001A2CE9" w:rsidRPr="00F218E1">
        <w:t>a</w:t>
      </w:r>
      <w:r w:rsidR="00E96CDA" w:rsidRPr="00F218E1">
        <w:t xml:space="preserve">binet </w:t>
      </w:r>
      <w:r w:rsidR="007D4601" w:rsidRPr="00F218E1">
        <w:t>O</w:t>
      </w:r>
      <w:r w:rsidR="00E96CDA" w:rsidRPr="00F218E1">
        <w:t>ffice.</w:t>
      </w:r>
      <w:r w:rsidR="00007F47" w:rsidRPr="00F218E1">
        <w:t xml:space="preserve"> Government departments and some local authorities have already published their data on e</w:t>
      </w:r>
      <w:r w:rsidR="009E0272" w:rsidRPr="00F218E1">
        <w:t>-</w:t>
      </w:r>
      <w:proofErr w:type="spellStart"/>
      <w:r w:rsidR="00007F47" w:rsidRPr="00F218E1">
        <w:t>pims</w:t>
      </w:r>
      <w:proofErr w:type="spellEnd"/>
      <w:r w:rsidR="00007F47" w:rsidRPr="00F218E1">
        <w:t xml:space="preserve">. </w:t>
      </w:r>
    </w:p>
    <w:p w14:paraId="35DE75D7" w14:textId="7AFBF683" w:rsidR="00AC067E" w:rsidRPr="00F218E1" w:rsidRDefault="00AC067E" w:rsidP="006A3468">
      <w:r w:rsidRPr="00F218E1">
        <w:t>Publishing information on e-</w:t>
      </w:r>
      <w:proofErr w:type="spellStart"/>
      <w:r w:rsidRPr="00F218E1">
        <w:t>pims</w:t>
      </w:r>
      <w:proofErr w:type="spellEnd"/>
      <w:r w:rsidRPr="00F218E1">
        <w:t xml:space="preserve"> will allow councils to gather a full</w:t>
      </w:r>
      <w:r w:rsidR="00987D4A" w:rsidRPr="00F218E1">
        <w:t>er</w:t>
      </w:r>
      <w:r w:rsidRPr="00F218E1">
        <w:t xml:space="preserve"> understanding of the public sector land within their boundaries and work with other parts of the public sector to bring forward development. This initiative is being pioneered by the One Public Estate programme, more details of which can be found at </w:t>
      </w:r>
      <w:hyperlink r:id="rId37" w:history="1">
        <w:r w:rsidRPr="00F218E1">
          <w:rPr>
            <w:rStyle w:val="Hyperlink"/>
            <w:rFonts w:cs="Arial"/>
          </w:rPr>
          <w:t>http://www.local.gov.uk/productivity/-/journal_content/56/10180/3932538/ARTICLE</w:t>
        </w:r>
      </w:hyperlink>
      <w:r w:rsidRPr="00F218E1">
        <w:t xml:space="preserve">. </w:t>
      </w:r>
    </w:p>
    <w:p w14:paraId="166E3546" w14:textId="30CC66B4" w:rsidR="008F2C7F" w:rsidRPr="00F218E1" w:rsidRDefault="00C01109" w:rsidP="006A3468">
      <w:pPr>
        <w:spacing w:before="0" w:after="0"/>
        <w:rPr>
          <w:color w:val="1F497D"/>
        </w:rPr>
      </w:pPr>
      <w:r w:rsidRPr="00F218E1">
        <w:t>Further information about e-</w:t>
      </w:r>
      <w:r w:rsidR="005B5BBF" w:rsidRPr="00F218E1">
        <w:t>PIMS</w:t>
      </w:r>
      <w:r w:rsidRPr="00F218E1">
        <w:t xml:space="preserve"> is available on</w:t>
      </w:r>
      <w:r w:rsidR="008F2C7F" w:rsidRPr="00F218E1">
        <w:t xml:space="preserve"> </w:t>
      </w:r>
      <w:hyperlink r:id="rId38" w:history="1">
        <w:r w:rsidR="008F2C7F" w:rsidRPr="00F218E1">
          <w:rPr>
            <w:rStyle w:val="Hyperlink"/>
            <w:rFonts w:cs="Arial"/>
          </w:rPr>
          <w:t>https://www.epims.ogc.gov.uk/ProgrammeHub/public/e-PIMS_-_FAQs_when_engaging_with_LAs.docx?id=63426f0b-3ee0-4239-a644-8d55b027820e</w:t>
        </w:r>
      </w:hyperlink>
    </w:p>
    <w:p w14:paraId="39A56EEF" w14:textId="03E5EE8A" w:rsidR="00D34BB6" w:rsidRPr="00E06147" w:rsidRDefault="00D34BB6" w:rsidP="003452E0">
      <w:pPr>
        <w:rPr>
          <w:rFonts w:eastAsia="Arial"/>
        </w:rPr>
      </w:pPr>
      <w:r w:rsidRPr="00E06147">
        <w:rPr>
          <w:rFonts w:eastAsia="Arial"/>
        </w:rPr>
        <w:t>The publication of expenditure data requires a set of processing steps. These are:</w:t>
      </w:r>
    </w:p>
    <w:p w14:paraId="1A9DA11E" w14:textId="7B655283" w:rsidR="00D34BB6" w:rsidRPr="00E06147" w:rsidRDefault="00D34BB6" w:rsidP="00D34BB6">
      <w:pPr>
        <w:widowControl/>
        <w:numPr>
          <w:ilvl w:val="0"/>
          <w:numId w:val="51"/>
        </w:numPr>
        <w:spacing w:before="0" w:after="0"/>
        <w:rPr>
          <w:rFonts w:eastAsia="Arial"/>
        </w:rPr>
      </w:pPr>
      <w:r w:rsidRPr="00E06147">
        <w:rPr>
          <w:rFonts w:eastAsia="Arial"/>
        </w:rPr>
        <w:lastRenderedPageBreak/>
        <w:t xml:space="preserve">extract the data from the </w:t>
      </w:r>
      <w:r>
        <w:rPr>
          <w:rFonts w:eastAsia="Arial"/>
        </w:rPr>
        <w:t>internal</w:t>
      </w:r>
      <w:r w:rsidRPr="00E06147">
        <w:rPr>
          <w:rFonts w:eastAsia="Arial"/>
        </w:rPr>
        <w:t xml:space="preserve"> system</w:t>
      </w:r>
    </w:p>
    <w:p w14:paraId="2C3AAAA8" w14:textId="23398127" w:rsidR="00D34BB6" w:rsidRPr="0063003B" w:rsidRDefault="00D34BB6" w:rsidP="00D34BB6">
      <w:pPr>
        <w:widowControl/>
        <w:numPr>
          <w:ilvl w:val="0"/>
          <w:numId w:val="51"/>
        </w:numPr>
        <w:spacing w:before="0" w:after="0"/>
        <w:rPr>
          <w:rFonts w:eastAsia="Arial"/>
        </w:rPr>
      </w:pPr>
      <w:proofErr w:type="gramStart"/>
      <w:r w:rsidRPr="00E06147">
        <w:rPr>
          <w:rFonts w:eastAsia="Arial"/>
        </w:rPr>
        <w:t>match</w:t>
      </w:r>
      <w:proofErr w:type="gramEnd"/>
      <w:r w:rsidRPr="00E06147">
        <w:rPr>
          <w:rFonts w:eastAsia="Arial"/>
        </w:rPr>
        <w:t xml:space="preserve"> the data to content template (see </w:t>
      </w:r>
      <w:r w:rsidRPr="0036746F">
        <w:rPr>
          <w:i/>
        </w:rPr>
        <w:t xml:space="preserve">Annex I: templates </w:t>
      </w:r>
      <w:r>
        <w:rPr>
          <w:i/>
        </w:rPr>
        <w:t>–</w:t>
      </w:r>
      <w:hyperlink w:anchor="landassets" w:history="1">
        <w:r w:rsidRPr="00D34BB6">
          <w:rPr>
            <w:rStyle w:val="Hyperlink"/>
            <w:rFonts w:cs="Arial"/>
            <w:i/>
          </w:rPr>
          <w:t>Land assets</w:t>
        </w:r>
      </w:hyperlink>
      <w:r w:rsidRPr="0036746F">
        <w:t>.</w:t>
      </w:r>
    </w:p>
    <w:p w14:paraId="39FCCC3A" w14:textId="2FAC62D4" w:rsidR="00D34BB6" w:rsidRPr="00E06147" w:rsidRDefault="00D34BB6" w:rsidP="00D34BB6">
      <w:pPr>
        <w:widowControl/>
        <w:numPr>
          <w:ilvl w:val="0"/>
          <w:numId w:val="51"/>
        </w:numPr>
        <w:spacing w:before="0" w:after="0"/>
        <w:rPr>
          <w:rFonts w:eastAsia="Arial"/>
        </w:rPr>
      </w:pPr>
      <w:r>
        <w:t>Add location references if they are not already included</w:t>
      </w:r>
    </w:p>
    <w:p w14:paraId="61B1AFB1" w14:textId="74569E1E" w:rsidR="00D34BB6" w:rsidRPr="00E06147" w:rsidRDefault="00D34BB6" w:rsidP="00D34BB6">
      <w:pPr>
        <w:widowControl/>
        <w:numPr>
          <w:ilvl w:val="0"/>
          <w:numId w:val="51"/>
        </w:numPr>
        <w:spacing w:before="0" w:after="0"/>
        <w:rPr>
          <w:rFonts w:eastAsia="Arial"/>
        </w:rPr>
      </w:pPr>
      <w:r w:rsidRPr="00E06147">
        <w:rPr>
          <w:rFonts w:eastAsia="Arial"/>
        </w:rPr>
        <w:t>check the data for</w:t>
      </w:r>
      <w:r>
        <w:rPr>
          <w:rFonts w:eastAsia="Arial"/>
        </w:rPr>
        <w:t xml:space="preserve"> accuracy</w:t>
      </w:r>
      <w:r w:rsidRPr="00E06147">
        <w:rPr>
          <w:rFonts w:eastAsia="Arial"/>
        </w:rPr>
        <w:t xml:space="preserve">, and get rid of, any inconsistencies </w:t>
      </w:r>
    </w:p>
    <w:p w14:paraId="78AE1022" w14:textId="7FA02C74" w:rsidR="00D34BB6" w:rsidRPr="00E06147" w:rsidRDefault="00D34BB6" w:rsidP="00D34BB6">
      <w:pPr>
        <w:widowControl/>
        <w:numPr>
          <w:ilvl w:val="0"/>
          <w:numId w:val="51"/>
        </w:numPr>
        <w:spacing w:before="0" w:after="0"/>
        <w:rPr>
          <w:rFonts w:eastAsia="Arial"/>
        </w:rPr>
      </w:pPr>
      <w:r w:rsidRPr="00E06147">
        <w:rPr>
          <w:rFonts w:eastAsia="Arial"/>
        </w:rPr>
        <w:t>redact any data that is exempt from publication under the FOIA</w:t>
      </w:r>
      <w:r>
        <w:rPr>
          <w:rFonts w:eastAsia="Arial"/>
        </w:rPr>
        <w:t xml:space="preserve"> or due to licensing restrictions</w:t>
      </w:r>
      <w:r w:rsidRPr="00E06147">
        <w:rPr>
          <w:rFonts w:eastAsia="Arial"/>
        </w:rPr>
        <w:t xml:space="preserve"> so that it is not published</w:t>
      </w:r>
    </w:p>
    <w:p w14:paraId="48ADEBB3" w14:textId="77777777" w:rsidR="00D34BB6" w:rsidRPr="00E06147" w:rsidRDefault="00D34BB6" w:rsidP="00D34BB6">
      <w:pPr>
        <w:widowControl/>
        <w:numPr>
          <w:ilvl w:val="0"/>
          <w:numId w:val="51"/>
        </w:numPr>
        <w:spacing w:before="0" w:after="0"/>
        <w:rPr>
          <w:rFonts w:eastAsia="Arial"/>
        </w:rPr>
      </w:pPr>
      <w:r w:rsidRPr="00E06147">
        <w:rPr>
          <w:rFonts w:eastAsia="Arial"/>
        </w:rPr>
        <w:t xml:space="preserve">convert the data into a machine-readable format </w:t>
      </w:r>
    </w:p>
    <w:p w14:paraId="53381BE6" w14:textId="26FCD4D7" w:rsidR="00D34BB6" w:rsidRPr="00E06147" w:rsidRDefault="00D34BB6" w:rsidP="00D34BB6">
      <w:pPr>
        <w:widowControl/>
        <w:numPr>
          <w:ilvl w:val="0"/>
          <w:numId w:val="51"/>
        </w:numPr>
        <w:spacing w:before="0" w:after="0"/>
        <w:rPr>
          <w:rFonts w:eastAsia="Arial"/>
        </w:rPr>
      </w:pPr>
      <w:r w:rsidRPr="00E06147">
        <w:rPr>
          <w:rFonts w:eastAsia="Arial"/>
        </w:rPr>
        <w:t xml:space="preserve">convert data into an open format </w:t>
      </w:r>
      <w:r w:rsidR="00FE6E77">
        <w:rPr>
          <w:rFonts w:eastAsia="Arial"/>
        </w:rPr>
        <w:t xml:space="preserve">with the aim of working gradually towards improvements to eventually reach </w:t>
      </w:r>
      <w:r w:rsidRPr="00E06147">
        <w:rPr>
          <w:rFonts w:eastAsia="Arial"/>
        </w:rPr>
        <w:t>the five star formats recommended in the Code starting with machine-readable formats leading to linked data as the most advanced option (see the</w:t>
      </w:r>
      <w:r>
        <w:rPr>
          <w:rFonts w:eastAsia="Arial"/>
        </w:rPr>
        <w:t xml:space="preserve"> Converting data to open standards</w:t>
      </w:r>
      <w:r w:rsidRPr="00E06147">
        <w:rPr>
          <w:rFonts w:eastAsia="Arial"/>
        </w:rPr>
        <w:t xml:space="preserve"> section</w:t>
      </w:r>
      <w:r>
        <w:rPr>
          <w:rFonts w:eastAsia="Arial"/>
        </w:rPr>
        <w:t xml:space="preserve"> in the general publishing data guidance</w:t>
      </w:r>
      <w:r w:rsidRPr="00E06147">
        <w:rPr>
          <w:rFonts w:eastAsia="Arial"/>
        </w:rPr>
        <w:t xml:space="preserve"> for more details)</w:t>
      </w:r>
    </w:p>
    <w:p w14:paraId="2A9339A5" w14:textId="77777777" w:rsidR="00D34BB6" w:rsidRDefault="00D34BB6" w:rsidP="00D34BB6">
      <w:pPr>
        <w:widowControl/>
        <w:numPr>
          <w:ilvl w:val="0"/>
          <w:numId w:val="51"/>
        </w:numPr>
        <w:spacing w:before="0" w:after="0"/>
        <w:rPr>
          <w:rFonts w:eastAsia="Arial"/>
        </w:rPr>
      </w:pPr>
      <w:r w:rsidRPr="00E06147">
        <w:rPr>
          <w:rFonts w:eastAsia="Arial"/>
        </w:rPr>
        <w:t>publish the data on your website under Open Government License – with supporting information and commentaries for citizens and users</w:t>
      </w:r>
    </w:p>
    <w:p w14:paraId="035831F7" w14:textId="23F13B31" w:rsidR="00D34BB6" w:rsidRPr="00E06147" w:rsidRDefault="00D34BB6" w:rsidP="00D34BB6">
      <w:pPr>
        <w:widowControl/>
        <w:numPr>
          <w:ilvl w:val="0"/>
          <w:numId w:val="51"/>
        </w:numPr>
        <w:spacing w:before="0" w:after="0"/>
        <w:rPr>
          <w:rFonts w:eastAsia="Arial"/>
        </w:rPr>
      </w:pPr>
      <w:r>
        <w:rPr>
          <w:rFonts w:eastAsia="Arial"/>
        </w:rPr>
        <w:t>publish your data as a view web mapping service to meet INSPIRE requirements</w:t>
      </w:r>
    </w:p>
    <w:p w14:paraId="6D1748C7" w14:textId="77777777" w:rsidR="00D34BB6" w:rsidRPr="00E06147" w:rsidRDefault="00D34BB6" w:rsidP="00D34BB6">
      <w:pPr>
        <w:widowControl/>
        <w:numPr>
          <w:ilvl w:val="0"/>
          <w:numId w:val="51"/>
        </w:numPr>
        <w:spacing w:before="0" w:after="0"/>
        <w:rPr>
          <w:rFonts w:eastAsia="Arial"/>
        </w:rPr>
      </w:pPr>
      <w:proofErr w:type="gramStart"/>
      <w:r w:rsidRPr="00E06147">
        <w:rPr>
          <w:rFonts w:eastAsia="Arial"/>
        </w:rPr>
        <w:t>register</w:t>
      </w:r>
      <w:proofErr w:type="gramEnd"/>
      <w:r w:rsidRPr="00E06147">
        <w:rPr>
          <w:rFonts w:eastAsia="Arial"/>
        </w:rPr>
        <w:t xml:space="preserve"> your data so that it can be found.</w:t>
      </w:r>
    </w:p>
    <w:p w14:paraId="3EFA5C67" w14:textId="30DDE6EA" w:rsidR="00C01109" w:rsidRDefault="005557ED" w:rsidP="006A3468">
      <w:r>
        <w:t xml:space="preserve">To prepare the data for publication follow the </w:t>
      </w:r>
      <w:r w:rsidR="0080283A">
        <w:t>general guidance for publishing data</w:t>
      </w:r>
      <w:r w:rsidR="0080283A" w:rsidRPr="0080283A">
        <w:t xml:space="preserve"> </w:t>
      </w:r>
      <w:hyperlink r:id="rId39" w:history="1">
        <w:r w:rsidR="0080283A" w:rsidRPr="008E2E36">
          <w:rPr>
            <w:rStyle w:val="Hyperlink"/>
            <w:rFonts w:cs="Arial"/>
          </w:rPr>
          <w:t>http://www.local.gov.uk/practitioners-guides-to-publishing-data</w:t>
        </w:r>
      </w:hyperlink>
      <w:r w:rsidR="0080283A">
        <w:t>. Specific requirements for adding and publishing location information are described in the next sections</w:t>
      </w:r>
      <w:r>
        <w:t xml:space="preserve">. </w:t>
      </w:r>
    </w:p>
    <w:p w14:paraId="3050C60B" w14:textId="5D4204DC" w:rsidR="003452E0" w:rsidRPr="00E06147" w:rsidRDefault="003452E0" w:rsidP="0063003B">
      <w:r w:rsidRPr="00E06147">
        <w:t xml:space="preserve">Metadata should be published alongside the datasets. </w:t>
      </w:r>
      <w:r w:rsidR="0063003B">
        <w:t xml:space="preserve">The metadata should follow the guidance for publishing metadata under the INSPIRE regulation as the dataset falls under one of the INSPIRE data themes. Further information is available in the </w:t>
      </w:r>
      <w:hyperlink w:anchor="INSPIRE" w:history="1">
        <w:r w:rsidR="0063003B" w:rsidRPr="0063003B">
          <w:rPr>
            <w:rStyle w:val="Hyperlink"/>
            <w:rFonts w:cs="Arial"/>
          </w:rPr>
          <w:t>INSPIRE section</w:t>
        </w:r>
      </w:hyperlink>
      <w:r w:rsidR="0063003B">
        <w:t xml:space="preserve"> of this code. </w:t>
      </w:r>
    </w:p>
    <w:p w14:paraId="329B1936" w14:textId="1362A7F3" w:rsidR="00E96CDA" w:rsidRPr="001E5267" w:rsidRDefault="00E96CDA" w:rsidP="00CF5082">
      <w:pPr>
        <w:widowControl/>
        <w:spacing w:before="0" w:after="200" w:line="276" w:lineRule="auto"/>
        <w:rPr>
          <w:b/>
          <w:sz w:val="24"/>
          <w:szCs w:val="24"/>
        </w:rPr>
      </w:pPr>
      <w:r w:rsidRPr="001E5267">
        <w:rPr>
          <w:b/>
          <w:sz w:val="24"/>
          <w:szCs w:val="24"/>
        </w:rPr>
        <w:t xml:space="preserve">How should location </w:t>
      </w:r>
      <w:r w:rsidR="008F2C7F">
        <w:rPr>
          <w:b/>
          <w:sz w:val="24"/>
          <w:szCs w:val="24"/>
        </w:rPr>
        <w:t>attributes</w:t>
      </w:r>
      <w:r w:rsidRPr="001E5267">
        <w:rPr>
          <w:b/>
          <w:sz w:val="24"/>
          <w:szCs w:val="24"/>
        </w:rPr>
        <w:t xml:space="preserve"> be added?</w:t>
      </w:r>
    </w:p>
    <w:p w14:paraId="1C977449" w14:textId="61F66642" w:rsidR="00A32E1F" w:rsidRPr="00F218E1" w:rsidRDefault="00A32E1F" w:rsidP="006A3468">
      <w:r w:rsidRPr="00F218E1">
        <w:t xml:space="preserve">Much of the property attributes required in the </w:t>
      </w:r>
      <w:r w:rsidR="00531855" w:rsidRPr="00F218E1">
        <w:t>Code</w:t>
      </w:r>
      <w:r w:rsidRPr="00F218E1">
        <w:t xml:space="preserve"> are most likely included in the property system. To publish the data</w:t>
      </w:r>
      <w:r w:rsidR="00987D4A" w:rsidRPr="00F218E1">
        <w:t xml:space="preserve"> you will need to</w:t>
      </w:r>
      <w:r w:rsidRPr="00F218E1">
        <w:t xml:space="preserve"> extract the relevant property attributes from your property system</w:t>
      </w:r>
      <w:r w:rsidR="00D92133" w:rsidRPr="00F218E1">
        <w:t xml:space="preserve"> and</w:t>
      </w:r>
      <w:r w:rsidRPr="00F218E1">
        <w:t xml:space="preserve"> </w:t>
      </w:r>
      <w:r w:rsidR="00987D4A" w:rsidRPr="00F218E1">
        <w:t>c</w:t>
      </w:r>
      <w:r w:rsidRPr="00F218E1">
        <w:t xml:space="preserve">heck if the extracted data meet the requirements of the </w:t>
      </w:r>
      <w:r w:rsidR="00531855" w:rsidRPr="00F218E1">
        <w:t>Code</w:t>
      </w:r>
      <w:r w:rsidRPr="00F218E1">
        <w:t xml:space="preserve">. Recode the heading where they are not the same as recommended in the guidance. If any data components are missing add them to the asset register. </w:t>
      </w:r>
    </w:p>
    <w:p w14:paraId="444FD5E5" w14:textId="77777777" w:rsidR="00A32E1F" w:rsidRPr="00F218E1" w:rsidRDefault="00A32E1F" w:rsidP="006A3468">
      <w:r w:rsidRPr="00F218E1">
        <w:t xml:space="preserve">Any missing address components and geographic coordinates can be derived from the Address Gazetteer supplied to local authorities for free under the Public Sector Mapping Agreement. </w:t>
      </w:r>
    </w:p>
    <w:p w14:paraId="65D72BF5" w14:textId="1DC6FD4C" w:rsidR="00E96CDA" w:rsidRPr="00F218E1" w:rsidRDefault="00E96CDA" w:rsidP="00A14F84">
      <w:pPr>
        <w:pStyle w:val="ListParagraph"/>
        <w:numPr>
          <w:ilvl w:val="0"/>
          <w:numId w:val="19"/>
        </w:numPr>
      </w:pPr>
      <w:r w:rsidRPr="00F218E1">
        <w:t xml:space="preserve">Once the list of land and property assets have been extracted from your asset registers with basic information on Name, Address and Postcode, these data can then be geo-coded to the national </w:t>
      </w:r>
      <w:proofErr w:type="spellStart"/>
      <w:r w:rsidRPr="00F218E1">
        <w:t>AddressBase</w:t>
      </w:r>
      <w:proofErr w:type="spellEnd"/>
      <w:r w:rsidRPr="00F218E1">
        <w:t>.</w:t>
      </w:r>
      <w:r w:rsidR="008A2971" w:rsidRPr="00F218E1">
        <w:t xml:space="preserve"> </w:t>
      </w:r>
      <w:proofErr w:type="spellStart"/>
      <w:r w:rsidR="008A2971" w:rsidRPr="00F218E1">
        <w:t>AddressBase</w:t>
      </w:r>
      <w:proofErr w:type="spellEnd"/>
      <w:r w:rsidR="008A2971" w:rsidRPr="00F218E1">
        <w:t xml:space="preserve"> provides a ‘core referencing geography’ against which to map your land and property assets at a point location level of detail.</w:t>
      </w:r>
    </w:p>
    <w:p w14:paraId="007D1EA9" w14:textId="77777777" w:rsidR="006F320F" w:rsidRPr="00F218E1" w:rsidRDefault="006F320F" w:rsidP="00846432">
      <w:pPr>
        <w:pStyle w:val="ListParagraph"/>
      </w:pPr>
    </w:p>
    <w:p w14:paraId="0ABE3A7C" w14:textId="15C400B3" w:rsidR="00E96CDA" w:rsidRPr="00F218E1" w:rsidRDefault="00E96CDA" w:rsidP="00A14F84">
      <w:pPr>
        <w:pStyle w:val="ListParagraph"/>
        <w:numPr>
          <w:ilvl w:val="0"/>
          <w:numId w:val="19"/>
        </w:numPr>
      </w:pPr>
      <w:r w:rsidRPr="00F218E1">
        <w:t>The Gazetteer is available free at the point of use to all public sector organisations covered by the PMSA</w:t>
      </w:r>
      <w:r w:rsidRPr="00F218E1">
        <w:rPr>
          <w:rStyle w:val="FootnoteReference"/>
        </w:rPr>
        <w:footnoteReference w:id="11"/>
      </w:r>
      <w:r w:rsidRPr="00F218E1">
        <w:t>.</w:t>
      </w:r>
    </w:p>
    <w:p w14:paraId="5B0DE500" w14:textId="77777777" w:rsidR="006F320F" w:rsidRPr="00F218E1" w:rsidRDefault="006F320F" w:rsidP="00846432">
      <w:pPr>
        <w:pStyle w:val="ListParagraph"/>
      </w:pPr>
    </w:p>
    <w:p w14:paraId="3ED670C7" w14:textId="20D69974" w:rsidR="00E96CDA" w:rsidRPr="00F218E1" w:rsidRDefault="00E96CDA" w:rsidP="00A14F84">
      <w:pPr>
        <w:pStyle w:val="ListParagraph"/>
        <w:numPr>
          <w:ilvl w:val="0"/>
          <w:numId w:val="19"/>
        </w:numPr>
      </w:pPr>
      <w:r w:rsidRPr="00F218E1">
        <w:t>Matching your asset name, address and postcode information to the Gazetteer through geo-coding will enable you to include the spatial coordinates (i.e. easting &amp; northing coordinates) as well as the UPRN of the Gazetteer.</w:t>
      </w:r>
    </w:p>
    <w:p w14:paraId="3F172644" w14:textId="77777777" w:rsidR="006F320F" w:rsidRPr="00F218E1" w:rsidRDefault="006F320F" w:rsidP="0021222E">
      <w:pPr>
        <w:pStyle w:val="ListParagraph"/>
      </w:pPr>
    </w:p>
    <w:p w14:paraId="43B151F1" w14:textId="63C9AD50" w:rsidR="00E96CDA" w:rsidRPr="00F218E1" w:rsidRDefault="00E96CDA" w:rsidP="00A14F84">
      <w:pPr>
        <w:pStyle w:val="ListParagraph"/>
        <w:numPr>
          <w:ilvl w:val="0"/>
          <w:numId w:val="19"/>
        </w:numPr>
      </w:pPr>
      <w:r w:rsidRPr="00F218E1">
        <w:t>The use of the Gazetteer UPRN as a key identifier is</w:t>
      </w:r>
      <w:r w:rsidR="00987D4A" w:rsidRPr="00F218E1">
        <w:t xml:space="preserve"> suggested</w:t>
      </w:r>
      <w:r w:rsidRPr="00F218E1">
        <w:t xml:space="preserve"> as this will enable you and others to link additional information to these land and property assets in a consistent manner.</w:t>
      </w:r>
    </w:p>
    <w:p w14:paraId="7623C7E8" w14:textId="77777777" w:rsidR="006F320F" w:rsidRPr="00F218E1" w:rsidRDefault="006F320F" w:rsidP="008F2C7F">
      <w:pPr>
        <w:pStyle w:val="ListParagraph"/>
      </w:pPr>
    </w:p>
    <w:p w14:paraId="04A1679E" w14:textId="555E47FC" w:rsidR="00E96CDA" w:rsidRPr="00F218E1" w:rsidRDefault="00E96CDA" w:rsidP="00A14F84">
      <w:pPr>
        <w:pStyle w:val="ListParagraph"/>
        <w:numPr>
          <w:ilvl w:val="0"/>
          <w:numId w:val="19"/>
        </w:numPr>
      </w:pPr>
      <w:r w:rsidRPr="00F218E1">
        <w:t xml:space="preserve">Your local gazetteer custodian or </w:t>
      </w:r>
      <w:proofErr w:type="spellStart"/>
      <w:r w:rsidRPr="00F218E1">
        <w:t>GeoPlace</w:t>
      </w:r>
      <w:proofErr w:type="spellEnd"/>
      <w:r w:rsidR="00247ABB" w:rsidRPr="00F218E1">
        <w:t xml:space="preserve"> is </w:t>
      </w:r>
      <w:r w:rsidRPr="00F218E1">
        <w:t xml:space="preserve">the organisation that compiles </w:t>
      </w:r>
      <w:proofErr w:type="spellStart"/>
      <w:r w:rsidRPr="00F218E1">
        <w:t>AddressBase</w:t>
      </w:r>
      <w:proofErr w:type="spellEnd"/>
      <w:r w:rsidRPr="00F218E1">
        <w:t xml:space="preserve"> from local authority land and property gazetteers and Ordnance Survey Data. </w:t>
      </w:r>
    </w:p>
    <w:p w14:paraId="5209BDB1" w14:textId="75E85D95" w:rsidR="002F4DC0" w:rsidRPr="006A3468" w:rsidRDefault="00E96CDA" w:rsidP="006A3468">
      <w:pPr>
        <w:rPr>
          <w:b/>
          <w:sz w:val="24"/>
          <w:szCs w:val="24"/>
        </w:rPr>
      </w:pPr>
      <w:bookmarkStart w:id="14" w:name="INSPIRE"/>
      <w:r w:rsidRPr="001E5267">
        <w:rPr>
          <w:b/>
          <w:sz w:val="24"/>
          <w:szCs w:val="24"/>
        </w:rPr>
        <w:t xml:space="preserve">Compliance with INSPIRE </w:t>
      </w:r>
    </w:p>
    <w:bookmarkEnd w:id="14"/>
    <w:p w14:paraId="2CDAA749" w14:textId="3EBB432F" w:rsidR="002F4DC0" w:rsidRPr="00F218E1" w:rsidRDefault="00E96CDA" w:rsidP="006A3468">
      <w:r w:rsidRPr="00F218E1">
        <w:t xml:space="preserve">In addition to the above requirements, the dataset also has to be published in conformance with the INSPIRE </w:t>
      </w:r>
      <w:r w:rsidR="000D385B" w:rsidRPr="004C6EB8">
        <w:t xml:space="preserve">(Infrastructure for spatial information in Europe) </w:t>
      </w:r>
      <w:r w:rsidRPr="00F218E1">
        <w:t xml:space="preserve">regulation if it holds a location element. </w:t>
      </w:r>
    </w:p>
    <w:p w14:paraId="79A906BA" w14:textId="77777777" w:rsidR="002F4DC0" w:rsidRPr="00F218E1" w:rsidRDefault="00E96CDA" w:rsidP="006A3468">
      <w:r w:rsidRPr="00F218E1">
        <w:t xml:space="preserve">The EU INSPIRE Directive, which came into force in the UK in 2009, establishes an infrastructure for spatial information to support local, national and European environmental policy development and delivery and monitoring of activities which may have an impact on the environment.  The Directive provides a legislative standards framework for publishing environmental information with a location element. </w:t>
      </w:r>
    </w:p>
    <w:p w14:paraId="6A941ACE" w14:textId="2026173D" w:rsidR="0070500D" w:rsidRPr="00F218E1" w:rsidRDefault="00E96CDA" w:rsidP="006A3468">
      <w:r w:rsidRPr="00F218E1">
        <w:t>Public authorities holding data within the scope of the INSPIRE themes will need to ensure that standardised metadata is published for the data and that view and download services are available to enable access to th</w:t>
      </w:r>
      <w:r w:rsidR="00987D4A" w:rsidRPr="00F218E1">
        <w:t>is</w:t>
      </w:r>
      <w:r w:rsidRPr="00F218E1">
        <w:t>. In this way, users will be able to view the locations of assets on a map through web services and download data if needed.</w:t>
      </w:r>
    </w:p>
    <w:p w14:paraId="79EA4D00" w14:textId="688A10FF" w:rsidR="00C40399" w:rsidRPr="00F218E1" w:rsidRDefault="00E96CDA" w:rsidP="006A3468">
      <w:r w:rsidRPr="00F218E1">
        <w:t xml:space="preserve">In the UK, all INSPIRE </w:t>
      </w:r>
      <w:r w:rsidR="0070500D" w:rsidRPr="00F218E1">
        <w:t>meta</w:t>
      </w:r>
      <w:r w:rsidRPr="00F218E1">
        <w:t>data is being published through data.gov.uk (</w:t>
      </w:r>
      <w:hyperlink r:id="rId40" w:tooltip="blocked::http://data.gov.uk/" w:history="1">
        <w:r w:rsidRPr="00F218E1">
          <w:rPr>
            <w:rStyle w:val="Hyperlink"/>
            <w:rFonts w:cs="Arial"/>
            <w:color w:val="000000"/>
            <w:u w:val="none"/>
          </w:rPr>
          <w:t>http://data.gov.uk/</w:t>
        </w:r>
      </w:hyperlink>
      <w:r w:rsidRPr="00F218E1">
        <w:t>)</w:t>
      </w:r>
      <w:r w:rsidR="0070500D" w:rsidRPr="00F218E1">
        <w:t xml:space="preserve">. Local authorities are responsible for publishing the metadata on data.gov.uk and to provide view and download services for the data. Local authorities have received new burdens funding from </w:t>
      </w:r>
      <w:r w:rsidR="008A2971" w:rsidRPr="00F218E1">
        <w:t>the Department for Environment, Food and Rural Affairs (Defra)</w:t>
      </w:r>
      <w:r w:rsidR="0070500D" w:rsidRPr="00F218E1">
        <w:t>, the lead department for INSPIRE in the UK, to implement INSPIRE</w:t>
      </w:r>
      <w:r w:rsidRPr="00F218E1">
        <w:t>.</w:t>
      </w:r>
      <w:r w:rsidR="0070500D" w:rsidRPr="00F218E1">
        <w:t xml:space="preserve"> Contact your local GIS manager for further advice. </w:t>
      </w:r>
      <w:r w:rsidR="00A32E1F" w:rsidRPr="00F218E1">
        <w:t xml:space="preserve"> </w:t>
      </w:r>
    </w:p>
    <w:p w14:paraId="287BA6A5" w14:textId="41F5190B" w:rsidR="00C40399" w:rsidRPr="00F218E1" w:rsidRDefault="00C40399" w:rsidP="006A3468">
      <w:r w:rsidRPr="00F218E1">
        <w:t>F</w:t>
      </w:r>
      <w:r w:rsidRPr="00F218E1">
        <w:rPr>
          <w:rFonts w:eastAsia="Calibri"/>
        </w:rPr>
        <w:t xml:space="preserve">urther information about INSPIRE is available at: </w:t>
      </w:r>
      <w:hyperlink r:id="rId41" w:history="1">
        <w:r w:rsidR="000B053B" w:rsidRPr="00F218E1">
          <w:rPr>
            <w:rStyle w:val="Hyperlink"/>
            <w:rFonts w:cs="Arial"/>
          </w:rPr>
          <w:t>http://data.gov.uk/location/inspire</w:t>
        </w:r>
      </w:hyperlink>
      <w:r w:rsidRPr="00F218E1">
        <w:t>.</w:t>
      </w:r>
    </w:p>
    <w:p w14:paraId="77DC2C1C" w14:textId="1559E2EF" w:rsidR="00C40399" w:rsidRPr="00F218E1" w:rsidRDefault="00C40399" w:rsidP="006A3468">
      <w:r w:rsidRPr="00F218E1">
        <w:t xml:space="preserve">A brief overview of the technical requirements in local government is </w:t>
      </w:r>
      <w:r w:rsidRPr="00F218E1">
        <w:rPr>
          <w:rFonts w:eastAsia="Calibri"/>
        </w:rPr>
        <w:t>published at:</w:t>
      </w:r>
      <w:r w:rsidR="006F320F" w:rsidRPr="00F218E1">
        <w:rPr>
          <w:rFonts w:eastAsia="Calibri"/>
        </w:rPr>
        <w:t xml:space="preserve"> </w:t>
      </w:r>
      <w:hyperlink r:id="rId42" w:history="1">
        <w:r w:rsidR="006F320F" w:rsidRPr="00F218E1">
          <w:rPr>
            <w:rStyle w:val="Hyperlink"/>
            <w:rFonts w:eastAsia="Calibri" w:cs="Arial"/>
          </w:rPr>
          <w:t>http://tinyurl.com/www-local-gov-inspire</w:t>
        </w:r>
      </w:hyperlink>
      <w:r w:rsidR="006F320F" w:rsidRPr="00F218E1">
        <w:rPr>
          <w:rFonts w:eastAsia="Calibri"/>
        </w:rPr>
        <w:t xml:space="preserve">. </w:t>
      </w:r>
      <w:r w:rsidR="006F320F" w:rsidRPr="00F218E1">
        <w:t xml:space="preserve"> </w:t>
      </w:r>
    </w:p>
    <w:p w14:paraId="39BD24FE" w14:textId="77777777" w:rsidR="002F4DC0" w:rsidRPr="001E5267" w:rsidRDefault="00E96CDA" w:rsidP="001E5267">
      <w:pPr>
        <w:pStyle w:val="Default"/>
        <w:rPr>
          <w:b/>
          <w:bCs/>
          <w:iCs/>
          <w:color w:val="auto"/>
        </w:rPr>
      </w:pPr>
      <w:bookmarkStart w:id="15" w:name="Licensing"/>
      <w:r w:rsidRPr="001E5267">
        <w:rPr>
          <w:b/>
          <w:bCs/>
          <w:iCs/>
          <w:color w:val="auto"/>
        </w:rPr>
        <w:t>Licensing</w:t>
      </w:r>
    </w:p>
    <w:bookmarkEnd w:id="15"/>
    <w:p w14:paraId="3F07B70D" w14:textId="41B89AF1" w:rsidR="005A2139" w:rsidRDefault="0070500D" w:rsidP="006A3468">
      <w:r w:rsidRPr="00F218E1">
        <w:t xml:space="preserve">Local land asset data should be published </w:t>
      </w:r>
      <w:r w:rsidR="00E96CDA" w:rsidRPr="00F218E1">
        <w:t>under the Open Government Licence.  However</w:t>
      </w:r>
      <w:r w:rsidR="00631708" w:rsidRPr="00631708">
        <w:t>, third</w:t>
      </w:r>
      <w:r w:rsidR="00E96CDA" w:rsidRPr="00F218E1">
        <w:t xml:space="preserve"> party Intellectual Property Right</w:t>
      </w:r>
      <w:r w:rsidR="000A49C9" w:rsidRPr="00F218E1">
        <w:t>s (IPR)</w:t>
      </w:r>
      <w:r w:rsidR="00E96CDA" w:rsidRPr="00F218E1">
        <w:t xml:space="preserve"> may not permit the opening up of the data</w:t>
      </w:r>
      <w:r w:rsidRPr="00F218E1">
        <w:t xml:space="preserve"> for free reuse</w:t>
      </w:r>
      <w:r w:rsidR="00E96CDA" w:rsidRPr="00F218E1">
        <w:t>.</w:t>
      </w:r>
      <w:r w:rsidRPr="00F218E1">
        <w:t xml:space="preserve"> </w:t>
      </w:r>
      <w:r w:rsidR="005A2139">
        <w:t xml:space="preserve">Check any third party licence if the data can be made available openly. </w:t>
      </w:r>
    </w:p>
    <w:p w14:paraId="46259170" w14:textId="136B02BF" w:rsidR="00E96CDA" w:rsidRPr="00F218E1" w:rsidRDefault="0070500D" w:rsidP="006A3468">
      <w:pPr>
        <w:rPr>
          <w:b/>
          <w:bCs/>
          <w:i/>
          <w:iCs/>
          <w:color w:val="auto"/>
        </w:rPr>
      </w:pPr>
      <w:proofErr w:type="gramStart"/>
      <w:r w:rsidRPr="00F218E1">
        <w:t>The address information</w:t>
      </w:r>
      <w:r w:rsidR="000A49C9" w:rsidRPr="00F218E1">
        <w:t xml:space="preserve"> (</w:t>
      </w:r>
      <w:r w:rsidRPr="00F218E1">
        <w:t>and in particular the unique property reference number and the easting and northing</w:t>
      </w:r>
      <w:r w:rsidR="000A49C9" w:rsidRPr="00F218E1">
        <w:t>)</w:t>
      </w:r>
      <w:r w:rsidRPr="00F218E1">
        <w:t xml:space="preserve"> fall under </w:t>
      </w:r>
      <w:r w:rsidR="00E96CDA" w:rsidRPr="00F218E1">
        <w:t xml:space="preserve">third party IPR </w:t>
      </w:r>
      <w:r w:rsidR="004874EF" w:rsidRPr="00F218E1">
        <w:t>as the data is owned by the</w:t>
      </w:r>
      <w:r w:rsidR="00C40399" w:rsidRPr="00F218E1">
        <w:t xml:space="preserve"> Ordnance Survey and </w:t>
      </w:r>
      <w:proofErr w:type="spellStart"/>
      <w:r w:rsidR="00C40399" w:rsidRPr="00F218E1">
        <w:t>GeoPlace</w:t>
      </w:r>
      <w:proofErr w:type="spellEnd"/>
      <w:r w:rsidR="006D3EA5">
        <w:t xml:space="preserve"> LLP</w:t>
      </w:r>
      <w:r w:rsidR="00C40399" w:rsidRPr="00F218E1">
        <w:t>.</w:t>
      </w:r>
      <w:proofErr w:type="gramEnd"/>
      <w:r w:rsidR="00C40399" w:rsidRPr="00F218E1">
        <w:t xml:space="preserve"> T</w:t>
      </w:r>
      <w:r w:rsidR="004874EF" w:rsidRPr="00F218E1">
        <w:t>he</w:t>
      </w:r>
      <w:r w:rsidR="00E96CDA" w:rsidRPr="00F218E1">
        <w:t xml:space="preserve"> postcode </w:t>
      </w:r>
      <w:r w:rsidR="004874EF" w:rsidRPr="00F218E1">
        <w:t>is owned by Royal Mail.</w:t>
      </w:r>
    </w:p>
    <w:p w14:paraId="59F29A69" w14:textId="277B5A7C" w:rsidR="00E96CDA" w:rsidRPr="00F218E1" w:rsidRDefault="00E96CDA" w:rsidP="006A3468">
      <w:r w:rsidRPr="00F218E1">
        <w:t>Royal Mail makes a distinction between address information which has been created and that which has been cleansed using the Postal Address File.  Royal Mail have agreed</w:t>
      </w:r>
      <w:r w:rsidR="006418A0">
        <w:t xml:space="preserve"> </w:t>
      </w:r>
      <w:r w:rsidRPr="00F218E1">
        <w:t xml:space="preserve">that </w:t>
      </w:r>
      <w:r w:rsidR="00EE38FA">
        <w:t xml:space="preserve">using the Postal Address File (PAF) for confirming rather than creating an address of an asset </w:t>
      </w:r>
      <w:r w:rsidR="008A2971" w:rsidRPr="00F218E1">
        <w:t>is cleansed data.</w:t>
      </w:r>
      <w:r w:rsidRPr="00F218E1">
        <w:t xml:space="preserve"> For the address to be considered as created, would require the organisation to learn that an asset existed through interrogation of the PAF. Royal Mail </w:t>
      </w:r>
      <w:r w:rsidR="000A49C9" w:rsidRPr="00F218E1">
        <w:t>c</w:t>
      </w:r>
      <w:r w:rsidRPr="00F218E1">
        <w:t>leansed data can be published openly on a we</w:t>
      </w:r>
      <w:r w:rsidR="004874EF" w:rsidRPr="00F218E1">
        <w:t>bsite and can be freely re-used.</w:t>
      </w:r>
    </w:p>
    <w:p w14:paraId="093CEF29" w14:textId="7B6B4CBF" w:rsidR="00323EBD" w:rsidRPr="00F218E1" w:rsidRDefault="00D47E31">
      <w:r>
        <w:lastRenderedPageBreak/>
        <w:t xml:space="preserve">The Ordnance Survey has released the free use of </w:t>
      </w:r>
      <w:r w:rsidR="00C40399" w:rsidRPr="00F218E1">
        <w:t>UPRNs</w:t>
      </w:r>
      <w:r>
        <w:rPr>
          <w:rStyle w:val="FootnoteReference"/>
        </w:rPr>
        <w:footnoteReference w:id="12"/>
      </w:r>
      <w:r w:rsidR="00A84C48">
        <w:t>. Under the “presumption to publish” policy local authorities will also be permitted to publish</w:t>
      </w:r>
      <w:r>
        <w:t xml:space="preserve"> </w:t>
      </w:r>
      <w:r w:rsidR="006D3EA5">
        <w:t>geo-coordinates x and y</w:t>
      </w:r>
      <w:r w:rsidR="008A2971" w:rsidRPr="00F218E1">
        <w:t xml:space="preserve"> </w:t>
      </w:r>
      <w:r w:rsidR="00C40399" w:rsidRPr="00F218E1">
        <w:t>if they are derived from Ordnance Survey maps</w:t>
      </w:r>
      <w:r w:rsidR="00A84C48">
        <w:t xml:space="preserve"> for</w:t>
      </w:r>
      <w:r>
        <w:t xml:space="preserve"> land asset information only. </w:t>
      </w:r>
      <w:r w:rsidR="00A84C48">
        <w:t>Local authorities will no longer be required to redact the Ordnance Survey Information when publishing land asset information under the Open Government Licence v3.</w:t>
      </w:r>
      <w:r>
        <w:t xml:space="preserve"> This will enable local authorities to meet the requirements of the Transparency Code</w:t>
      </w:r>
      <w:r w:rsidR="00C40399" w:rsidRPr="00F218E1">
        <w:t>.</w:t>
      </w:r>
      <w:r>
        <w:t xml:space="preserve"> </w:t>
      </w:r>
    </w:p>
    <w:p w14:paraId="06F26FA0" w14:textId="10E6962E" w:rsidR="00715E70" w:rsidRPr="00F218E1" w:rsidRDefault="00C40399" w:rsidP="006A3468">
      <w:r w:rsidRPr="00F218E1">
        <w:t xml:space="preserve">Further guidance about derived data and the Public Sector Mapping Agreement Licences is available on </w:t>
      </w:r>
    </w:p>
    <w:p w14:paraId="2AD58118" w14:textId="75EE70CF" w:rsidR="00715E70" w:rsidRPr="00F218E1" w:rsidRDefault="00583EBE" w:rsidP="006A3468">
      <w:hyperlink r:id="rId43" w:history="1">
        <w:r w:rsidR="00715E70" w:rsidRPr="00F218E1">
          <w:rPr>
            <w:rStyle w:val="Hyperlink"/>
            <w:rFonts w:cs="Arial"/>
          </w:rPr>
          <w:t>http://www.ordnancesurvey.co.uk/business-and-government/help-and-support/public-sector/guidance/index.html</w:t>
        </w:r>
      </w:hyperlink>
      <w:r w:rsidR="00715E70" w:rsidRPr="00F218E1">
        <w:t xml:space="preserve"> </w:t>
      </w:r>
    </w:p>
    <w:p w14:paraId="3521C309" w14:textId="6BE8DCE8" w:rsidR="00DB1B71" w:rsidRPr="006A3468" w:rsidRDefault="00DB1B71" w:rsidP="006A3468">
      <w:pPr>
        <w:rPr>
          <w:sz w:val="24"/>
          <w:szCs w:val="24"/>
        </w:rPr>
      </w:pPr>
    </w:p>
    <w:p w14:paraId="6C982A17" w14:textId="77777777" w:rsidR="002F4DC0" w:rsidRPr="001E5267" w:rsidRDefault="002F4DC0" w:rsidP="006A3468">
      <w:pPr>
        <w:rPr>
          <w:bCs/>
          <w:sz w:val="24"/>
          <w:szCs w:val="24"/>
        </w:rPr>
      </w:pPr>
    </w:p>
    <w:p w14:paraId="6B859FD7" w14:textId="77777777" w:rsidR="005D0859" w:rsidRPr="001E5267" w:rsidRDefault="005D0859" w:rsidP="006A3468">
      <w:pPr>
        <w:rPr>
          <w:sz w:val="24"/>
          <w:szCs w:val="24"/>
        </w:rPr>
      </w:pPr>
    </w:p>
    <w:p w14:paraId="7836CAE8" w14:textId="77777777" w:rsidR="00791450" w:rsidRPr="00846432" w:rsidRDefault="00791450" w:rsidP="001E5267">
      <w:pPr>
        <w:widowControl/>
        <w:spacing w:before="0" w:after="0"/>
        <w:rPr>
          <w:bCs/>
          <w:color w:val="91278F"/>
          <w:kern w:val="32"/>
          <w:sz w:val="24"/>
          <w:szCs w:val="24"/>
        </w:rPr>
      </w:pPr>
      <w:r w:rsidRPr="00846432">
        <w:rPr>
          <w:sz w:val="24"/>
          <w:szCs w:val="24"/>
        </w:rPr>
        <w:br w:type="page"/>
      </w:r>
    </w:p>
    <w:p w14:paraId="6D66A0BD" w14:textId="77777777" w:rsidR="00F7779C" w:rsidRDefault="00F7779C" w:rsidP="00F7779C">
      <w:pPr>
        <w:pStyle w:val="Heading1"/>
      </w:pPr>
      <w:bookmarkStart w:id="16" w:name="_Toc421280174"/>
      <w:r>
        <w:lastRenderedPageBreak/>
        <w:t>Social housing asset value</w:t>
      </w:r>
      <w:bookmarkEnd w:id="16"/>
    </w:p>
    <w:p w14:paraId="15315D49" w14:textId="77777777" w:rsidR="00F7779C" w:rsidRDefault="00F7779C" w:rsidP="00F7779C">
      <w:r>
        <w:t>Following publication of the local government transparency code 2015, councils are also obliged to publish details of the value of their social housing assets where such assets are held. Under the Housing Revenue Account (Accounting Practices) Direction 2011</w:t>
      </w:r>
      <w:r>
        <w:rPr>
          <w:rStyle w:val="FootnoteReference"/>
        </w:rPr>
        <w:footnoteReference w:id="13"/>
      </w:r>
      <w:r>
        <w:t>, local housing authorities are already required to publish much information about the value of their social housing stock that is held on the Housing Revenue Account (HRA). The Code develops these requirements and sets out how the government wishes these data to be presented, namely the number and value of social housing by postcode sector level and within specified valuation bands.</w:t>
      </w:r>
      <w:r w:rsidRPr="00247C08">
        <w:t xml:space="preserve"> </w:t>
      </w:r>
    </w:p>
    <w:p w14:paraId="21D47F48" w14:textId="77777777" w:rsidR="00F7779C" w:rsidRDefault="00F7779C" w:rsidP="00F7779C">
      <w:r>
        <w:t xml:space="preserve">The emphasis of the code is to maximise local transparency to the lowest granularity while at the same time considering disclosure control. Depending on the approach taken to ensure anonymity, the resulting dataset may not be comparable between councils and future data releases. The social housing asset value information has to be published by 1 September 2015. </w:t>
      </w:r>
    </w:p>
    <w:p w14:paraId="7023A4C0" w14:textId="77777777" w:rsidR="00F7779C" w:rsidRDefault="00F7779C" w:rsidP="00F7779C">
      <w:r>
        <w:t>Paragraphs 38 to 41 of the Code require that the following information related to the social housing stock held under the HRA is published.</w:t>
      </w:r>
    </w:p>
    <w:p w14:paraId="2274516A" w14:textId="77777777" w:rsidR="00F7779C" w:rsidRDefault="00F7779C" w:rsidP="00F7779C">
      <w:pPr>
        <w:rPr>
          <w:b/>
        </w:rPr>
      </w:pPr>
      <w:r w:rsidRPr="00114674">
        <w:rPr>
          <w:b/>
        </w:rPr>
        <w:t>Post</w:t>
      </w:r>
      <w:r>
        <w:rPr>
          <w:b/>
        </w:rPr>
        <w:t>code</w:t>
      </w:r>
      <w:r w:rsidRPr="00114674">
        <w:rPr>
          <w:b/>
        </w:rPr>
        <w:t xml:space="preserve"> sector</w:t>
      </w:r>
    </w:p>
    <w:p w14:paraId="63640621" w14:textId="77777777" w:rsidR="00F7779C" w:rsidRDefault="00F7779C" w:rsidP="00F7779C">
      <w:r>
        <w:t>Social housing valuation data needs to be published according to the postcode sector, which is the first part of the postcode (also known as the outbound code), plus the first character of the second part of the code (inbound code). This is referred to as the postal sector in the Code. For example housing that appears under the AB12 1AA postcode, would be grouped under the AB12 1** postcode sector. The postcode district is just the first or outbound part of the code (</w:t>
      </w:r>
      <w:proofErr w:type="spellStart"/>
      <w:r>
        <w:t>ie</w:t>
      </w:r>
      <w:proofErr w:type="spellEnd"/>
      <w:r>
        <w:t xml:space="preserve"> AB12 ***). For a more detailed explanation of how postcodes work, please see the Postcode Address File (PAF) website</w:t>
      </w:r>
      <w:r>
        <w:rPr>
          <w:rStyle w:val="FootnoteReference"/>
        </w:rPr>
        <w:footnoteReference w:id="14"/>
      </w:r>
      <w:r>
        <w:t xml:space="preserve">. </w:t>
      </w:r>
    </w:p>
    <w:p w14:paraId="0F4C09CA" w14:textId="77777777" w:rsidR="00F7779C" w:rsidRDefault="00F7779C" w:rsidP="00F7779C">
      <w:r>
        <w:t xml:space="preserve">Councils should ensure that it is not possible to disclose the value of individual properties from data aggregated to the postcode. Where there is a postcode sector that contains fewer than 2,500 households, DCLG advises – in contrast to what it says in the Code – that councils should merge data for that postcode sector with the adjoining postcode sector that contains the fewest households. This procedure should be repeated until the combined postal sector contains at least 2,500 households. The number of dwellings per postcode sector based on the 2011 Census can be obtained from the </w:t>
      </w:r>
      <w:proofErr w:type="spellStart"/>
      <w:r>
        <w:t>Nomis</w:t>
      </w:r>
      <w:proofErr w:type="spellEnd"/>
      <w:r>
        <w:t xml:space="preserve"> website free of charge</w:t>
      </w:r>
      <w:r>
        <w:rPr>
          <w:rStyle w:val="FootnoteReference"/>
        </w:rPr>
        <w:footnoteReference w:id="15"/>
      </w:r>
      <w:r>
        <w:t>.</w:t>
      </w:r>
    </w:p>
    <w:p w14:paraId="2227D6B3" w14:textId="77777777" w:rsidR="00F7779C" w:rsidRDefault="00F7779C">
      <w:pPr>
        <w:widowControl/>
        <w:spacing w:before="0" w:after="0"/>
      </w:pPr>
      <w:r>
        <w:br w:type="page"/>
      </w:r>
    </w:p>
    <w:p w14:paraId="73205023" w14:textId="0E45ADC3" w:rsidR="00F7779C" w:rsidRDefault="00F7779C" w:rsidP="00F7779C">
      <w:r>
        <w:lastRenderedPageBreak/>
        <w:t xml:space="preserve">The following table shows the number of households in each postcode district within a fictional council area. In this example, all postcode sectors within the AB11 postcode district area </w:t>
      </w:r>
      <w:proofErr w:type="gramStart"/>
      <w:r>
        <w:t>have  2,500</w:t>
      </w:r>
      <w:proofErr w:type="gramEnd"/>
      <w:r>
        <w:t xml:space="preserve"> or more households and so the valuation data should be reported separately for each postcode sector within the AB11 district. However within the AB12 postcode district there is one postcode sector with fewer than 2,500 households (AB12 3). This is highlighted in the table below.</w:t>
      </w:r>
    </w:p>
    <w:tbl>
      <w:tblPr>
        <w:tblW w:w="27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500"/>
      </w:tblGrid>
      <w:tr w:rsidR="00F7779C" w:rsidRPr="00E57AC9" w14:paraId="3732C25F" w14:textId="77777777" w:rsidTr="008E617F">
        <w:trPr>
          <w:trHeight w:val="285"/>
        </w:trPr>
        <w:tc>
          <w:tcPr>
            <w:tcW w:w="1256" w:type="dxa"/>
            <w:shd w:val="clear" w:color="auto" w:fill="auto"/>
            <w:noWrap/>
            <w:vAlign w:val="bottom"/>
            <w:hideMark/>
          </w:tcPr>
          <w:p w14:paraId="39AF530A" w14:textId="77777777" w:rsidR="00F7779C" w:rsidRPr="00BA0DBA" w:rsidRDefault="00F7779C" w:rsidP="008E617F">
            <w:pPr>
              <w:widowControl/>
              <w:spacing w:before="0" w:after="0"/>
              <w:rPr>
                <w:b/>
              </w:rPr>
            </w:pPr>
            <w:r>
              <w:rPr>
                <w:b/>
              </w:rPr>
              <w:t>Postcode</w:t>
            </w:r>
            <w:r w:rsidRPr="00BA0DBA">
              <w:rPr>
                <w:b/>
              </w:rPr>
              <w:t xml:space="preserve"> sector</w:t>
            </w:r>
          </w:p>
        </w:tc>
        <w:tc>
          <w:tcPr>
            <w:tcW w:w="1500" w:type="dxa"/>
            <w:shd w:val="clear" w:color="auto" w:fill="auto"/>
            <w:noWrap/>
            <w:vAlign w:val="bottom"/>
            <w:hideMark/>
          </w:tcPr>
          <w:p w14:paraId="161177EF" w14:textId="77777777" w:rsidR="00F7779C" w:rsidRPr="00BA0DBA" w:rsidRDefault="00F7779C" w:rsidP="008E617F">
            <w:pPr>
              <w:widowControl/>
              <w:spacing w:before="0" w:after="0"/>
              <w:rPr>
                <w:b/>
              </w:rPr>
            </w:pPr>
            <w:r w:rsidRPr="00BA0DBA">
              <w:rPr>
                <w:b/>
              </w:rPr>
              <w:t>Households</w:t>
            </w:r>
          </w:p>
        </w:tc>
      </w:tr>
      <w:tr w:rsidR="00F7779C" w:rsidRPr="00E57AC9" w14:paraId="5F4EF86A" w14:textId="77777777" w:rsidTr="008E617F">
        <w:trPr>
          <w:trHeight w:val="285"/>
        </w:trPr>
        <w:tc>
          <w:tcPr>
            <w:tcW w:w="1256" w:type="dxa"/>
            <w:shd w:val="clear" w:color="auto" w:fill="auto"/>
            <w:noWrap/>
            <w:vAlign w:val="bottom"/>
            <w:hideMark/>
          </w:tcPr>
          <w:p w14:paraId="31579958" w14:textId="77777777" w:rsidR="00F7779C" w:rsidRPr="00E57AC9" w:rsidRDefault="00F7779C" w:rsidP="008E617F">
            <w:pPr>
              <w:widowControl/>
              <w:spacing w:before="0" w:after="0"/>
            </w:pPr>
            <w:r>
              <w:t>AB</w:t>
            </w:r>
            <w:r w:rsidRPr="00E57AC9">
              <w:t>11 0</w:t>
            </w:r>
          </w:p>
        </w:tc>
        <w:tc>
          <w:tcPr>
            <w:tcW w:w="1500" w:type="dxa"/>
            <w:shd w:val="clear" w:color="auto" w:fill="auto"/>
            <w:noWrap/>
            <w:vAlign w:val="bottom"/>
            <w:hideMark/>
          </w:tcPr>
          <w:p w14:paraId="08A28EDA" w14:textId="77777777" w:rsidR="00F7779C" w:rsidRPr="00E57AC9" w:rsidRDefault="00F7779C" w:rsidP="008E617F">
            <w:pPr>
              <w:widowControl/>
              <w:spacing w:before="0" w:after="0"/>
              <w:jc w:val="right"/>
            </w:pPr>
            <w:r w:rsidRPr="00E57AC9">
              <w:t>3595</w:t>
            </w:r>
          </w:p>
        </w:tc>
      </w:tr>
      <w:tr w:rsidR="00F7779C" w:rsidRPr="00E57AC9" w14:paraId="408A0D2C" w14:textId="77777777" w:rsidTr="008E617F">
        <w:trPr>
          <w:trHeight w:val="285"/>
        </w:trPr>
        <w:tc>
          <w:tcPr>
            <w:tcW w:w="1256" w:type="dxa"/>
            <w:shd w:val="clear" w:color="auto" w:fill="auto"/>
            <w:noWrap/>
            <w:vAlign w:val="bottom"/>
            <w:hideMark/>
          </w:tcPr>
          <w:p w14:paraId="739CF5B0" w14:textId="77777777" w:rsidR="00F7779C" w:rsidRPr="00E57AC9" w:rsidRDefault="00F7779C" w:rsidP="008E617F">
            <w:pPr>
              <w:widowControl/>
              <w:spacing w:before="0" w:after="0"/>
            </w:pPr>
            <w:r>
              <w:t>AB</w:t>
            </w:r>
            <w:r w:rsidRPr="00E57AC9">
              <w:t>11 7</w:t>
            </w:r>
          </w:p>
        </w:tc>
        <w:tc>
          <w:tcPr>
            <w:tcW w:w="1500" w:type="dxa"/>
            <w:shd w:val="clear" w:color="auto" w:fill="auto"/>
            <w:noWrap/>
            <w:vAlign w:val="bottom"/>
            <w:hideMark/>
          </w:tcPr>
          <w:p w14:paraId="678A5274" w14:textId="77777777" w:rsidR="00F7779C" w:rsidRPr="00E57AC9" w:rsidRDefault="00F7779C" w:rsidP="008E617F">
            <w:pPr>
              <w:widowControl/>
              <w:spacing w:before="0" w:after="0"/>
              <w:jc w:val="right"/>
            </w:pPr>
            <w:r w:rsidRPr="00E57AC9">
              <w:t>3577</w:t>
            </w:r>
          </w:p>
        </w:tc>
      </w:tr>
      <w:tr w:rsidR="00F7779C" w:rsidRPr="00E57AC9" w14:paraId="5C0A84F7" w14:textId="77777777" w:rsidTr="008E617F">
        <w:trPr>
          <w:trHeight w:val="285"/>
        </w:trPr>
        <w:tc>
          <w:tcPr>
            <w:tcW w:w="1256" w:type="dxa"/>
            <w:shd w:val="clear" w:color="auto" w:fill="auto"/>
            <w:noWrap/>
            <w:vAlign w:val="bottom"/>
            <w:hideMark/>
          </w:tcPr>
          <w:p w14:paraId="0B283372" w14:textId="77777777" w:rsidR="00F7779C" w:rsidRPr="00E57AC9" w:rsidRDefault="00F7779C" w:rsidP="008E617F">
            <w:pPr>
              <w:widowControl/>
              <w:spacing w:before="0" w:after="0"/>
            </w:pPr>
            <w:r>
              <w:t>AB</w:t>
            </w:r>
            <w:r w:rsidRPr="00E57AC9">
              <w:t>11 8</w:t>
            </w:r>
          </w:p>
        </w:tc>
        <w:tc>
          <w:tcPr>
            <w:tcW w:w="1500" w:type="dxa"/>
            <w:shd w:val="clear" w:color="auto" w:fill="auto"/>
            <w:noWrap/>
            <w:vAlign w:val="bottom"/>
            <w:hideMark/>
          </w:tcPr>
          <w:p w14:paraId="204A4374" w14:textId="77777777" w:rsidR="00F7779C" w:rsidRPr="00E57AC9" w:rsidRDefault="00F7779C" w:rsidP="008E617F">
            <w:pPr>
              <w:widowControl/>
              <w:spacing w:before="0" w:after="0"/>
              <w:jc w:val="right"/>
            </w:pPr>
            <w:r w:rsidRPr="00E57AC9">
              <w:t>4237</w:t>
            </w:r>
          </w:p>
        </w:tc>
      </w:tr>
      <w:tr w:rsidR="00F7779C" w:rsidRPr="00E57AC9" w14:paraId="65589C95" w14:textId="77777777" w:rsidTr="008E617F">
        <w:trPr>
          <w:trHeight w:val="285"/>
        </w:trPr>
        <w:tc>
          <w:tcPr>
            <w:tcW w:w="1256" w:type="dxa"/>
            <w:shd w:val="clear" w:color="auto" w:fill="auto"/>
            <w:noWrap/>
            <w:vAlign w:val="bottom"/>
            <w:hideMark/>
          </w:tcPr>
          <w:p w14:paraId="1A9BF10B" w14:textId="77777777" w:rsidR="00F7779C" w:rsidRPr="00E57AC9" w:rsidRDefault="00F7779C" w:rsidP="008E617F">
            <w:pPr>
              <w:widowControl/>
              <w:spacing w:before="0" w:after="0"/>
            </w:pPr>
            <w:r>
              <w:t>AB</w:t>
            </w:r>
            <w:r w:rsidRPr="00E57AC9">
              <w:t>11 9</w:t>
            </w:r>
          </w:p>
        </w:tc>
        <w:tc>
          <w:tcPr>
            <w:tcW w:w="1500" w:type="dxa"/>
            <w:shd w:val="clear" w:color="auto" w:fill="auto"/>
            <w:noWrap/>
            <w:vAlign w:val="bottom"/>
            <w:hideMark/>
          </w:tcPr>
          <w:p w14:paraId="6B7AE964" w14:textId="77777777" w:rsidR="00F7779C" w:rsidRPr="00E57AC9" w:rsidRDefault="00F7779C" w:rsidP="008E617F">
            <w:pPr>
              <w:widowControl/>
              <w:spacing w:before="0" w:after="0"/>
              <w:jc w:val="right"/>
            </w:pPr>
            <w:r w:rsidRPr="00E57AC9">
              <w:t>3784</w:t>
            </w:r>
          </w:p>
        </w:tc>
      </w:tr>
      <w:tr w:rsidR="00F7779C" w:rsidRPr="00E57AC9" w14:paraId="26CC5FC4" w14:textId="77777777" w:rsidTr="008E617F">
        <w:trPr>
          <w:trHeight w:val="285"/>
        </w:trPr>
        <w:tc>
          <w:tcPr>
            <w:tcW w:w="1256" w:type="dxa"/>
            <w:shd w:val="clear" w:color="auto" w:fill="auto"/>
            <w:noWrap/>
            <w:vAlign w:val="bottom"/>
            <w:hideMark/>
          </w:tcPr>
          <w:p w14:paraId="137BF8B1" w14:textId="77777777" w:rsidR="00F7779C" w:rsidRPr="00E57AC9" w:rsidRDefault="00F7779C" w:rsidP="008E617F">
            <w:pPr>
              <w:widowControl/>
              <w:spacing w:before="0" w:after="0"/>
            </w:pPr>
            <w:r>
              <w:t>AB</w:t>
            </w:r>
            <w:r w:rsidRPr="00E57AC9">
              <w:t>12 1</w:t>
            </w:r>
          </w:p>
        </w:tc>
        <w:tc>
          <w:tcPr>
            <w:tcW w:w="1500" w:type="dxa"/>
            <w:shd w:val="clear" w:color="auto" w:fill="auto"/>
            <w:noWrap/>
            <w:vAlign w:val="bottom"/>
            <w:hideMark/>
          </w:tcPr>
          <w:p w14:paraId="16005BBF" w14:textId="77777777" w:rsidR="00F7779C" w:rsidRPr="00E57AC9" w:rsidRDefault="00F7779C" w:rsidP="008E617F">
            <w:pPr>
              <w:widowControl/>
              <w:spacing w:before="0" w:after="0"/>
              <w:jc w:val="right"/>
            </w:pPr>
            <w:r w:rsidRPr="00E57AC9">
              <w:t>2790</w:t>
            </w:r>
          </w:p>
        </w:tc>
      </w:tr>
      <w:tr w:rsidR="00F7779C" w:rsidRPr="00E57AC9" w14:paraId="6D6E073D" w14:textId="77777777" w:rsidTr="008E617F">
        <w:trPr>
          <w:trHeight w:val="285"/>
        </w:trPr>
        <w:tc>
          <w:tcPr>
            <w:tcW w:w="1256" w:type="dxa"/>
            <w:shd w:val="clear" w:color="auto" w:fill="auto"/>
            <w:noWrap/>
            <w:vAlign w:val="bottom"/>
            <w:hideMark/>
          </w:tcPr>
          <w:p w14:paraId="0982B095" w14:textId="77777777" w:rsidR="00F7779C" w:rsidRPr="00E57AC9" w:rsidRDefault="00F7779C" w:rsidP="008E617F">
            <w:pPr>
              <w:widowControl/>
              <w:spacing w:before="0" w:after="0"/>
            </w:pPr>
            <w:r>
              <w:t>AB</w:t>
            </w:r>
            <w:r w:rsidRPr="00E57AC9">
              <w:t>12 2</w:t>
            </w:r>
          </w:p>
        </w:tc>
        <w:tc>
          <w:tcPr>
            <w:tcW w:w="1500" w:type="dxa"/>
            <w:shd w:val="clear" w:color="auto" w:fill="auto"/>
            <w:noWrap/>
            <w:vAlign w:val="bottom"/>
            <w:hideMark/>
          </w:tcPr>
          <w:p w14:paraId="75BCF774" w14:textId="77777777" w:rsidR="00F7779C" w:rsidRPr="00E57AC9" w:rsidRDefault="00F7779C" w:rsidP="008E617F">
            <w:pPr>
              <w:widowControl/>
              <w:spacing w:before="0" w:after="0"/>
              <w:jc w:val="right"/>
            </w:pPr>
            <w:r w:rsidRPr="00E57AC9">
              <w:t>3629</w:t>
            </w:r>
          </w:p>
        </w:tc>
      </w:tr>
      <w:tr w:rsidR="00F7779C" w:rsidRPr="00843C21" w14:paraId="02DB0261" w14:textId="77777777" w:rsidTr="008E617F">
        <w:trPr>
          <w:trHeight w:val="285"/>
        </w:trPr>
        <w:tc>
          <w:tcPr>
            <w:tcW w:w="1256" w:type="dxa"/>
            <w:shd w:val="clear" w:color="auto" w:fill="auto"/>
            <w:noWrap/>
            <w:vAlign w:val="bottom"/>
            <w:hideMark/>
          </w:tcPr>
          <w:p w14:paraId="311890CB" w14:textId="77777777" w:rsidR="00F7779C" w:rsidRPr="00843C21" w:rsidRDefault="00F7779C" w:rsidP="008E617F">
            <w:pPr>
              <w:widowControl/>
              <w:spacing w:before="0" w:after="0"/>
              <w:rPr>
                <w:b/>
                <w:highlight w:val="yellow"/>
              </w:rPr>
            </w:pPr>
            <w:r w:rsidRPr="00843C21">
              <w:rPr>
                <w:b/>
                <w:highlight w:val="yellow"/>
              </w:rPr>
              <w:t>AB12 3</w:t>
            </w:r>
          </w:p>
        </w:tc>
        <w:tc>
          <w:tcPr>
            <w:tcW w:w="1500" w:type="dxa"/>
            <w:shd w:val="clear" w:color="auto" w:fill="auto"/>
            <w:noWrap/>
            <w:vAlign w:val="bottom"/>
            <w:hideMark/>
          </w:tcPr>
          <w:p w14:paraId="1677894D" w14:textId="77777777" w:rsidR="00F7779C" w:rsidRPr="00843C21" w:rsidRDefault="00F7779C" w:rsidP="008E617F">
            <w:pPr>
              <w:widowControl/>
              <w:spacing w:before="0" w:after="0"/>
              <w:jc w:val="right"/>
              <w:rPr>
                <w:b/>
                <w:highlight w:val="yellow"/>
              </w:rPr>
            </w:pPr>
            <w:r w:rsidRPr="00843C21">
              <w:rPr>
                <w:b/>
                <w:highlight w:val="yellow"/>
              </w:rPr>
              <w:t>981</w:t>
            </w:r>
          </w:p>
        </w:tc>
      </w:tr>
      <w:tr w:rsidR="00F7779C" w:rsidRPr="00E57AC9" w14:paraId="63DAE6A5" w14:textId="77777777" w:rsidTr="008E617F">
        <w:trPr>
          <w:trHeight w:val="285"/>
        </w:trPr>
        <w:tc>
          <w:tcPr>
            <w:tcW w:w="1256" w:type="dxa"/>
            <w:shd w:val="clear" w:color="auto" w:fill="auto"/>
            <w:noWrap/>
            <w:vAlign w:val="bottom"/>
            <w:hideMark/>
          </w:tcPr>
          <w:p w14:paraId="26F6E795" w14:textId="77777777" w:rsidR="00F7779C" w:rsidRPr="00E57AC9" w:rsidRDefault="00F7779C" w:rsidP="008E617F">
            <w:pPr>
              <w:widowControl/>
              <w:spacing w:before="0" w:after="0"/>
            </w:pPr>
            <w:r>
              <w:t>AB</w:t>
            </w:r>
            <w:r w:rsidRPr="00E57AC9">
              <w:t>12 4</w:t>
            </w:r>
          </w:p>
        </w:tc>
        <w:tc>
          <w:tcPr>
            <w:tcW w:w="1500" w:type="dxa"/>
            <w:shd w:val="clear" w:color="auto" w:fill="auto"/>
            <w:noWrap/>
            <w:vAlign w:val="bottom"/>
            <w:hideMark/>
          </w:tcPr>
          <w:p w14:paraId="691EF647" w14:textId="77777777" w:rsidR="00F7779C" w:rsidRPr="00E57AC9" w:rsidRDefault="00F7779C" w:rsidP="008E617F">
            <w:pPr>
              <w:widowControl/>
              <w:spacing w:before="0" w:after="0"/>
              <w:jc w:val="right"/>
            </w:pPr>
            <w:r w:rsidRPr="00E57AC9">
              <w:t>5632</w:t>
            </w:r>
          </w:p>
        </w:tc>
      </w:tr>
      <w:tr w:rsidR="00F7779C" w:rsidRPr="00E57AC9" w14:paraId="48622392" w14:textId="77777777" w:rsidTr="008E617F">
        <w:trPr>
          <w:trHeight w:val="285"/>
        </w:trPr>
        <w:tc>
          <w:tcPr>
            <w:tcW w:w="1256" w:type="dxa"/>
            <w:shd w:val="clear" w:color="auto" w:fill="auto"/>
            <w:noWrap/>
            <w:vAlign w:val="bottom"/>
            <w:hideMark/>
          </w:tcPr>
          <w:p w14:paraId="5FCF3483" w14:textId="77777777" w:rsidR="00F7779C" w:rsidRPr="00E57AC9" w:rsidRDefault="00F7779C" w:rsidP="008E617F">
            <w:pPr>
              <w:widowControl/>
              <w:spacing w:before="0" w:after="0"/>
            </w:pPr>
            <w:r>
              <w:t>AB</w:t>
            </w:r>
            <w:r w:rsidRPr="00E57AC9">
              <w:t>12 5</w:t>
            </w:r>
          </w:p>
        </w:tc>
        <w:tc>
          <w:tcPr>
            <w:tcW w:w="1500" w:type="dxa"/>
            <w:shd w:val="clear" w:color="auto" w:fill="auto"/>
            <w:noWrap/>
            <w:vAlign w:val="bottom"/>
            <w:hideMark/>
          </w:tcPr>
          <w:p w14:paraId="2B1E6700" w14:textId="77777777" w:rsidR="00F7779C" w:rsidRPr="00E57AC9" w:rsidRDefault="00F7779C" w:rsidP="008E617F">
            <w:pPr>
              <w:widowControl/>
              <w:spacing w:before="0" w:after="0"/>
              <w:jc w:val="right"/>
            </w:pPr>
            <w:r w:rsidRPr="00E57AC9">
              <w:t>5799</w:t>
            </w:r>
          </w:p>
        </w:tc>
      </w:tr>
    </w:tbl>
    <w:p w14:paraId="77FB7732" w14:textId="77777777" w:rsidR="00F7779C" w:rsidRDefault="00F7779C" w:rsidP="00F7779C">
      <w:r>
        <w:t xml:space="preserve">Since one of the postcode sectors within the AB12 postcode district contains fewer than 2,500 households, the postcode </w:t>
      </w:r>
      <w:r w:rsidRPr="001E1017">
        <w:t xml:space="preserve">sector should be </w:t>
      </w:r>
      <w:r>
        <w:t>merged with the neighbouring postcode sector that contains the fewest households. In the example council area this creates a combines district comprising AB12 2 and AB12 3.</w:t>
      </w:r>
    </w:p>
    <w:tbl>
      <w:tblPr>
        <w:tblW w:w="27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500"/>
      </w:tblGrid>
      <w:tr w:rsidR="00F7779C" w:rsidRPr="00BA0DBA" w14:paraId="71AE5B42" w14:textId="77777777" w:rsidTr="008E617F">
        <w:trPr>
          <w:trHeight w:val="285"/>
        </w:trPr>
        <w:tc>
          <w:tcPr>
            <w:tcW w:w="1256" w:type="dxa"/>
            <w:shd w:val="clear" w:color="auto" w:fill="auto"/>
            <w:noWrap/>
            <w:vAlign w:val="bottom"/>
            <w:hideMark/>
          </w:tcPr>
          <w:p w14:paraId="0518AD3B" w14:textId="77777777" w:rsidR="00F7779C" w:rsidRPr="00BA0DBA" w:rsidRDefault="00F7779C" w:rsidP="008E617F">
            <w:pPr>
              <w:widowControl/>
              <w:spacing w:before="0" w:after="0"/>
              <w:rPr>
                <w:b/>
              </w:rPr>
            </w:pPr>
            <w:r>
              <w:rPr>
                <w:b/>
              </w:rPr>
              <w:t>Postcode</w:t>
            </w:r>
            <w:r w:rsidRPr="00BA0DBA">
              <w:rPr>
                <w:b/>
              </w:rPr>
              <w:t xml:space="preserve"> sector</w:t>
            </w:r>
          </w:p>
        </w:tc>
        <w:tc>
          <w:tcPr>
            <w:tcW w:w="1500" w:type="dxa"/>
            <w:shd w:val="clear" w:color="auto" w:fill="auto"/>
            <w:noWrap/>
            <w:vAlign w:val="bottom"/>
            <w:hideMark/>
          </w:tcPr>
          <w:p w14:paraId="1EBA71D9" w14:textId="77777777" w:rsidR="00F7779C" w:rsidRPr="00BA0DBA" w:rsidRDefault="00F7779C" w:rsidP="008E617F">
            <w:pPr>
              <w:widowControl/>
              <w:spacing w:before="0" w:after="0"/>
              <w:rPr>
                <w:b/>
              </w:rPr>
            </w:pPr>
            <w:r w:rsidRPr="00BA0DBA">
              <w:rPr>
                <w:b/>
              </w:rPr>
              <w:t>Households</w:t>
            </w:r>
          </w:p>
        </w:tc>
      </w:tr>
      <w:tr w:rsidR="00F7779C" w:rsidRPr="00E57AC9" w14:paraId="4F31F96C" w14:textId="77777777" w:rsidTr="008E617F">
        <w:trPr>
          <w:trHeight w:val="285"/>
        </w:trPr>
        <w:tc>
          <w:tcPr>
            <w:tcW w:w="1256" w:type="dxa"/>
            <w:shd w:val="clear" w:color="auto" w:fill="auto"/>
            <w:noWrap/>
            <w:vAlign w:val="bottom"/>
            <w:hideMark/>
          </w:tcPr>
          <w:p w14:paraId="48EFF37A" w14:textId="77777777" w:rsidR="00F7779C" w:rsidRPr="00E57AC9" w:rsidRDefault="00F7779C" w:rsidP="008E617F">
            <w:pPr>
              <w:widowControl/>
              <w:spacing w:before="0" w:after="0"/>
            </w:pPr>
            <w:r>
              <w:t>AB</w:t>
            </w:r>
            <w:r w:rsidRPr="00E57AC9">
              <w:t>11 0</w:t>
            </w:r>
          </w:p>
        </w:tc>
        <w:tc>
          <w:tcPr>
            <w:tcW w:w="1500" w:type="dxa"/>
            <w:shd w:val="clear" w:color="auto" w:fill="auto"/>
            <w:noWrap/>
            <w:vAlign w:val="bottom"/>
            <w:hideMark/>
          </w:tcPr>
          <w:p w14:paraId="385C7CF1" w14:textId="77777777" w:rsidR="00F7779C" w:rsidRPr="00E57AC9" w:rsidRDefault="00F7779C" w:rsidP="008E617F">
            <w:pPr>
              <w:widowControl/>
              <w:spacing w:before="0" w:after="0"/>
              <w:jc w:val="right"/>
            </w:pPr>
            <w:r w:rsidRPr="00E57AC9">
              <w:t>3595</w:t>
            </w:r>
          </w:p>
        </w:tc>
      </w:tr>
      <w:tr w:rsidR="00F7779C" w:rsidRPr="00E57AC9" w14:paraId="3993C196" w14:textId="77777777" w:rsidTr="008E617F">
        <w:trPr>
          <w:trHeight w:val="285"/>
        </w:trPr>
        <w:tc>
          <w:tcPr>
            <w:tcW w:w="1256" w:type="dxa"/>
            <w:shd w:val="clear" w:color="auto" w:fill="auto"/>
            <w:noWrap/>
            <w:vAlign w:val="bottom"/>
            <w:hideMark/>
          </w:tcPr>
          <w:p w14:paraId="4B3A9633" w14:textId="77777777" w:rsidR="00F7779C" w:rsidRPr="00E57AC9" w:rsidRDefault="00F7779C" w:rsidP="008E617F">
            <w:pPr>
              <w:widowControl/>
              <w:spacing w:before="0" w:after="0"/>
            </w:pPr>
            <w:r>
              <w:t>AB</w:t>
            </w:r>
            <w:r w:rsidRPr="00E57AC9">
              <w:t>11 7</w:t>
            </w:r>
          </w:p>
        </w:tc>
        <w:tc>
          <w:tcPr>
            <w:tcW w:w="1500" w:type="dxa"/>
            <w:shd w:val="clear" w:color="auto" w:fill="auto"/>
            <w:noWrap/>
            <w:vAlign w:val="bottom"/>
            <w:hideMark/>
          </w:tcPr>
          <w:p w14:paraId="21A106EF" w14:textId="77777777" w:rsidR="00F7779C" w:rsidRPr="00E57AC9" w:rsidRDefault="00F7779C" w:rsidP="008E617F">
            <w:pPr>
              <w:widowControl/>
              <w:spacing w:before="0" w:after="0"/>
              <w:jc w:val="right"/>
            </w:pPr>
            <w:r w:rsidRPr="00E57AC9">
              <w:t>3577</w:t>
            </w:r>
          </w:p>
        </w:tc>
      </w:tr>
      <w:tr w:rsidR="00F7779C" w:rsidRPr="00E57AC9" w14:paraId="0BA2C88C" w14:textId="77777777" w:rsidTr="008E617F">
        <w:trPr>
          <w:trHeight w:val="285"/>
        </w:trPr>
        <w:tc>
          <w:tcPr>
            <w:tcW w:w="1256" w:type="dxa"/>
            <w:shd w:val="clear" w:color="auto" w:fill="auto"/>
            <w:noWrap/>
            <w:vAlign w:val="bottom"/>
            <w:hideMark/>
          </w:tcPr>
          <w:p w14:paraId="74766B42" w14:textId="77777777" w:rsidR="00F7779C" w:rsidRPr="00E57AC9" w:rsidRDefault="00F7779C" w:rsidP="008E617F">
            <w:pPr>
              <w:widowControl/>
              <w:spacing w:before="0" w:after="0"/>
            </w:pPr>
            <w:r>
              <w:t>AB</w:t>
            </w:r>
            <w:r w:rsidRPr="00E57AC9">
              <w:t>11 8</w:t>
            </w:r>
          </w:p>
        </w:tc>
        <w:tc>
          <w:tcPr>
            <w:tcW w:w="1500" w:type="dxa"/>
            <w:shd w:val="clear" w:color="auto" w:fill="auto"/>
            <w:noWrap/>
            <w:vAlign w:val="bottom"/>
            <w:hideMark/>
          </w:tcPr>
          <w:p w14:paraId="7DFDC606" w14:textId="77777777" w:rsidR="00F7779C" w:rsidRPr="00E57AC9" w:rsidRDefault="00F7779C" w:rsidP="008E617F">
            <w:pPr>
              <w:widowControl/>
              <w:spacing w:before="0" w:after="0"/>
              <w:jc w:val="right"/>
            </w:pPr>
            <w:r w:rsidRPr="00E57AC9">
              <w:t>4237</w:t>
            </w:r>
          </w:p>
        </w:tc>
      </w:tr>
      <w:tr w:rsidR="00F7779C" w:rsidRPr="00E57AC9" w14:paraId="503ADB5E" w14:textId="77777777" w:rsidTr="008E617F">
        <w:trPr>
          <w:trHeight w:val="285"/>
        </w:trPr>
        <w:tc>
          <w:tcPr>
            <w:tcW w:w="1256" w:type="dxa"/>
            <w:shd w:val="clear" w:color="auto" w:fill="auto"/>
            <w:noWrap/>
            <w:vAlign w:val="bottom"/>
            <w:hideMark/>
          </w:tcPr>
          <w:p w14:paraId="7EF459C7" w14:textId="77777777" w:rsidR="00F7779C" w:rsidRPr="00E57AC9" w:rsidRDefault="00F7779C" w:rsidP="008E617F">
            <w:pPr>
              <w:widowControl/>
              <w:spacing w:before="0" w:after="0"/>
            </w:pPr>
            <w:r>
              <w:t>AB</w:t>
            </w:r>
            <w:r w:rsidRPr="00E57AC9">
              <w:t>11 9</w:t>
            </w:r>
          </w:p>
        </w:tc>
        <w:tc>
          <w:tcPr>
            <w:tcW w:w="1500" w:type="dxa"/>
            <w:shd w:val="clear" w:color="auto" w:fill="auto"/>
            <w:noWrap/>
            <w:vAlign w:val="bottom"/>
            <w:hideMark/>
          </w:tcPr>
          <w:p w14:paraId="7F252CF6" w14:textId="77777777" w:rsidR="00F7779C" w:rsidRPr="00E57AC9" w:rsidRDefault="00F7779C" w:rsidP="008E617F">
            <w:pPr>
              <w:widowControl/>
              <w:spacing w:before="0" w:after="0"/>
              <w:jc w:val="right"/>
            </w:pPr>
            <w:r w:rsidRPr="00E57AC9">
              <w:t>3784</w:t>
            </w:r>
          </w:p>
        </w:tc>
      </w:tr>
      <w:tr w:rsidR="00F7779C" w:rsidRPr="00E57AC9" w14:paraId="4A117A35" w14:textId="77777777" w:rsidTr="008E617F">
        <w:trPr>
          <w:trHeight w:val="285"/>
        </w:trPr>
        <w:tc>
          <w:tcPr>
            <w:tcW w:w="1256" w:type="dxa"/>
            <w:shd w:val="clear" w:color="auto" w:fill="auto"/>
            <w:noWrap/>
            <w:vAlign w:val="bottom"/>
            <w:hideMark/>
          </w:tcPr>
          <w:p w14:paraId="7CFE84AE" w14:textId="77777777" w:rsidR="00F7779C" w:rsidRPr="00E57AC9" w:rsidRDefault="00F7779C" w:rsidP="008E617F">
            <w:pPr>
              <w:widowControl/>
              <w:spacing w:before="0" w:after="0"/>
            </w:pPr>
            <w:r>
              <w:t>AB</w:t>
            </w:r>
            <w:r w:rsidRPr="00E57AC9">
              <w:t>12 1</w:t>
            </w:r>
          </w:p>
        </w:tc>
        <w:tc>
          <w:tcPr>
            <w:tcW w:w="1500" w:type="dxa"/>
            <w:shd w:val="clear" w:color="auto" w:fill="auto"/>
            <w:noWrap/>
            <w:vAlign w:val="bottom"/>
            <w:hideMark/>
          </w:tcPr>
          <w:p w14:paraId="4B34F7C1" w14:textId="77777777" w:rsidR="00F7779C" w:rsidRPr="00E57AC9" w:rsidRDefault="00F7779C" w:rsidP="008E617F">
            <w:pPr>
              <w:widowControl/>
              <w:spacing w:before="0" w:after="0"/>
              <w:jc w:val="right"/>
            </w:pPr>
            <w:r w:rsidRPr="00E57AC9">
              <w:t>2790</w:t>
            </w:r>
          </w:p>
        </w:tc>
      </w:tr>
      <w:tr w:rsidR="00F7779C" w:rsidRPr="00E57AC9" w14:paraId="058B2E1F" w14:textId="77777777" w:rsidTr="008E617F">
        <w:trPr>
          <w:trHeight w:val="285"/>
        </w:trPr>
        <w:tc>
          <w:tcPr>
            <w:tcW w:w="1256" w:type="dxa"/>
            <w:shd w:val="clear" w:color="auto" w:fill="auto"/>
            <w:noWrap/>
            <w:vAlign w:val="bottom"/>
            <w:hideMark/>
          </w:tcPr>
          <w:p w14:paraId="1B8A2DF4" w14:textId="77777777" w:rsidR="00F7779C" w:rsidRPr="001B7264" w:rsidRDefault="00F7779C" w:rsidP="008E617F">
            <w:pPr>
              <w:widowControl/>
              <w:spacing w:before="0" w:after="0"/>
              <w:rPr>
                <w:highlight w:val="yellow"/>
              </w:rPr>
            </w:pPr>
            <w:r w:rsidRPr="001B7264">
              <w:rPr>
                <w:highlight w:val="yellow"/>
              </w:rPr>
              <w:t>AB12 2</w:t>
            </w:r>
            <w:r>
              <w:rPr>
                <w:highlight w:val="yellow"/>
              </w:rPr>
              <w:t>/</w:t>
            </w:r>
            <w:r w:rsidRPr="001B7264">
              <w:rPr>
                <w:highlight w:val="yellow"/>
              </w:rPr>
              <w:t xml:space="preserve">AB12 3 </w:t>
            </w:r>
          </w:p>
        </w:tc>
        <w:tc>
          <w:tcPr>
            <w:tcW w:w="1500" w:type="dxa"/>
            <w:shd w:val="clear" w:color="auto" w:fill="auto"/>
            <w:noWrap/>
            <w:vAlign w:val="bottom"/>
            <w:hideMark/>
          </w:tcPr>
          <w:p w14:paraId="1F11B64B" w14:textId="77777777" w:rsidR="00F7779C" w:rsidRPr="00E57AC9" w:rsidRDefault="00F7779C" w:rsidP="008E617F">
            <w:pPr>
              <w:widowControl/>
              <w:spacing w:before="0" w:after="0"/>
              <w:jc w:val="right"/>
            </w:pPr>
            <w:r w:rsidRPr="001B7264">
              <w:rPr>
                <w:highlight w:val="yellow"/>
              </w:rPr>
              <w:t>4610</w:t>
            </w:r>
          </w:p>
        </w:tc>
      </w:tr>
      <w:tr w:rsidR="00F7779C" w:rsidRPr="001B7264" w14:paraId="49C7522C" w14:textId="77777777" w:rsidTr="008E617F">
        <w:trPr>
          <w:trHeight w:val="285"/>
        </w:trPr>
        <w:tc>
          <w:tcPr>
            <w:tcW w:w="1256" w:type="dxa"/>
            <w:shd w:val="clear" w:color="auto" w:fill="auto"/>
            <w:noWrap/>
            <w:vAlign w:val="bottom"/>
            <w:hideMark/>
          </w:tcPr>
          <w:p w14:paraId="47750AB1" w14:textId="77777777" w:rsidR="00F7779C" w:rsidRPr="001B7264" w:rsidRDefault="00F7779C" w:rsidP="008E617F">
            <w:pPr>
              <w:widowControl/>
              <w:spacing w:before="0" w:after="0"/>
              <w:rPr>
                <w:b/>
                <w:strike/>
                <w:highlight w:val="yellow"/>
              </w:rPr>
            </w:pPr>
            <w:r w:rsidRPr="001B7264">
              <w:rPr>
                <w:b/>
                <w:strike/>
                <w:highlight w:val="yellow"/>
              </w:rPr>
              <w:t>AB12 3</w:t>
            </w:r>
          </w:p>
        </w:tc>
        <w:tc>
          <w:tcPr>
            <w:tcW w:w="1500" w:type="dxa"/>
            <w:shd w:val="clear" w:color="auto" w:fill="auto"/>
            <w:noWrap/>
            <w:vAlign w:val="bottom"/>
            <w:hideMark/>
          </w:tcPr>
          <w:p w14:paraId="70280150" w14:textId="77777777" w:rsidR="00F7779C" w:rsidRPr="001B7264" w:rsidRDefault="00F7779C" w:rsidP="008E617F">
            <w:pPr>
              <w:widowControl/>
              <w:spacing w:before="0" w:after="0"/>
              <w:jc w:val="right"/>
              <w:rPr>
                <w:b/>
                <w:strike/>
                <w:highlight w:val="yellow"/>
              </w:rPr>
            </w:pPr>
            <w:r w:rsidRPr="001B7264">
              <w:rPr>
                <w:b/>
                <w:strike/>
                <w:highlight w:val="yellow"/>
              </w:rPr>
              <w:t>981</w:t>
            </w:r>
          </w:p>
        </w:tc>
      </w:tr>
      <w:tr w:rsidR="00F7779C" w:rsidRPr="00E57AC9" w14:paraId="25B7B2EC" w14:textId="77777777" w:rsidTr="008E617F">
        <w:trPr>
          <w:trHeight w:val="285"/>
        </w:trPr>
        <w:tc>
          <w:tcPr>
            <w:tcW w:w="1256" w:type="dxa"/>
            <w:shd w:val="clear" w:color="auto" w:fill="auto"/>
            <w:noWrap/>
            <w:vAlign w:val="bottom"/>
            <w:hideMark/>
          </w:tcPr>
          <w:p w14:paraId="7EA8426A" w14:textId="77777777" w:rsidR="00F7779C" w:rsidRPr="00E57AC9" w:rsidRDefault="00F7779C" w:rsidP="008E617F">
            <w:pPr>
              <w:widowControl/>
              <w:spacing w:before="0" w:after="0"/>
            </w:pPr>
            <w:r>
              <w:t>AB</w:t>
            </w:r>
            <w:r w:rsidRPr="00E57AC9">
              <w:t>12 4</w:t>
            </w:r>
          </w:p>
        </w:tc>
        <w:tc>
          <w:tcPr>
            <w:tcW w:w="1500" w:type="dxa"/>
            <w:shd w:val="clear" w:color="auto" w:fill="auto"/>
            <w:noWrap/>
            <w:vAlign w:val="bottom"/>
            <w:hideMark/>
          </w:tcPr>
          <w:p w14:paraId="1808D3F2" w14:textId="77777777" w:rsidR="00F7779C" w:rsidRPr="00E57AC9" w:rsidRDefault="00F7779C" w:rsidP="008E617F">
            <w:pPr>
              <w:widowControl/>
              <w:spacing w:before="0" w:after="0"/>
              <w:jc w:val="right"/>
            </w:pPr>
            <w:r w:rsidRPr="00E57AC9">
              <w:t>5632</w:t>
            </w:r>
          </w:p>
        </w:tc>
      </w:tr>
      <w:tr w:rsidR="00F7779C" w:rsidRPr="00E57AC9" w14:paraId="4A9B4B1C" w14:textId="77777777" w:rsidTr="008E617F">
        <w:trPr>
          <w:trHeight w:val="285"/>
        </w:trPr>
        <w:tc>
          <w:tcPr>
            <w:tcW w:w="1256" w:type="dxa"/>
            <w:shd w:val="clear" w:color="auto" w:fill="auto"/>
            <w:noWrap/>
            <w:vAlign w:val="bottom"/>
            <w:hideMark/>
          </w:tcPr>
          <w:p w14:paraId="1357D091" w14:textId="77777777" w:rsidR="00F7779C" w:rsidRPr="00E57AC9" w:rsidRDefault="00F7779C" w:rsidP="008E617F">
            <w:pPr>
              <w:widowControl/>
              <w:spacing w:before="0" w:after="0"/>
            </w:pPr>
            <w:r>
              <w:t>AB</w:t>
            </w:r>
            <w:r w:rsidRPr="00E57AC9">
              <w:t>12 5</w:t>
            </w:r>
          </w:p>
        </w:tc>
        <w:tc>
          <w:tcPr>
            <w:tcW w:w="1500" w:type="dxa"/>
            <w:shd w:val="clear" w:color="auto" w:fill="auto"/>
            <w:noWrap/>
            <w:vAlign w:val="bottom"/>
            <w:hideMark/>
          </w:tcPr>
          <w:p w14:paraId="2AE9136F" w14:textId="77777777" w:rsidR="00F7779C" w:rsidRPr="00E57AC9" w:rsidRDefault="00F7779C" w:rsidP="008E617F">
            <w:pPr>
              <w:widowControl/>
              <w:spacing w:before="0" w:after="0"/>
              <w:jc w:val="right"/>
            </w:pPr>
            <w:r w:rsidRPr="00E57AC9">
              <w:t>5799</w:t>
            </w:r>
          </w:p>
        </w:tc>
      </w:tr>
    </w:tbl>
    <w:p w14:paraId="429D5D72" w14:textId="77777777" w:rsidR="00F7779C" w:rsidRDefault="00F7779C" w:rsidP="00F7779C">
      <w:r>
        <w:t>Paragraph 17 of the Code refers to setting this at postcode district level instead. However in the interest of achieving the lowest possible level of spatial details consistent with the need for disclosure control, and to ensure consistency with the guidance given on merging ‘valuation bands’, we encourage local authorities to implement the above procedure.</w:t>
      </w:r>
    </w:p>
    <w:p w14:paraId="3FFA3D1B" w14:textId="77777777" w:rsidR="00F7779C" w:rsidRDefault="00F7779C">
      <w:pPr>
        <w:widowControl/>
        <w:spacing w:before="0" w:after="0"/>
        <w:rPr>
          <w:b/>
        </w:rPr>
      </w:pPr>
      <w:r>
        <w:rPr>
          <w:b/>
        </w:rPr>
        <w:br w:type="page"/>
      </w:r>
    </w:p>
    <w:p w14:paraId="2A16A3F3" w14:textId="6D646817" w:rsidR="00F7779C" w:rsidRDefault="00F7779C" w:rsidP="00F7779C">
      <w:pPr>
        <w:rPr>
          <w:b/>
        </w:rPr>
      </w:pPr>
      <w:r>
        <w:rPr>
          <w:b/>
        </w:rPr>
        <w:lastRenderedPageBreak/>
        <w:t>Valuation band range</w:t>
      </w:r>
    </w:p>
    <w:p w14:paraId="419C6A55" w14:textId="77777777" w:rsidR="00F7779C" w:rsidRDefault="00F7779C" w:rsidP="00F7779C">
      <w:r>
        <w:t>Under each postcode sector, social housing properties should be further grouped according to their value. Paragraph 40 of the Code sets out a number of valuation bands on which a local housing authority’s publication should be based. As a starting point, councils should present their data under the following valuation bands. The bands should be based on the Existing Use Value for Social Housing</w:t>
      </w:r>
      <w:r w:rsidDel="00BC4043">
        <w:t xml:space="preserve"> </w:t>
      </w:r>
      <w:r>
        <w:t>(EUV-SH)</w:t>
      </w:r>
      <w:r>
        <w:rPr>
          <w:rStyle w:val="FootnoteReference"/>
        </w:rPr>
        <w:footnoteReference w:id="16"/>
      </w:r>
      <w:r>
        <w:t>.</w:t>
      </w:r>
    </w:p>
    <w:tbl>
      <w:tblPr>
        <w:tblStyle w:val="TableGrid"/>
        <w:tblW w:w="0" w:type="auto"/>
        <w:tblLook w:val="04A0" w:firstRow="1" w:lastRow="0" w:firstColumn="1" w:lastColumn="0" w:noHBand="0" w:noVBand="1"/>
      </w:tblPr>
      <w:tblGrid>
        <w:gridCol w:w="5210"/>
        <w:gridCol w:w="5210"/>
      </w:tblGrid>
      <w:tr w:rsidR="00F7779C" w14:paraId="5D5EE5C4" w14:textId="77777777" w:rsidTr="008E617F">
        <w:tc>
          <w:tcPr>
            <w:tcW w:w="5210" w:type="dxa"/>
          </w:tcPr>
          <w:p w14:paraId="28A81C8B" w14:textId="77777777" w:rsidR="00F7779C" w:rsidRPr="00114674" w:rsidRDefault="00F7779C" w:rsidP="008E617F">
            <w:pPr>
              <w:spacing w:before="0" w:after="0"/>
              <w:rPr>
                <w:b/>
              </w:rPr>
            </w:pPr>
            <w:r w:rsidRPr="00114674">
              <w:rPr>
                <w:b/>
              </w:rPr>
              <w:t>Valuation band range</w:t>
            </w:r>
          </w:p>
        </w:tc>
        <w:tc>
          <w:tcPr>
            <w:tcW w:w="5210" w:type="dxa"/>
          </w:tcPr>
          <w:p w14:paraId="545BB5EB" w14:textId="77777777" w:rsidR="00F7779C" w:rsidRPr="00114674" w:rsidRDefault="00F7779C" w:rsidP="008E617F">
            <w:pPr>
              <w:spacing w:before="0" w:after="0"/>
              <w:rPr>
                <w:b/>
              </w:rPr>
            </w:pPr>
            <w:r w:rsidRPr="00114674">
              <w:rPr>
                <w:b/>
              </w:rPr>
              <w:t>Intervening bands valuation</w:t>
            </w:r>
          </w:p>
        </w:tc>
      </w:tr>
      <w:tr w:rsidR="00F7779C" w14:paraId="64914B93" w14:textId="77777777" w:rsidTr="008E617F">
        <w:tc>
          <w:tcPr>
            <w:tcW w:w="5210" w:type="dxa"/>
          </w:tcPr>
          <w:p w14:paraId="1CA1718A" w14:textId="77777777" w:rsidR="00F7779C" w:rsidRDefault="00F7779C" w:rsidP="008E617F">
            <w:pPr>
              <w:spacing w:before="0" w:after="0"/>
            </w:pPr>
            <w:r>
              <w:t>Less than £50,000-£99,000</w:t>
            </w:r>
          </w:p>
        </w:tc>
        <w:tc>
          <w:tcPr>
            <w:tcW w:w="5210" w:type="dxa"/>
          </w:tcPr>
          <w:p w14:paraId="788D6CBB" w14:textId="77777777" w:rsidR="00F7779C" w:rsidRDefault="00F7779C" w:rsidP="008E617F">
            <w:pPr>
              <w:spacing w:before="0" w:after="0"/>
            </w:pPr>
            <w:r>
              <w:t>Six bands of £10,000</w:t>
            </w:r>
          </w:p>
        </w:tc>
      </w:tr>
      <w:tr w:rsidR="00F7779C" w14:paraId="7D5DC1B8" w14:textId="77777777" w:rsidTr="008E617F">
        <w:tc>
          <w:tcPr>
            <w:tcW w:w="5210" w:type="dxa"/>
          </w:tcPr>
          <w:p w14:paraId="350D3A2B" w14:textId="77777777" w:rsidR="00F7779C" w:rsidRDefault="00F7779C" w:rsidP="008E617F">
            <w:pPr>
              <w:spacing w:before="0" w:after="0"/>
            </w:pPr>
            <w:r>
              <w:t>£100,000-£299,999</w:t>
            </w:r>
          </w:p>
        </w:tc>
        <w:tc>
          <w:tcPr>
            <w:tcW w:w="5210" w:type="dxa"/>
          </w:tcPr>
          <w:p w14:paraId="577D4F73" w14:textId="77777777" w:rsidR="00F7779C" w:rsidRDefault="00F7779C" w:rsidP="008E617F">
            <w:pPr>
              <w:spacing w:before="0" w:after="0"/>
            </w:pPr>
            <w:r>
              <w:t>Ten bands of £20,000</w:t>
            </w:r>
          </w:p>
        </w:tc>
      </w:tr>
      <w:tr w:rsidR="00F7779C" w14:paraId="208AC409" w14:textId="77777777" w:rsidTr="008E617F">
        <w:tc>
          <w:tcPr>
            <w:tcW w:w="5210" w:type="dxa"/>
          </w:tcPr>
          <w:p w14:paraId="10DDB2F9" w14:textId="77777777" w:rsidR="00F7779C" w:rsidRDefault="00F7779C" w:rsidP="008E617F">
            <w:pPr>
              <w:spacing w:before="0" w:after="0"/>
            </w:pPr>
            <w:r>
              <w:t>£300,000-£499,999</w:t>
            </w:r>
          </w:p>
        </w:tc>
        <w:tc>
          <w:tcPr>
            <w:tcW w:w="5210" w:type="dxa"/>
          </w:tcPr>
          <w:p w14:paraId="2427A8FD" w14:textId="77777777" w:rsidR="00F7779C" w:rsidRDefault="00F7779C" w:rsidP="008E617F">
            <w:pPr>
              <w:spacing w:before="0" w:after="0"/>
            </w:pPr>
            <w:r>
              <w:t>Four bands of £50,000</w:t>
            </w:r>
          </w:p>
        </w:tc>
      </w:tr>
      <w:tr w:rsidR="00F7779C" w14:paraId="039CF178" w14:textId="77777777" w:rsidTr="008E617F">
        <w:tc>
          <w:tcPr>
            <w:tcW w:w="5210" w:type="dxa"/>
          </w:tcPr>
          <w:p w14:paraId="068F43BF" w14:textId="77777777" w:rsidR="00F7779C" w:rsidRDefault="00F7779C" w:rsidP="008E617F">
            <w:pPr>
              <w:spacing w:before="0" w:after="0"/>
            </w:pPr>
            <w:r>
              <w:t>£500,000-£999,999</w:t>
            </w:r>
          </w:p>
        </w:tc>
        <w:tc>
          <w:tcPr>
            <w:tcW w:w="5210" w:type="dxa"/>
          </w:tcPr>
          <w:p w14:paraId="4126ABE3" w14:textId="77777777" w:rsidR="00F7779C" w:rsidRDefault="00F7779C" w:rsidP="008E617F">
            <w:pPr>
              <w:spacing w:before="0" w:after="0"/>
            </w:pPr>
            <w:r>
              <w:t>Five bands of £100,000</w:t>
            </w:r>
          </w:p>
        </w:tc>
      </w:tr>
      <w:tr w:rsidR="00F7779C" w14:paraId="74539E15" w14:textId="77777777" w:rsidTr="008E617F">
        <w:tc>
          <w:tcPr>
            <w:tcW w:w="5210" w:type="dxa"/>
          </w:tcPr>
          <w:p w14:paraId="36E83F71" w14:textId="77777777" w:rsidR="00F7779C" w:rsidRDefault="00F7779C" w:rsidP="008E617F">
            <w:pPr>
              <w:spacing w:before="0" w:after="0"/>
            </w:pPr>
            <w:r>
              <w:t>£1,000,000-£2,999,999 and higher</w:t>
            </w:r>
          </w:p>
        </w:tc>
        <w:tc>
          <w:tcPr>
            <w:tcW w:w="5210" w:type="dxa"/>
          </w:tcPr>
          <w:p w14:paraId="06D6AA65" w14:textId="77777777" w:rsidR="00F7779C" w:rsidRDefault="00F7779C" w:rsidP="008E617F">
            <w:pPr>
              <w:spacing w:before="0" w:after="0"/>
            </w:pPr>
            <w:r>
              <w:t>Five bands of £500,000</w:t>
            </w:r>
          </w:p>
        </w:tc>
      </w:tr>
    </w:tbl>
    <w:p w14:paraId="46E49113" w14:textId="77777777" w:rsidR="00F7779C" w:rsidRDefault="00F7779C" w:rsidP="00F7779C">
      <w:r>
        <w:t>Within each intervening valuation band, local authorities should check that there are never fewer than 10 occupied social housing properties. This is in order to mitigate the risk of identifying individual dwelling values. Paragraph 18 of the Code prescribes the steps that should be taken should this be the case and we have clarified this further below:</w:t>
      </w:r>
    </w:p>
    <w:p w14:paraId="499E7313" w14:textId="77777777" w:rsidR="00F7779C" w:rsidRPr="00AD4F45" w:rsidRDefault="00F7779C" w:rsidP="00F7779C">
      <w:pPr>
        <w:pStyle w:val="ListParagraph"/>
        <w:numPr>
          <w:ilvl w:val="0"/>
          <w:numId w:val="55"/>
        </w:numPr>
        <w:rPr>
          <w:sz w:val="23"/>
          <w:szCs w:val="23"/>
        </w:rPr>
      </w:pPr>
      <w:r>
        <w:t>(</w:t>
      </w:r>
      <w:proofErr w:type="spellStart"/>
      <w:r>
        <w:t>i</w:t>
      </w:r>
      <w:proofErr w:type="spellEnd"/>
      <w:r>
        <w:t>)</w:t>
      </w:r>
      <w:r w:rsidRPr="00C464C9">
        <w:t xml:space="preserve"> – for any given postcode sector</w:t>
      </w:r>
      <w:r>
        <w:t>,</w:t>
      </w:r>
      <w:r w:rsidRPr="00C464C9">
        <w:t xml:space="preserve"> where the number of occupied social housing properties in any </w:t>
      </w:r>
      <w:r>
        <w:t xml:space="preserve">intervening </w:t>
      </w:r>
      <w:r w:rsidRPr="00C464C9">
        <w:t xml:space="preserve">valuation band is less than a threshold of 10, authorities should merge that particular </w:t>
      </w:r>
      <w:r>
        <w:t xml:space="preserve">band </w:t>
      </w:r>
      <w:r w:rsidRPr="00C464C9">
        <w:t xml:space="preserve">with the next lowest </w:t>
      </w:r>
      <w:r>
        <w:t xml:space="preserve">intervening </w:t>
      </w:r>
      <w:r w:rsidRPr="00C464C9">
        <w:t>valuation band</w:t>
      </w:r>
      <w:r>
        <w:t xml:space="preserve"> within the same valuation band range</w:t>
      </w:r>
      <w:r w:rsidRPr="00C464C9">
        <w:t xml:space="preserve">, and so on until the resultant merged cells contain at least 10 occupied social housing properties. </w:t>
      </w:r>
    </w:p>
    <w:p w14:paraId="5EB16C54" w14:textId="77777777" w:rsidR="00F7779C" w:rsidRPr="00AD4F45" w:rsidRDefault="00F7779C" w:rsidP="00F7779C">
      <w:pPr>
        <w:pStyle w:val="ListParagraph"/>
        <w:rPr>
          <w:sz w:val="23"/>
          <w:szCs w:val="23"/>
        </w:rPr>
      </w:pPr>
    </w:p>
    <w:p w14:paraId="5795B6D8" w14:textId="77777777" w:rsidR="00F7779C" w:rsidRPr="00AD4F45" w:rsidRDefault="00F7779C" w:rsidP="00F7779C">
      <w:pPr>
        <w:pStyle w:val="ListParagraph"/>
        <w:numPr>
          <w:ilvl w:val="0"/>
          <w:numId w:val="55"/>
        </w:numPr>
        <w:rPr>
          <w:sz w:val="23"/>
          <w:szCs w:val="23"/>
        </w:rPr>
      </w:pPr>
      <w:r>
        <w:t>(ii) – if, after following the process described in (</w:t>
      </w:r>
      <w:proofErr w:type="spellStart"/>
      <w:r>
        <w:t>i</w:t>
      </w:r>
      <w:proofErr w:type="spellEnd"/>
      <w:r>
        <w:t xml:space="preserve">), there is only one band left in a particular valuation band range and the number of occupied </w:t>
      </w:r>
      <w:r w:rsidRPr="006346D3">
        <w:rPr>
          <w:color w:val="auto"/>
        </w:rPr>
        <w:t>social housing dwellings is still less than 10, then the data in those merged intervening bands should be further merged with the data in the next closest intervening band (which would be in the next lowest valuation band range if there is one, or the next highest valuation band range if there is not).</w:t>
      </w:r>
    </w:p>
    <w:p w14:paraId="25945EA0" w14:textId="77777777" w:rsidR="00F7779C" w:rsidRPr="00AD4F45" w:rsidRDefault="00F7779C" w:rsidP="00F7779C">
      <w:pPr>
        <w:rPr>
          <w:i/>
          <w:sz w:val="23"/>
          <w:szCs w:val="23"/>
        </w:rPr>
      </w:pPr>
      <w:r w:rsidRPr="00AD4F45">
        <w:rPr>
          <w:i/>
        </w:rPr>
        <w:t xml:space="preserve">However, if steps </w:t>
      </w:r>
      <w:r>
        <w:rPr>
          <w:i/>
        </w:rPr>
        <w:t>(</w:t>
      </w:r>
      <w:proofErr w:type="spellStart"/>
      <w:r>
        <w:rPr>
          <w:i/>
        </w:rPr>
        <w:t>i</w:t>
      </w:r>
      <w:proofErr w:type="spellEnd"/>
      <w:r>
        <w:rPr>
          <w:i/>
        </w:rPr>
        <w:t xml:space="preserve">) and (ii) </w:t>
      </w:r>
      <w:r w:rsidRPr="00AD4F45">
        <w:rPr>
          <w:i/>
          <w:color w:val="auto"/>
        </w:rPr>
        <w:t>still leaves the number of occupied social housing properties in any valuation band being less than a threshold of 10, authori</w:t>
      </w:r>
      <w:r w:rsidRPr="00AD4F45">
        <w:rPr>
          <w:i/>
        </w:rPr>
        <w:t xml:space="preserve">ties should then apply step </w:t>
      </w:r>
      <w:r>
        <w:rPr>
          <w:i/>
        </w:rPr>
        <w:t>(iii)</w:t>
      </w:r>
      <w:r w:rsidRPr="00AD4F45">
        <w:rPr>
          <w:i/>
        </w:rPr>
        <w:t>.</w:t>
      </w:r>
      <w:r w:rsidRPr="00AD4F45">
        <w:rPr>
          <w:i/>
          <w:sz w:val="23"/>
          <w:szCs w:val="23"/>
        </w:rPr>
        <w:t xml:space="preserve"> </w:t>
      </w:r>
    </w:p>
    <w:p w14:paraId="47FEF804" w14:textId="77777777" w:rsidR="00F7779C" w:rsidRDefault="00F7779C" w:rsidP="00F7779C">
      <w:pPr>
        <w:pStyle w:val="Default"/>
        <w:numPr>
          <w:ilvl w:val="0"/>
          <w:numId w:val="55"/>
        </w:numPr>
        <w:rPr>
          <w:sz w:val="23"/>
          <w:szCs w:val="23"/>
        </w:rPr>
      </w:pPr>
      <w:r>
        <w:rPr>
          <w:sz w:val="23"/>
          <w:szCs w:val="23"/>
        </w:rPr>
        <w:t>(iii)</w:t>
      </w:r>
      <w:r w:rsidRPr="00AD4F45">
        <w:rPr>
          <w:sz w:val="23"/>
          <w:szCs w:val="23"/>
        </w:rPr>
        <w:t xml:space="preserve"> – authorities should merge the original (non-merged) valuation data for the relevant postcode sector with the </w:t>
      </w:r>
      <w:r>
        <w:rPr>
          <w:sz w:val="23"/>
          <w:szCs w:val="23"/>
        </w:rPr>
        <w:t xml:space="preserve">non-merged </w:t>
      </w:r>
      <w:r w:rsidRPr="00AD4F45">
        <w:rPr>
          <w:sz w:val="23"/>
          <w:szCs w:val="23"/>
        </w:rPr>
        <w:t xml:space="preserve">valuation data </w:t>
      </w:r>
      <w:r>
        <w:rPr>
          <w:sz w:val="23"/>
          <w:szCs w:val="23"/>
        </w:rPr>
        <w:t>for</w:t>
      </w:r>
      <w:r w:rsidRPr="00AD4F45">
        <w:rPr>
          <w:sz w:val="23"/>
          <w:szCs w:val="23"/>
        </w:rPr>
        <w:t xml:space="preserve"> an adjoining postcode sector </w:t>
      </w:r>
      <w:r>
        <w:rPr>
          <w:sz w:val="23"/>
          <w:szCs w:val="23"/>
        </w:rPr>
        <w:t xml:space="preserve">that </w:t>
      </w:r>
      <w:r w:rsidRPr="00AD4F45">
        <w:rPr>
          <w:sz w:val="23"/>
          <w:szCs w:val="23"/>
        </w:rPr>
        <w:t>show</w:t>
      </w:r>
      <w:r>
        <w:rPr>
          <w:sz w:val="23"/>
          <w:szCs w:val="23"/>
        </w:rPr>
        <w:t>s</w:t>
      </w:r>
      <w:r w:rsidRPr="00AD4F45">
        <w:rPr>
          <w:sz w:val="23"/>
          <w:szCs w:val="23"/>
        </w:rPr>
        <w:t xml:space="preserve"> the lowest number of socially rented properties. Then </w:t>
      </w:r>
      <w:r>
        <w:rPr>
          <w:sz w:val="23"/>
          <w:szCs w:val="23"/>
        </w:rPr>
        <w:t>start the process again at</w:t>
      </w:r>
      <w:r w:rsidRPr="00AD4F45">
        <w:rPr>
          <w:sz w:val="23"/>
          <w:szCs w:val="23"/>
        </w:rPr>
        <w:t xml:space="preserve"> </w:t>
      </w:r>
      <w:r>
        <w:rPr>
          <w:sz w:val="23"/>
          <w:szCs w:val="23"/>
        </w:rPr>
        <w:t>s</w:t>
      </w:r>
      <w:r w:rsidRPr="00AD4F45">
        <w:rPr>
          <w:sz w:val="23"/>
          <w:szCs w:val="23"/>
        </w:rPr>
        <w:t xml:space="preserve">tep </w:t>
      </w:r>
      <w:r>
        <w:rPr>
          <w:sz w:val="23"/>
          <w:szCs w:val="23"/>
        </w:rPr>
        <w:t>(</w:t>
      </w:r>
      <w:proofErr w:type="spellStart"/>
      <w:r>
        <w:rPr>
          <w:sz w:val="23"/>
          <w:szCs w:val="23"/>
        </w:rPr>
        <w:t>i</w:t>
      </w:r>
      <w:proofErr w:type="spellEnd"/>
      <w:r>
        <w:rPr>
          <w:sz w:val="23"/>
          <w:szCs w:val="23"/>
        </w:rPr>
        <w:t>)</w:t>
      </w:r>
      <w:r w:rsidRPr="00AD4F45">
        <w:rPr>
          <w:sz w:val="23"/>
          <w:szCs w:val="23"/>
        </w:rPr>
        <w:t xml:space="preserve">. </w:t>
      </w:r>
    </w:p>
    <w:p w14:paraId="1B7D8DC4" w14:textId="77777777" w:rsidR="00F7779C" w:rsidRDefault="00F7779C" w:rsidP="00F7779C">
      <w:r>
        <w:t xml:space="preserve">In the table below, the number of occupied social housing dwellings is not at least 10 in any of the first six intervening bands. If all of the intervening bands within the &lt;£50,000 - £99,999 were merged the total number of dwellings would be nine – it still hasn’t reached the threshold of 10 occupied social housing dwellings. In this case it would have to be merged with the closest band from the next highest range making a single band containing 18 dwellings, and covering a range between &lt;£50,000 - £119,999. (If </w:t>
      </w:r>
      <w:r>
        <w:lastRenderedPageBreak/>
        <w:t>there were a band from a lower range available, that is the one that should be merged.) There is also band in the next highest range that contains fewer than 10 dwellings, and this would need to be merged with the next lowest band.</w:t>
      </w:r>
    </w:p>
    <w:p w14:paraId="3AB469A7" w14:textId="77777777" w:rsidR="00F7779C" w:rsidRPr="00AD4F45" w:rsidRDefault="00F7779C" w:rsidP="00F7779C">
      <w:r>
        <w:rPr>
          <w:noProof/>
        </w:rPr>
        <w:drawing>
          <wp:inline distT="0" distB="0" distL="0" distR="0" wp14:anchorId="259BDC69" wp14:editId="67635DB7">
            <wp:extent cx="4667250" cy="389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0" cy="3895725"/>
                    </a:xfrm>
                    <a:prstGeom prst="rect">
                      <a:avLst/>
                    </a:prstGeom>
                    <a:noFill/>
                    <a:ln>
                      <a:noFill/>
                    </a:ln>
                  </pic:spPr>
                </pic:pic>
              </a:graphicData>
            </a:graphic>
          </wp:inline>
        </w:drawing>
      </w:r>
    </w:p>
    <w:p w14:paraId="3645F027" w14:textId="6733CA5B" w:rsidR="00F7779C" w:rsidRPr="00AD4F45" w:rsidRDefault="00F7779C" w:rsidP="00F7779C">
      <w:pPr>
        <w:pStyle w:val="Default"/>
        <w:rPr>
          <w:noProof/>
          <w:sz w:val="23"/>
          <w:szCs w:val="23"/>
        </w:rPr>
      </w:pPr>
      <w:r w:rsidRPr="00637732">
        <w:t>The resulting table</w:t>
      </w:r>
      <w:r>
        <w:t xml:space="preserve"> containing these newly merged ranges and intervening bands is shown below</w:t>
      </w:r>
      <w:r w:rsidRPr="00637732">
        <w:t>.</w:t>
      </w:r>
    </w:p>
    <w:p w14:paraId="40B67825" w14:textId="48E6E5F1" w:rsidR="00F7779C" w:rsidRDefault="00F7779C" w:rsidP="00F7779C">
      <w:pPr>
        <w:rPr>
          <w:b/>
        </w:rPr>
      </w:pPr>
      <w:r>
        <w:rPr>
          <w:noProof/>
          <w:sz w:val="23"/>
          <w:szCs w:val="23"/>
        </w:rPr>
        <w:drawing>
          <wp:inline distT="0" distB="0" distL="0" distR="0" wp14:anchorId="5D102312" wp14:editId="4F1E3F2E">
            <wp:extent cx="4705350" cy="2628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05350" cy="2628900"/>
                    </a:xfrm>
                    <a:prstGeom prst="rect">
                      <a:avLst/>
                    </a:prstGeom>
                    <a:noFill/>
                    <a:ln>
                      <a:noFill/>
                    </a:ln>
                  </pic:spPr>
                </pic:pic>
              </a:graphicData>
            </a:graphic>
          </wp:inline>
        </w:drawing>
      </w:r>
    </w:p>
    <w:p w14:paraId="341AE2C2" w14:textId="77777777" w:rsidR="00F7779C" w:rsidRDefault="00F7779C" w:rsidP="00F7779C">
      <w:pPr>
        <w:rPr>
          <w:b/>
        </w:rPr>
      </w:pPr>
      <w:r>
        <w:rPr>
          <w:b/>
        </w:rPr>
        <w:t>Number and value of dwellings</w:t>
      </w:r>
    </w:p>
    <w:p w14:paraId="0679F71C" w14:textId="77777777" w:rsidR="00F7779C" w:rsidRDefault="00F7779C" w:rsidP="00F7779C">
      <w:r>
        <w:t>For each postcode sector and presented under each valuation band the following values are required:</w:t>
      </w:r>
    </w:p>
    <w:p w14:paraId="10099D5B" w14:textId="77777777" w:rsidR="00F7779C" w:rsidRDefault="00F7779C" w:rsidP="00F7779C">
      <w:pPr>
        <w:pStyle w:val="ListParagraph"/>
        <w:numPr>
          <w:ilvl w:val="0"/>
          <w:numId w:val="54"/>
        </w:numPr>
      </w:pPr>
      <w:r>
        <w:lastRenderedPageBreak/>
        <w:t>Total number of social housing dwellings</w:t>
      </w:r>
    </w:p>
    <w:p w14:paraId="5BE657AA" w14:textId="77777777" w:rsidR="00F7779C" w:rsidRDefault="00F7779C" w:rsidP="00F7779C">
      <w:pPr>
        <w:pStyle w:val="ListParagraph"/>
        <w:numPr>
          <w:ilvl w:val="0"/>
          <w:numId w:val="54"/>
        </w:numPr>
      </w:pPr>
      <w:r>
        <w:t>Total value of the dwellings within the band according to Existing Use Value for Social Housing (EUVSH)</w:t>
      </w:r>
    </w:p>
    <w:p w14:paraId="2EBE0A06" w14:textId="77777777" w:rsidR="00F7779C" w:rsidRDefault="00F7779C" w:rsidP="00F7779C">
      <w:pPr>
        <w:pStyle w:val="ListParagraph"/>
        <w:numPr>
          <w:ilvl w:val="0"/>
          <w:numId w:val="54"/>
        </w:numPr>
      </w:pPr>
      <w:r>
        <w:t>Average value of dwellings within the band according to EUVSH</w:t>
      </w:r>
    </w:p>
    <w:p w14:paraId="4B9345EC" w14:textId="77777777" w:rsidR="00F7779C" w:rsidRDefault="00F7779C" w:rsidP="00F7779C">
      <w:pPr>
        <w:pStyle w:val="ListParagraph"/>
        <w:numPr>
          <w:ilvl w:val="0"/>
          <w:numId w:val="54"/>
        </w:numPr>
      </w:pPr>
      <w:r>
        <w:t>Total market value of dwellings within the band</w:t>
      </w:r>
    </w:p>
    <w:p w14:paraId="6BEE3BFC" w14:textId="77777777" w:rsidR="00F7779C" w:rsidRDefault="00F7779C" w:rsidP="00F7779C">
      <w:pPr>
        <w:pStyle w:val="ListParagraph"/>
        <w:numPr>
          <w:ilvl w:val="0"/>
          <w:numId w:val="54"/>
        </w:numPr>
      </w:pPr>
      <w:r>
        <w:t>Average market value of dwellings within the band</w:t>
      </w:r>
    </w:p>
    <w:p w14:paraId="2D8016CD" w14:textId="77777777" w:rsidR="00F7779C" w:rsidRDefault="00F7779C" w:rsidP="00F7779C">
      <w:pPr>
        <w:pStyle w:val="ListParagraph"/>
        <w:numPr>
          <w:ilvl w:val="0"/>
          <w:numId w:val="54"/>
        </w:numPr>
      </w:pPr>
      <w:r>
        <w:t>The percentage of the dwellings that are occupied and the percentage that are vacant</w:t>
      </w:r>
    </w:p>
    <w:p w14:paraId="25F791AA" w14:textId="77777777" w:rsidR="00F7779C" w:rsidRDefault="00F7779C" w:rsidP="00F7779C">
      <w:r>
        <w:t xml:space="preserve">A template for publishing the social housing asset values is provided in the Annex. </w:t>
      </w:r>
    </w:p>
    <w:p w14:paraId="75E8350A" w14:textId="509D18E7" w:rsidR="00FB0BFC" w:rsidRDefault="00FB0BFC" w:rsidP="00114674">
      <w:pPr>
        <w:pStyle w:val="ListParagraph"/>
        <w:numPr>
          <w:ilvl w:val="0"/>
          <w:numId w:val="54"/>
        </w:numPr>
      </w:pPr>
      <w:r>
        <w:br w:type="page"/>
      </w:r>
    </w:p>
    <w:p w14:paraId="5A11BBEB" w14:textId="007DD1D9" w:rsidR="00CB58A0" w:rsidRPr="008F2C7F" w:rsidRDefault="00CB58A0" w:rsidP="008F2C7F">
      <w:pPr>
        <w:pStyle w:val="Heading1"/>
      </w:pPr>
      <w:bookmarkStart w:id="17" w:name="_Toc421280175"/>
      <w:r w:rsidRPr="008F2C7F">
        <w:lastRenderedPageBreak/>
        <w:t>Parking</w:t>
      </w:r>
      <w:r w:rsidR="000D385B">
        <w:t xml:space="preserve"> </w:t>
      </w:r>
      <w:r w:rsidR="0080283A">
        <w:t>information</w:t>
      </w:r>
      <w:bookmarkEnd w:id="17"/>
    </w:p>
    <w:p w14:paraId="24B13E91" w14:textId="2E2483F3" w:rsidR="00F20CFA" w:rsidRPr="00F218E1" w:rsidRDefault="00F20CFA" w:rsidP="006A3468">
      <w:r w:rsidRPr="00F218E1">
        <w:t xml:space="preserve">The Transparency Code requires local authorities to publish information about parking accounts and parking spaces </w:t>
      </w:r>
      <w:r w:rsidR="000D385B" w:rsidRPr="00631708">
        <w:t xml:space="preserve">by 2 February 2015 and </w:t>
      </w:r>
      <w:r w:rsidR="005A2139">
        <w:t xml:space="preserve">thereafter </w:t>
      </w:r>
      <w:r w:rsidR="000D385B" w:rsidRPr="00631708">
        <w:t xml:space="preserve">at least </w:t>
      </w:r>
      <w:r w:rsidRPr="00F218E1">
        <w:t xml:space="preserve">on an annual basis. </w:t>
      </w:r>
    </w:p>
    <w:p w14:paraId="77D72D58" w14:textId="14F37578" w:rsidR="00B22EE0" w:rsidRPr="001E5267" w:rsidRDefault="00B22EE0" w:rsidP="006A3468">
      <w:pPr>
        <w:pStyle w:val="BodyText"/>
        <w:spacing w:line="240" w:lineRule="auto"/>
        <w:rPr>
          <w:b/>
          <w:sz w:val="24"/>
          <w:szCs w:val="24"/>
        </w:rPr>
      </w:pPr>
      <w:r w:rsidRPr="001E5267">
        <w:rPr>
          <w:b/>
          <w:sz w:val="24"/>
          <w:szCs w:val="24"/>
        </w:rPr>
        <w:t>Parking accounts</w:t>
      </w:r>
    </w:p>
    <w:p w14:paraId="14F87197" w14:textId="77777777" w:rsidR="00F20CFA" w:rsidRPr="00F218E1" w:rsidRDefault="00F20CFA" w:rsidP="006A3468">
      <w:r w:rsidRPr="00F218E1">
        <w:t>Local authorities must publish on their website, or place a link on their website to data published elsewhere:</w:t>
      </w:r>
    </w:p>
    <w:p w14:paraId="1292818B" w14:textId="535E0AAA" w:rsidR="00AB0F96" w:rsidRDefault="00AB0F96" w:rsidP="00AB0F96">
      <w:pPr>
        <w:widowControl/>
        <w:numPr>
          <w:ilvl w:val="0"/>
          <w:numId w:val="34"/>
        </w:numPr>
        <w:spacing w:before="0" w:after="120"/>
      </w:pPr>
      <w:proofErr w:type="gramStart"/>
      <w:r>
        <w:t>a</w:t>
      </w:r>
      <w:proofErr w:type="gramEnd"/>
      <w:r>
        <w:t xml:space="preserve"> breakdown of income and expenditure on the authority’s parking account</w:t>
      </w:r>
      <w:r w:rsidR="00A4784B">
        <w:t>.</w:t>
      </w:r>
      <w:r>
        <w:rPr>
          <w:vertAlign w:val="superscript"/>
        </w:rPr>
        <w:t xml:space="preserve"> </w:t>
      </w:r>
      <w:r>
        <w:t xml:space="preserve"> The breakdown of income must include details of revenue collected from on-street parking, off-street parking and Penalty Charge Notices, and</w:t>
      </w:r>
    </w:p>
    <w:p w14:paraId="19805F34" w14:textId="7B59069C" w:rsidR="00AB0F96" w:rsidRDefault="00AB0F96" w:rsidP="00AB0F96">
      <w:pPr>
        <w:widowControl/>
        <w:numPr>
          <w:ilvl w:val="0"/>
          <w:numId w:val="34"/>
        </w:numPr>
        <w:spacing w:before="0" w:after="0"/>
      </w:pPr>
      <w:proofErr w:type="gramStart"/>
      <w:r>
        <w:t>a</w:t>
      </w:r>
      <w:proofErr w:type="gramEnd"/>
      <w:r>
        <w:t xml:space="preserve"> breakdown of how the authority has spent a surplus on its parking account</w:t>
      </w:r>
      <w:r>
        <w:rPr>
          <w:rStyle w:val="FootnoteReference"/>
        </w:rPr>
        <w:footnoteReference w:id="17"/>
      </w:r>
      <w:r>
        <w:t>.</w:t>
      </w:r>
    </w:p>
    <w:p w14:paraId="4DD5871D" w14:textId="2C335F54" w:rsidR="00F20CFA" w:rsidRDefault="00AB0F96" w:rsidP="006A3468">
      <w:r>
        <w:t>L</w:t>
      </w:r>
      <w:r w:rsidR="00F20CFA" w:rsidRPr="00F218E1">
        <w:t>ocal authorities</w:t>
      </w:r>
      <w:r>
        <w:t xml:space="preserve"> </w:t>
      </w:r>
      <w:r w:rsidR="00F20CFA" w:rsidRPr="00F218E1">
        <w:t xml:space="preserve">are required to publish their parking account </w:t>
      </w:r>
      <w:r w:rsidR="00417576">
        <w:t xml:space="preserve">in accordance with </w:t>
      </w:r>
      <w:r w:rsidR="00115D33" w:rsidRPr="00F218E1">
        <w:t>S</w:t>
      </w:r>
      <w:r w:rsidR="00F20CFA" w:rsidRPr="00F218E1">
        <w:t>ection 55 of the Road Traffic Regulation Act 1984 as modified by Regulation 25 of the Civil Enforcement of Parking Contraventions (England) General Regulations 2007.</w:t>
      </w:r>
      <w:r w:rsidR="004E7F1D">
        <w:t xml:space="preserve"> </w:t>
      </w:r>
    </w:p>
    <w:p w14:paraId="07D0577E" w14:textId="6B8E46CF" w:rsidR="0012150E" w:rsidRPr="00F218E1" w:rsidRDefault="00417576" w:rsidP="0012150E">
      <w:r w:rsidRPr="00AF12DC">
        <w:t>The account includes all</w:t>
      </w:r>
      <w:r w:rsidRPr="006C40AD">
        <w:t xml:space="preserve"> income from </w:t>
      </w:r>
      <w:r w:rsidR="003316A5">
        <w:t xml:space="preserve">designated </w:t>
      </w:r>
      <w:r w:rsidRPr="00AF12DC">
        <w:t>on-</w:t>
      </w:r>
      <w:r w:rsidRPr="006C40AD">
        <w:t xml:space="preserve">street </w:t>
      </w:r>
      <w:r w:rsidR="003316A5">
        <w:t xml:space="preserve">parking and </w:t>
      </w:r>
      <w:r w:rsidRPr="00AF12DC">
        <w:t>enforcement activities</w:t>
      </w:r>
      <w:r w:rsidR="00C334A8">
        <w:t xml:space="preserve"> </w:t>
      </w:r>
      <w:r w:rsidR="006D3EA5">
        <w:t xml:space="preserve">from </w:t>
      </w:r>
      <w:r w:rsidR="00C334A8">
        <w:t>on-street and designated off-street parking</w:t>
      </w:r>
      <w:r w:rsidR="004E7F1D" w:rsidRPr="00AF12DC">
        <w:t xml:space="preserve">. </w:t>
      </w:r>
      <w:r w:rsidR="0012150E" w:rsidRPr="00F218E1">
        <w:t xml:space="preserve">Expenditure includes </w:t>
      </w:r>
      <w:r w:rsidR="0012150E" w:rsidRPr="00F218E1">
        <w:rPr>
          <w:rStyle w:val="legds2"/>
          <w:lang w:val="en"/>
          <w:specVanish w:val="0"/>
        </w:rPr>
        <w:t>cost for the provision and maintenance of designated parking places by the local authority</w:t>
      </w:r>
      <w:r w:rsidR="0012150E">
        <w:rPr>
          <w:rStyle w:val="legds2"/>
          <w:lang w:val="en"/>
          <w:specVanish w:val="0"/>
        </w:rPr>
        <w:t xml:space="preserve"> and enforcement activities</w:t>
      </w:r>
      <w:r w:rsidR="0012150E" w:rsidRPr="00F218E1">
        <w:rPr>
          <w:rStyle w:val="legds2"/>
          <w:lang w:val="en"/>
          <w:specVanish w:val="0"/>
        </w:rPr>
        <w:t>.</w:t>
      </w:r>
      <w:r w:rsidR="003316A5">
        <w:rPr>
          <w:rStyle w:val="legds2"/>
          <w:lang w:val="en"/>
          <w:specVanish w:val="0"/>
        </w:rPr>
        <w:t xml:space="preserve"> Further details are provided in the </w:t>
      </w:r>
      <w:r w:rsidR="00B31000">
        <w:rPr>
          <w:rStyle w:val="legds2"/>
          <w:lang w:val="en"/>
          <w:specVanish w:val="0"/>
        </w:rPr>
        <w:t xml:space="preserve">statutory and the </w:t>
      </w:r>
      <w:r w:rsidR="00A4784B">
        <w:rPr>
          <w:rStyle w:val="legds2"/>
          <w:lang w:val="en"/>
          <w:specVanish w:val="0"/>
        </w:rPr>
        <w:t>operational guidance for parking policy and enforcement</w:t>
      </w:r>
      <w:r w:rsidR="00A4784B">
        <w:rPr>
          <w:rStyle w:val="FootnoteReference"/>
        </w:rPr>
        <w:footnoteReference w:id="18"/>
      </w:r>
      <w:r w:rsidR="00A4784B">
        <w:rPr>
          <w:rStyle w:val="legds2"/>
          <w:lang w:val="en"/>
          <w:specVanish w:val="0"/>
        </w:rPr>
        <w:t xml:space="preserve"> and in the f</w:t>
      </w:r>
      <w:r w:rsidR="003316A5">
        <w:rPr>
          <w:rStyle w:val="legds2"/>
          <w:lang w:val="en"/>
          <w:specVanish w:val="0"/>
        </w:rPr>
        <w:t xml:space="preserve">requently </w:t>
      </w:r>
      <w:r w:rsidR="00C334A8">
        <w:rPr>
          <w:rStyle w:val="legds2"/>
          <w:lang w:val="en"/>
          <w:specVanish w:val="0"/>
        </w:rPr>
        <w:t>a</w:t>
      </w:r>
      <w:r w:rsidR="003316A5">
        <w:rPr>
          <w:rStyle w:val="legds2"/>
          <w:lang w:val="en"/>
          <w:specVanish w:val="0"/>
        </w:rPr>
        <w:t xml:space="preserve">sked </w:t>
      </w:r>
      <w:r w:rsidR="00A4784B">
        <w:rPr>
          <w:rStyle w:val="legds2"/>
          <w:lang w:val="en"/>
          <w:specVanish w:val="0"/>
        </w:rPr>
        <w:t>q</w:t>
      </w:r>
      <w:r w:rsidR="003316A5">
        <w:rPr>
          <w:rStyle w:val="legds2"/>
          <w:lang w:val="en"/>
          <w:specVanish w:val="0"/>
        </w:rPr>
        <w:t>uestions 94 to 97</w:t>
      </w:r>
      <w:r w:rsidR="003316A5">
        <w:rPr>
          <w:rStyle w:val="FootnoteReference"/>
          <w:lang w:val="en"/>
        </w:rPr>
        <w:footnoteReference w:id="19"/>
      </w:r>
      <w:r w:rsidR="003316A5">
        <w:rPr>
          <w:rStyle w:val="legds2"/>
          <w:lang w:val="en"/>
          <w:specVanish w:val="0"/>
        </w:rPr>
        <w:t xml:space="preserve"> </w:t>
      </w:r>
      <w:r w:rsidR="00A4784B">
        <w:rPr>
          <w:rStyle w:val="legds2"/>
          <w:lang w:val="en"/>
          <w:specVanish w:val="0"/>
        </w:rPr>
        <w:t>which accompany the Code</w:t>
      </w:r>
      <w:r w:rsidR="003316A5">
        <w:rPr>
          <w:rStyle w:val="legds2"/>
          <w:lang w:val="en"/>
          <w:specVanish w:val="0"/>
        </w:rPr>
        <w:t xml:space="preserve">. </w:t>
      </w:r>
    </w:p>
    <w:p w14:paraId="6D46C91A" w14:textId="389123E6" w:rsidR="00A4784B" w:rsidRPr="00F218E1" w:rsidRDefault="00A4784B" w:rsidP="00A4784B">
      <w:r w:rsidRPr="00F218E1">
        <w:t>Local authorities should break</w:t>
      </w:r>
      <w:r w:rsidR="006D3EA5">
        <w:t xml:space="preserve"> </w:t>
      </w:r>
      <w:r w:rsidRPr="00F218E1">
        <w:t xml:space="preserve">down how they have spent a surplus on their parking account </w:t>
      </w:r>
      <w:r>
        <w:t xml:space="preserve">as specified in section 55 of the </w:t>
      </w:r>
      <w:r w:rsidRPr="00F218E1">
        <w:t xml:space="preserve">Road Traffic Regulation Act 1984, as amended from October 2004 by Section 95 of the Traffic Management Act </w:t>
      </w:r>
      <w:proofErr w:type="gramStart"/>
      <w:r w:rsidRPr="00F218E1">
        <w:t>2004</w:t>
      </w:r>
      <w:r>
        <w:t xml:space="preserve"> </w:t>
      </w:r>
      <w:r w:rsidRPr="00F218E1">
        <w:t>.</w:t>
      </w:r>
      <w:proofErr w:type="gramEnd"/>
    </w:p>
    <w:p w14:paraId="23EB3111" w14:textId="0AF6EE01" w:rsidR="008F1A9A" w:rsidRPr="00F218E1" w:rsidRDefault="00DB1B71" w:rsidP="006A3468">
      <w:r w:rsidRPr="00F218E1">
        <w:t>L</w:t>
      </w:r>
      <w:r w:rsidR="008F1A9A" w:rsidRPr="00F218E1">
        <w:t xml:space="preserve">ocal authorities that have a </w:t>
      </w:r>
      <w:r w:rsidR="00A4784B">
        <w:t xml:space="preserve">deficit only have to publish the income and expenditure of the parking account. </w:t>
      </w:r>
    </w:p>
    <w:p w14:paraId="271ED73E" w14:textId="743F6C4A" w:rsidR="00F20CFA" w:rsidRPr="001E5267" w:rsidRDefault="007D11E0" w:rsidP="006A3468">
      <w:pPr>
        <w:pStyle w:val="BodyText"/>
        <w:spacing w:line="240" w:lineRule="auto"/>
        <w:rPr>
          <w:b/>
          <w:sz w:val="24"/>
          <w:szCs w:val="24"/>
        </w:rPr>
      </w:pPr>
      <w:r w:rsidRPr="001E5267">
        <w:rPr>
          <w:b/>
          <w:sz w:val="24"/>
          <w:szCs w:val="24"/>
        </w:rPr>
        <w:t>P</w:t>
      </w:r>
      <w:r w:rsidR="00F20CFA" w:rsidRPr="001E5267">
        <w:rPr>
          <w:b/>
          <w:sz w:val="24"/>
          <w:szCs w:val="24"/>
        </w:rPr>
        <w:t>arking spaces</w:t>
      </w:r>
    </w:p>
    <w:p w14:paraId="65343C97" w14:textId="3C4B0923" w:rsidR="00F20CFA" w:rsidRPr="00F218E1" w:rsidRDefault="00B22EE0" w:rsidP="006A3468">
      <w:r w:rsidRPr="00F218E1">
        <w:t>Local authorities must publish</w:t>
      </w:r>
      <w:r w:rsidR="006F320F" w:rsidRPr="00F218E1">
        <w:t xml:space="preserve"> the n</w:t>
      </w:r>
      <w:r w:rsidR="0077786E" w:rsidRPr="00F218E1">
        <w:t xml:space="preserve">umber of </w:t>
      </w:r>
      <w:r w:rsidR="00F20CFA" w:rsidRPr="00F218E1">
        <w:t xml:space="preserve">marked out controlled on and off-street parking spaces within their area, or an estimate of the number of spaces where controlled parking space is not marked </w:t>
      </w:r>
      <w:r w:rsidR="00F20CFA" w:rsidRPr="00F218E1">
        <w:lastRenderedPageBreak/>
        <w:t>out in individual parking bays or spaces.</w:t>
      </w:r>
    </w:p>
    <w:p w14:paraId="11765654" w14:textId="77777777" w:rsidR="00631708" w:rsidRDefault="007D11E0" w:rsidP="006A3468">
      <w:r w:rsidRPr="00F218E1">
        <w:t xml:space="preserve">In addition the </w:t>
      </w:r>
      <w:r w:rsidR="00531855" w:rsidRPr="00F218E1">
        <w:t>Code</w:t>
      </w:r>
      <w:r w:rsidRPr="00F218E1">
        <w:t xml:space="preserve"> </w:t>
      </w:r>
      <w:r w:rsidR="00F20CFA" w:rsidRPr="00F218E1">
        <w:t>recommend</w:t>
      </w:r>
      <w:r w:rsidRPr="00F218E1">
        <w:t>s</w:t>
      </w:r>
      <w:r w:rsidR="00F20CFA" w:rsidRPr="00F218E1">
        <w:t xml:space="preserve"> that local authorities should publish</w:t>
      </w:r>
      <w:r w:rsidR="006F320F" w:rsidRPr="00F218E1">
        <w:t xml:space="preserve"> </w:t>
      </w:r>
    </w:p>
    <w:p w14:paraId="69E6DCC2" w14:textId="77777777" w:rsidR="00631708" w:rsidRDefault="00631708" w:rsidP="00A14F84">
      <w:pPr>
        <w:widowControl/>
        <w:numPr>
          <w:ilvl w:val="0"/>
          <w:numId w:val="29"/>
        </w:numPr>
        <w:spacing w:before="0" w:after="120"/>
        <w:ind w:left="714" w:hanging="357"/>
      </w:pPr>
      <w:r>
        <w:t>free parking spaces available in the local authority’s area and which are provided directly by the local authority, and</w:t>
      </w:r>
    </w:p>
    <w:p w14:paraId="58AFFEAD" w14:textId="77777777" w:rsidR="00631708" w:rsidRPr="00616D11" w:rsidRDefault="00631708" w:rsidP="00A14F84">
      <w:pPr>
        <w:widowControl/>
        <w:numPr>
          <w:ilvl w:val="0"/>
          <w:numId w:val="29"/>
        </w:numPr>
        <w:spacing w:before="0" w:after="0"/>
      </w:pPr>
      <w:proofErr w:type="gramStart"/>
      <w:r>
        <w:t>parking</w:t>
      </w:r>
      <w:proofErr w:type="gramEnd"/>
      <w:r>
        <w:t xml:space="preserve"> spaces where charges apply that are available in the local authority’s area and which are provided directly by the local authority.</w:t>
      </w:r>
    </w:p>
    <w:p w14:paraId="0DC8820E" w14:textId="77777777" w:rsidR="007959B2" w:rsidRDefault="007959B2" w:rsidP="00F218E1">
      <w:pPr>
        <w:widowControl/>
        <w:tabs>
          <w:tab w:val="num" w:pos="426"/>
        </w:tabs>
        <w:spacing w:before="0" w:after="0"/>
      </w:pPr>
    </w:p>
    <w:p w14:paraId="6E9D492D" w14:textId="1F97AB89" w:rsidR="0077786E" w:rsidRPr="00F218E1" w:rsidRDefault="00631708" w:rsidP="00F218E1">
      <w:pPr>
        <w:widowControl/>
        <w:tabs>
          <w:tab w:val="num" w:pos="426"/>
        </w:tabs>
        <w:spacing w:before="0" w:after="0"/>
      </w:pPr>
      <w:r>
        <w:t xml:space="preserve">Where parking space is not marked out in individual parking bays or spaces, local authorities should estimate the number of spaces </w:t>
      </w:r>
      <w:r w:rsidR="0077786E" w:rsidRPr="00F218E1">
        <w:t>where free parking space is not marked out in individual parking bays or spaces.</w:t>
      </w:r>
    </w:p>
    <w:p w14:paraId="4C3D5801" w14:textId="4C3F6D55" w:rsidR="00AB0F96" w:rsidRPr="0021222E" w:rsidRDefault="00AB0F96" w:rsidP="00AB0F96">
      <w:pPr>
        <w:pStyle w:val="Heading2"/>
      </w:pPr>
      <w:bookmarkStart w:id="18" w:name="_Toc421280176"/>
      <w:r w:rsidRPr="0021222E">
        <w:t xml:space="preserve">Contents of the </w:t>
      </w:r>
      <w:r>
        <w:t>parking</w:t>
      </w:r>
      <w:r w:rsidRPr="0021222E">
        <w:t xml:space="preserve"> </w:t>
      </w:r>
      <w:r w:rsidR="00570FE0">
        <w:t>data</w:t>
      </w:r>
      <w:bookmarkEnd w:id="18"/>
    </w:p>
    <w:p w14:paraId="7AAD2BF2" w14:textId="77777777" w:rsidR="00583EBE" w:rsidRDefault="00AB0F96" w:rsidP="00583EBE">
      <w:r w:rsidRPr="00F218E1">
        <w:rPr>
          <w:lang w:val="en"/>
        </w:rPr>
        <w:t xml:space="preserve">The LGA </w:t>
      </w:r>
      <w:r w:rsidRPr="00F218E1">
        <w:rPr>
          <w:rFonts w:eastAsia="Arial"/>
        </w:rPr>
        <w:t xml:space="preserve">recommends a common approach and format for publishing the content of </w:t>
      </w:r>
      <w:r>
        <w:rPr>
          <w:rFonts w:eastAsia="Arial"/>
        </w:rPr>
        <w:t>parking</w:t>
      </w:r>
      <w:r w:rsidRPr="00F218E1">
        <w:rPr>
          <w:rFonts w:eastAsia="Arial"/>
        </w:rPr>
        <w:t xml:space="preserve"> data to enable more straightforward sharing and analysis of data.</w:t>
      </w:r>
      <w:r>
        <w:rPr>
          <w:rFonts w:eastAsia="Arial"/>
        </w:rPr>
        <w:t xml:space="preserve"> We </w:t>
      </w:r>
      <w:r w:rsidR="00E9293B">
        <w:rPr>
          <w:rFonts w:eastAsia="Arial"/>
        </w:rPr>
        <w:t xml:space="preserve">therefore </w:t>
      </w:r>
      <w:r>
        <w:rPr>
          <w:rFonts w:eastAsia="Arial"/>
        </w:rPr>
        <w:t xml:space="preserve">advise </w:t>
      </w:r>
      <w:r w:rsidRPr="00F218E1">
        <w:rPr>
          <w:rFonts w:eastAsia="Arial"/>
        </w:rPr>
        <w:t xml:space="preserve">that the content of the published </w:t>
      </w:r>
      <w:r>
        <w:rPr>
          <w:rFonts w:eastAsia="Arial"/>
        </w:rPr>
        <w:t>parking</w:t>
      </w:r>
      <w:r w:rsidRPr="00F218E1">
        <w:rPr>
          <w:rFonts w:eastAsia="Arial"/>
        </w:rPr>
        <w:t xml:space="preserve"> data matches the format set out in the template provided in</w:t>
      </w:r>
      <w:r>
        <w:rPr>
          <w:rFonts w:eastAsia="Arial"/>
        </w:rPr>
        <w:t xml:space="preserve"> Annex I </w:t>
      </w:r>
      <w:r w:rsidRPr="00F218E1">
        <w:rPr>
          <w:rFonts w:eastAsia="Arial"/>
          <w:i/>
        </w:rPr>
        <w:t>/</w:t>
      </w:r>
      <w:r w:rsidR="00DC41B2">
        <w:rPr>
          <w:rFonts w:eastAsia="Arial"/>
          <w:i/>
        </w:rPr>
        <w:fldChar w:fldCharType="begin"/>
      </w:r>
      <w:r w:rsidR="00DC41B2">
        <w:rPr>
          <w:rFonts w:eastAsia="Arial"/>
          <w:i/>
        </w:rPr>
        <w:instrText xml:space="preserve"> REF parking \h  \* MERGEFORMAT </w:instrText>
      </w:r>
      <w:r w:rsidR="00DC41B2">
        <w:rPr>
          <w:rFonts w:eastAsia="Arial"/>
          <w:i/>
        </w:rPr>
      </w:r>
      <w:r w:rsidR="00DC41B2">
        <w:rPr>
          <w:rFonts w:eastAsia="Arial"/>
          <w:i/>
        </w:rPr>
        <w:fldChar w:fldCharType="separate"/>
      </w:r>
      <w:r w:rsidR="00583EBE">
        <w:t>Parking template</w:t>
      </w:r>
    </w:p>
    <w:p w14:paraId="28AB0EB0" w14:textId="240BA776" w:rsidR="00AB0F96" w:rsidRPr="00A269C9" w:rsidRDefault="00DC41B2" w:rsidP="00BC02B4">
      <w:pPr>
        <w:rPr>
          <w:rFonts w:ascii="Segoe UI" w:hAnsi="Segoe UI" w:cs="Segoe UI"/>
        </w:rPr>
      </w:pPr>
      <w:r>
        <w:rPr>
          <w:rFonts w:eastAsia="Arial"/>
          <w:i/>
        </w:rPr>
        <w:fldChar w:fldCharType="end"/>
      </w:r>
      <w:r w:rsidR="00AB0F96" w:rsidRPr="00A269C9">
        <w:rPr>
          <w:rFonts w:eastAsia="Arial"/>
        </w:rPr>
        <w:t xml:space="preserve">The data </w:t>
      </w:r>
      <w:r w:rsidR="00A269C9">
        <w:rPr>
          <w:rFonts w:eastAsia="Arial"/>
        </w:rPr>
        <w:t xml:space="preserve">in the template </w:t>
      </w:r>
      <w:r w:rsidR="00AB0F96" w:rsidRPr="00A269C9">
        <w:rPr>
          <w:rFonts w:eastAsia="Arial"/>
        </w:rPr>
        <w:t xml:space="preserve">should follow the sequence of </w:t>
      </w:r>
      <w:r w:rsidR="00830AE4">
        <w:rPr>
          <w:rFonts w:eastAsia="Arial"/>
        </w:rPr>
        <w:t>row</w:t>
      </w:r>
      <w:r w:rsidR="00AB0F96" w:rsidRPr="00A269C9">
        <w:rPr>
          <w:rFonts w:eastAsia="Arial"/>
        </w:rPr>
        <w:t xml:space="preserve">s suggested. Any additional fields that an authority wishes to publish should be added after the fields listed in the template. </w:t>
      </w:r>
    </w:p>
    <w:p w14:paraId="455F43CA" w14:textId="47D8D9DE" w:rsidR="00AB0F96" w:rsidRDefault="00AB0F96" w:rsidP="00AB0F96">
      <w:r>
        <w:rPr>
          <w:rFonts w:eastAsia="Arial"/>
        </w:rPr>
        <w:t xml:space="preserve">The data elements as used in the template are described below. </w:t>
      </w:r>
      <w:r>
        <w:t xml:space="preserve">Data fields that are mandated or recommended in the Code are marked accordingly. Fields that are added to make the data more meaningful when compared or combined are marked as optional. </w:t>
      </w:r>
      <w:r w:rsidR="00570FE0">
        <w:rPr>
          <w:rFonts w:eastAsia="Arial"/>
        </w:rPr>
        <w:t xml:space="preserve">Local authorities can delete </w:t>
      </w:r>
      <w:r w:rsidR="00830AE4">
        <w:rPr>
          <w:rFonts w:eastAsia="Arial"/>
        </w:rPr>
        <w:t>rows</w:t>
      </w:r>
      <w:r w:rsidR="00570FE0">
        <w:rPr>
          <w:rFonts w:eastAsia="Arial"/>
        </w:rPr>
        <w:t xml:space="preserve"> if they are not mandated and local authorities will not publish data for that field.</w:t>
      </w:r>
    </w:p>
    <w:p w14:paraId="7A6D2D48" w14:textId="74DE2658" w:rsidR="00DC41B2" w:rsidRDefault="00A4784B" w:rsidP="00AB0F96">
      <w:r>
        <w:t>Organisation</w:t>
      </w:r>
      <w:r w:rsidR="00DC41B2">
        <w:t xml:space="preserve"> </w:t>
      </w:r>
      <w:r w:rsidR="0080283A">
        <w:t>n</w:t>
      </w:r>
      <w:r w:rsidR="00DC41B2">
        <w:t xml:space="preserve">ame and </w:t>
      </w:r>
      <w:proofErr w:type="gramStart"/>
      <w:r w:rsidR="0080283A">
        <w:t>c</w:t>
      </w:r>
      <w:r w:rsidR="00DC41B2">
        <w:t xml:space="preserve">ode </w:t>
      </w:r>
      <w:r>
        <w:t xml:space="preserve"> (</w:t>
      </w:r>
      <w:proofErr w:type="gramEnd"/>
      <w:r>
        <w:t>optional)</w:t>
      </w:r>
    </w:p>
    <w:p w14:paraId="5B8B8A0E" w14:textId="081BAF92" w:rsidR="00E9293B" w:rsidRDefault="00E9293B" w:rsidP="00CF5082">
      <w:pPr>
        <w:ind w:left="720"/>
      </w:pPr>
      <w:r>
        <w:t>The organisation name and code is the unique name and identifier which refers to your organisation</w:t>
      </w:r>
      <w:r w:rsidR="005A32E5">
        <w:t>. Further information is available from the same</w:t>
      </w:r>
      <w:r>
        <w:t xml:space="preserve"> section</w:t>
      </w:r>
      <w:r w:rsidR="005A32E5">
        <w:t xml:space="preserve"> under </w:t>
      </w:r>
      <w:hyperlink w:anchor="organisation" w:history="1">
        <w:r w:rsidRPr="005A32E5">
          <w:rPr>
            <w:rStyle w:val="Hyperlink"/>
            <w:rFonts w:cs="Arial"/>
          </w:rPr>
          <w:t>land asset</w:t>
        </w:r>
      </w:hyperlink>
      <w:r>
        <w:t xml:space="preserve"> . </w:t>
      </w:r>
    </w:p>
    <w:p w14:paraId="78A91B60" w14:textId="3EE231C4" w:rsidR="00570FE0" w:rsidRDefault="00EF574B" w:rsidP="00570FE0">
      <w:r>
        <w:t xml:space="preserve">Effective </w:t>
      </w:r>
      <w:r w:rsidR="00570FE0">
        <w:t>Date (optional)</w:t>
      </w:r>
    </w:p>
    <w:p w14:paraId="3F3CAB38" w14:textId="59DA44CF" w:rsidR="00EF574B" w:rsidRPr="00A439C4" w:rsidRDefault="00EF574B" w:rsidP="004B0CC1">
      <w:pPr>
        <w:ind w:left="720"/>
        <w:rPr>
          <w:rFonts w:eastAsia="Arial"/>
          <w:bCs/>
        </w:rPr>
      </w:pPr>
      <w:r>
        <w:rPr>
          <w:rFonts w:eastAsia="Arial"/>
          <w:bCs/>
        </w:rPr>
        <w:t xml:space="preserve">Effective date is </w:t>
      </w:r>
      <w:r>
        <w:rPr>
          <w:shd w:val="clear" w:color="auto" w:fill="FFFFFF"/>
        </w:rPr>
        <w:t xml:space="preserve">the end date of the accounting period for the data. For example, the effective data would be the </w:t>
      </w:r>
      <w:r w:rsidR="00D12EB9">
        <w:rPr>
          <w:shd w:val="clear" w:color="auto" w:fill="FFFFFF"/>
        </w:rPr>
        <w:t>31/12</w:t>
      </w:r>
      <w:r>
        <w:rPr>
          <w:shd w:val="clear" w:color="auto" w:fill="FFFFFF"/>
        </w:rPr>
        <w:t>/2014 for a</w:t>
      </w:r>
      <w:r w:rsidR="00D12EB9">
        <w:rPr>
          <w:shd w:val="clear" w:color="auto" w:fill="FFFFFF"/>
        </w:rPr>
        <w:t>n annual</w:t>
      </w:r>
      <w:r>
        <w:rPr>
          <w:shd w:val="clear" w:color="auto" w:fill="FFFFFF"/>
        </w:rPr>
        <w:t xml:space="preserve"> reporting period </w:t>
      </w:r>
      <w:r w:rsidR="00D12EB9">
        <w:rPr>
          <w:shd w:val="clear" w:color="auto" w:fill="FFFFFF"/>
        </w:rPr>
        <w:t xml:space="preserve">ending at the end of </w:t>
      </w:r>
      <w:r>
        <w:rPr>
          <w:shd w:val="clear" w:color="auto" w:fill="FFFFFF"/>
        </w:rPr>
        <w:t>December.</w:t>
      </w:r>
      <w:r>
        <w:rPr>
          <w:rFonts w:eastAsia="Arial"/>
          <w:bCs/>
        </w:rPr>
        <w:t xml:space="preserve"> This enables users of the data to identify for which period the data apply.  </w:t>
      </w:r>
    </w:p>
    <w:p w14:paraId="0CCAABE5" w14:textId="389F59D1" w:rsidR="00B8174C" w:rsidRDefault="00B8174C" w:rsidP="00CF5082">
      <w:pPr>
        <w:widowControl/>
        <w:autoSpaceDE w:val="0"/>
        <w:autoSpaceDN w:val="0"/>
        <w:adjustRightInd w:val="0"/>
        <w:spacing w:before="0" w:after="0"/>
      </w:pPr>
      <w:r>
        <w:t>On</w:t>
      </w:r>
      <w:r w:rsidR="0080283A">
        <w:t>-</w:t>
      </w:r>
      <w:r>
        <w:t>street parking income</w:t>
      </w:r>
      <w:r w:rsidR="00A4784B">
        <w:t xml:space="preserve"> (mandated)</w:t>
      </w:r>
    </w:p>
    <w:p w14:paraId="1DAE55B3" w14:textId="766D8799" w:rsidR="00DC41B2" w:rsidRDefault="00DC41B2" w:rsidP="00CF5082">
      <w:pPr>
        <w:widowControl/>
        <w:autoSpaceDE w:val="0"/>
        <w:autoSpaceDN w:val="0"/>
        <w:adjustRightInd w:val="0"/>
        <w:spacing w:before="0" w:after="0"/>
        <w:ind w:left="720"/>
      </w:pPr>
      <w:r>
        <w:t>On</w:t>
      </w:r>
      <w:r w:rsidR="00B8174C">
        <w:t>-</w:t>
      </w:r>
      <w:r>
        <w:t xml:space="preserve">street parking income derive from parking such as </w:t>
      </w:r>
      <w:r>
        <w:rPr>
          <w:color w:val="auto"/>
        </w:rPr>
        <w:t>pay and display/meters, residents'</w:t>
      </w:r>
      <w:r w:rsidR="00B8174C">
        <w:rPr>
          <w:color w:val="auto"/>
        </w:rPr>
        <w:t xml:space="preserve">, </w:t>
      </w:r>
      <w:r>
        <w:rPr>
          <w:color w:val="auto"/>
        </w:rPr>
        <w:t xml:space="preserve"> visitors'</w:t>
      </w:r>
      <w:r w:rsidR="00B8174C">
        <w:rPr>
          <w:color w:val="auto"/>
        </w:rPr>
        <w:t xml:space="preserve"> or business permits </w:t>
      </w:r>
      <w:r>
        <w:t>and from enforcement such as penalty charge notices (PCN)</w:t>
      </w:r>
      <w:r w:rsidR="00B8174C">
        <w:t xml:space="preserve">. </w:t>
      </w:r>
    </w:p>
    <w:p w14:paraId="3EFC76FC" w14:textId="77777777" w:rsidR="00B8174C" w:rsidRDefault="00B8174C" w:rsidP="00CF5082">
      <w:pPr>
        <w:widowControl/>
        <w:autoSpaceDE w:val="0"/>
        <w:autoSpaceDN w:val="0"/>
        <w:adjustRightInd w:val="0"/>
        <w:spacing w:before="0" w:after="0"/>
        <w:ind w:left="720"/>
      </w:pPr>
    </w:p>
    <w:p w14:paraId="62F7E18E" w14:textId="1A6D166C" w:rsidR="00B8174C" w:rsidRDefault="00B8174C" w:rsidP="00CF5082">
      <w:pPr>
        <w:widowControl/>
        <w:autoSpaceDE w:val="0"/>
        <w:autoSpaceDN w:val="0"/>
        <w:adjustRightInd w:val="0"/>
        <w:spacing w:before="0" w:after="0"/>
      </w:pPr>
      <w:r>
        <w:t>Off</w:t>
      </w:r>
      <w:r w:rsidR="0080283A">
        <w:t>-</w:t>
      </w:r>
      <w:r>
        <w:t>street parking income</w:t>
      </w:r>
      <w:r w:rsidR="006D3EA5">
        <w:t xml:space="preserve"> (mandated)</w:t>
      </w:r>
    </w:p>
    <w:p w14:paraId="5A94F0DB" w14:textId="33C485A2" w:rsidR="00B8174C" w:rsidRDefault="005A32E5" w:rsidP="00CF5082">
      <w:pPr>
        <w:widowControl/>
        <w:autoSpaceDE w:val="0"/>
        <w:autoSpaceDN w:val="0"/>
        <w:adjustRightInd w:val="0"/>
        <w:spacing w:before="0" w:after="0"/>
        <w:ind w:left="720"/>
      </w:pPr>
      <w:r>
        <w:t>I</w:t>
      </w:r>
      <w:r w:rsidR="00B8174C">
        <w:t xml:space="preserve">ncome from penalty charge notices for </w:t>
      </w:r>
      <w:r w:rsidR="002A4DD8">
        <w:t xml:space="preserve">designated </w:t>
      </w:r>
      <w:r w:rsidR="00B8174C">
        <w:t xml:space="preserve">off-street parking </w:t>
      </w:r>
      <w:r>
        <w:t xml:space="preserve">as recorded in the parking accounts required under section 55 of the Road and Traffic </w:t>
      </w:r>
      <w:proofErr w:type="gramStart"/>
      <w:r>
        <w:t>Regulation .</w:t>
      </w:r>
      <w:proofErr w:type="gramEnd"/>
    </w:p>
    <w:p w14:paraId="6FF435E4" w14:textId="77777777" w:rsidR="00B8174C" w:rsidRDefault="00B8174C" w:rsidP="00CF5082">
      <w:pPr>
        <w:widowControl/>
        <w:autoSpaceDE w:val="0"/>
        <w:autoSpaceDN w:val="0"/>
        <w:adjustRightInd w:val="0"/>
        <w:spacing w:before="0" w:after="0"/>
        <w:ind w:left="720"/>
      </w:pPr>
    </w:p>
    <w:p w14:paraId="06C4601F" w14:textId="6601F7C9" w:rsidR="00B8174C" w:rsidRDefault="00B8174C" w:rsidP="00CF5082">
      <w:pPr>
        <w:widowControl/>
        <w:autoSpaceDE w:val="0"/>
        <w:autoSpaceDN w:val="0"/>
        <w:adjustRightInd w:val="0"/>
        <w:spacing w:before="0" w:after="0"/>
      </w:pPr>
      <w:r>
        <w:t>Expenditure</w:t>
      </w:r>
      <w:r w:rsidR="00C334A8">
        <w:t xml:space="preserve"> type and amount</w:t>
      </w:r>
      <w:r w:rsidR="006D3EA5">
        <w:t xml:space="preserve"> (mandated)</w:t>
      </w:r>
    </w:p>
    <w:p w14:paraId="4590566A" w14:textId="77777777" w:rsidR="00C334A8" w:rsidRDefault="00C334A8" w:rsidP="00CF5082">
      <w:pPr>
        <w:spacing w:before="120" w:after="120"/>
        <w:ind w:left="360"/>
      </w:pPr>
      <w:r>
        <w:t xml:space="preserve">The amount of expenditure is broken down by </w:t>
      </w:r>
      <w:r w:rsidR="00B8174C">
        <w:t xml:space="preserve"> </w:t>
      </w:r>
    </w:p>
    <w:p w14:paraId="70303090" w14:textId="4D50067C" w:rsidR="00B8174C" w:rsidRPr="00CF5082" w:rsidRDefault="00B8174C" w:rsidP="00CF5082">
      <w:pPr>
        <w:pStyle w:val="ListParagraph"/>
        <w:numPr>
          <w:ilvl w:val="0"/>
          <w:numId w:val="40"/>
        </w:numPr>
        <w:spacing w:before="120" w:after="120"/>
        <w:rPr>
          <w:i/>
          <w:iCs/>
          <w:color w:val="auto"/>
        </w:rPr>
      </w:pPr>
      <w:r w:rsidRPr="00CF5082">
        <w:rPr>
          <w:i/>
          <w:iCs/>
          <w:color w:val="auto"/>
        </w:rPr>
        <w:t>Contractors</w:t>
      </w:r>
    </w:p>
    <w:p w14:paraId="03C40006" w14:textId="77777777" w:rsidR="00B8174C" w:rsidRPr="00CF5082" w:rsidRDefault="00B8174C" w:rsidP="00CF5082">
      <w:pPr>
        <w:pStyle w:val="ListParagraph"/>
        <w:numPr>
          <w:ilvl w:val="0"/>
          <w:numId w:val="40"/>
        </w:numPr>
        <w:autoSpaceDE w:val="0"/>
        <w:autoSpaceDN w:val="0"/>
        <w:adjustRightInd w:val="0"/>
        <w:spacing w:before="0" w:after="0"/>
        <w:rPr>
          <w:i/>
          <w:iCs/>
          <w:color w:val="auto"/>
        </w:rPr>
      </w:pPr>
      <w:r w:rsidRPr="00CF5082">
        <w:rPr>
          <w:i/>
          <w:iCs/>
          <w:color w:val="auto"/>
        </w:rPr>
        <w:t>In-house staff</w:t>
      </w:r>
    </w:p>
    <w:p w14:paraId="11419576" w14:textId="77777777" w:rsidR="00B8174C" w:rsidRPr="00CF5082" w:rsidRDefault="00B8174C" w:rsidP="00CF5082">
      <w:pPr>
        <w:pStyle w:val="ListParagraph"/>
        <w:numPr>
          <w:ilvl w:val="0"/>
          <w:numId w:val="40"/>
        </w:numPr>
        <w:autoSpaceDE w:val="0"/>
        <w:autoSpaceDN w:val="0"/>
        <w:adjustRightInd w:val="0"/>
        <w:spacing w:before="0" w:after="0"/>
        <w:rPr>
          <w:i/>
          <w:iCs/>
          <w:color w:val="auto"/>
        </w:rPr>
      </w:pPr>
      <w:r w:rsidRPr="00CF5082">
        <w:rPr>
          <w:i/>
          <w:iCs/>
          <w:color w:val="auto"/>
        </w:rPr>
        <w:t>Equipment maintenance/renewal</w:t>
      </w:r>
    </w:p>
    <w:p w14:paraId="3946F087" w14:textId="7E52C5B2" w:rsidR="00B8174C" w:rsidRPr="00CF5082" w:rsidRDefault="00B8174C" w:rsidP="00CF5082">
      <w:pPr>
        <w:pStyle w:val="ListParagraph"/>
        <w:numPr>
          <w:ilvl w:val="0"/>
          <w:numId w:val="40"/>
        </w:numPr>
        <w:autoSpaceDE w:val="0"/>
        <w:autoSpaceDN w:val="0"/>
        <w:adjustRightInd w:val="0"/>
        <w:spacing w:before="0" w:after="0"/>
        <w:rPr>
          <w:i/>
          <w:iCs/>
          <w:color w:val="auto"/>
        </w:rPr>
      </w:pPr>
      <w:r w:rsidRPr="00CF5082">
        <w:rPr>
          <w:i/>
          <w:iCs/>
          <w:color w:val="auto"/>
        </w:rPr>
        <w:lastRenderedPageBreak/>
        <w:t>London Councils or Traffic</w:t>
      </w:r>
      <w:r w:rsidR="003436E9" w:rsidRPr="00AF12DC">
        <w:rPr>
          <w:i/>
          <w:iCs/>
          <w:color w:val="auto"/>
        </w:rPr>
        <w:t xml:space="preserve"> </w:t>
      </w:r>
      <w:r w:rsidR="002A4DD8" w:rsidRPr="00CF5082">
        <w:rPr>
          <w:i/>
          <w:iCs/>
          <w:color w:val="auto"/>
        </w:rPr>
        <w:t>Penalties Tribunal</w:t>
      </w:r>
      <w:r w:rsidRPr="00CF5082">
        <w:rPr>
          <w:i/>
          <w:iCs/>
          <w:color w:val="auto"/>
        </w:rPr>
        <w:t xml:space="preserve"> (as</w:t>
      </w:r>
      <w:r w:rsidR="003436E9" w:rsidRPr="00AF12DC">
        <w:rPr>
          <w:i/>
          <w:iCs/>
          <w:color w:val="auto"/>
        </w:rPr>
        <w:t xml:space="preserve"> </w:t>
      </w:r>
      <w:r w:rsidRPr="00CF5082">
        <w:rPr>
          <w:i/>
          <w:iCs/>
          <w:color w:val="auto"/>
        </w:rPr>
        <w:t>appropriate)</w:t>
      </w:r>
    </w:p>
    <w:p w14:paraId="45BFF2C6" w14:textId="77777777" w:rsidR="00B8174C" w:rsidRPr="00CF5082" w:rsidRDefault="00B8174C" w:rsidP="00CF5082">
      <w:pPr>
        <w:pStyle w:val="ListParagraph"/>
        <w:numPr>
          <w:ilvl w:val="0"/>
          <w:numId w:val="40"/>
        </w:numPr>
        <w:autoSpaceDE w:val="0"/>
        <w:autoSpaceDN w:val="0"/>
        <w:adjustRightInd w:val="0"/>
        <w:spacing w:before="0" w:after="0"/>
        <w:rPr>
          <w:i/>
          <w:iCs/>
          <w:color w:val="auto"/>
        </w:rPr>
      </w:pPr>
      <w:r w:rsidRPr="00CF5082">
        <w:rPr>
          <w:i/>
          <w:iCs/>
          <w:color w:val="auto"/>
        </w:rPr>
        <w:t>Other</w:t>
      </w:r>
    </w:p>
    <w:p w14:paraId="36A83524" w14:textId="22280C8E" w:rsidR="00B8174C" w:rsidRDefault="005A32E5" w:rsidP="00BC02B4">
      <w:pPr>
        <w:widowControl/>
        <w:autoSpaceDE w:val="0"/>
        <w:autoSpaceDN w:val="0"/>
        <w:adjustRightInd w:val="0"/>
        <w:spacing w:before="0" w:after="0"/>
        <w:ind w:left="720"/>
      </w:pPr>
      <w:r>
        <w:t>Record the amount for each type.</w:t>
      </w:r>
    </w:p>
    <w:p w14:paraId="073F4ADF" w14:textId="77777777" w:rsidR="005A32E5" w:rsidRDefault="005A32E5" w:rsidP="00BC02B4">
      <w:pPr>
        <w:widowControl/>
        <w:autoSpaceDE w:val="0"/>
        <w:autoSpaceDN w:val="0"/>
        <w:adjustRightInd w:val="0"/>
        <w:spacing w:before="0" w:after="0"/>
        <w:ind w:left="720"/>
      </w:pPr>
    </w:p>
    <w:p w14:paraId="4770AB65" w14:textId="248BFACF" w:rsidR="003436E9" w:rsidRDefault="003436E9" w:rsidP="00CF5082">
      <w:pPr>
        <w:widowControl/>
        <w:autoSpaceDE w:val="0"/>
        <w:autoSpaceDN w:val="0"/>
        <w:adjustRightInd w:val="0"/>
        <w:spacing w:before="0" w:after="0"/>
      </w:pPr>
      <w:r>
        <w:t>Surplus</w:t>
      </w:r>
      <w:r w:rsidR="00C334A8">
        <w:t xml:space="preserve"> </w:t>
      </w:r>
      <w:r w:rsidR="006D3EA5">
        <w:t>(mandated)</w:t>
      </w:r>
    </w:p>
    <w:p w14:paraId="486C0CC5" w14:textId="42E0A0DB" w:rsidR="003436E9" w:rsidRDefault="003436E9" w:rsidP="00CF5082">
      <w:pPr>
        <w:widowControl/>
        <w:autoSpaceDE w:val="0"/>
        <w:autoSpaceDN w:val="0"/>
        <w:adjustRightInd w:val="0"/>
        <w:spacing w:before="0" w:after="0"/>
        <w:ind w:left="720"/>
      </w:pPr>
      <w:r>
        <w:t xml:space="preserve">Surplus is calculated as the difference between the income from all on-street parking </w:t>
      </w:r>
      <w:r w:rsidR="00C334A8">
        <w:t xml:space="preserve">and </w:t>
      </w:r>
      <w:r>
        <w:t xml:space="preserve">enforcement </w:t>
      </w:r>
      <w:r w:rsidR="00C334A8">
        <w:t xml:space="preserve">from on and off-street parking </w:t>
      </w:r>
      <w:r>
        <w:t xml:space="preserve">minus the expenditure. Some authorities may record a deficit. </w:t>
      </w:r>
    </w:p>
    <w:p w14:paraId="703D55B5" w14:textId="77777777" w:rsidR="003436E9" w:rsidRDefault="003436E9" w:rsidP="00CF5082">
      <w:pPr>
        <w:widowControl/>
        <w:autoSpaceDE w:val="0"/>
        <w:autoSpaceDN w:val="0"/>
        <w:adjustRightInd w:val="0"/>
        <w:spacing w:before="0" w:after="0"/>
      </w:pPr>
    </w:p>
    <w:p w14:paraId="3FF42C94" w14:textId="700D1D70" w:rsidR="003436E9" w:rsidRDefault="003436E9" w:rsidP="00CF5082">
      <w:pPr>
        <w:widowControl/>
        <w:autoSpaceDE w:val="0"/>
        <w:autoSpaceDN w:val="0"/>
        <w:adjustRightInd w:val="0"/>
        <w:spacing w:before="0" w:after="0"/>
      </w:pPr>
      <w:r>
        <w:t>Surplus spent type and amount</w:t>
      </w:r>
      <w:r w:rsidR="006D3EA5">
        <w:t xml:space="preserve"> (mandated)</w:t>
      </w:r>
    </w:p>
    <w:p w14:paraId="155EEF3A" w14:textId="49256A1B" w:rsidR="003436E9" w:rsidRDefault="003436E9" w:rsidP="00CF5082">
      <w:pPr>
        <w:widowControl/>
        <w:autoSpaceDE w:val="0"/>
        <w:autoSpaceDN w:val="0"/>
        <w:adjustRightInd w:val="0"/>
        <w:spacing w:before="0" w:after="0"/>
        <w:ind w:left="360"/>
      </w:pPr>
      <w:r>
        <w:t>Surplus</w:t>
      </w:r>
      <w:r w:rsidR="0085026B">
        <w:t xml:space="preserve"> spent </w:t>
      </w:r>
      <w:r>
        <w:t xml:space="preserve">type breaks down the </w:t>
      </w:r>
      <w:r w:rsidR="0085026B">
        <w:t xml:space="preserve">amount of </w:t>
      </w:r>
      <w:r>
        <w:t>surplus</w:t>
      </w:r>
      <w:r w:rsidR="0085026B">
        <w:t xml:space="preserve"> spent</w:t>
      </w:r>
      <w:r>
        <w:t xml:space="preserve"> according to the following categories.</w:t>
      </w:r>
    </w:p>
    <w:p w14:paraId="6A2565D1" w14:textId="77777777" w:rsidR="003436E9" w:rsidRPr="00F218E1" w:rsidRDefault="003436E9" w:rsidP="00CF5082">
      <w:pPr>
        <w:pStyle w:val="ListParagraph"/>
        <w:numPr>
          <w:ilvl w:val="1"/>
          <w:numId w:val="21"/>
        </w:numPr>
      </w:pPr>
      <w:r w:rsidRPr="00F218E1">
        <w:t>providing additional parking facilities</w:t>
      </w:r>
    </w:p>
    <w:p w14:paraId="37BFF0EC" w14:textId="77777777" w:rsidR="003436E9" w:rsidRPr="00F218E1" w:rsidRDefault="003436E9" w:rsidP="00CF5082">
      <w:pPr>
        <w:pStyle w:val="ListParagraph"/>
        <w:numPr>
          <w:ilvl w:val="1"/>
          <w:numId w:val="21"/>
        </w:numPr>
      </w:pPr>
      <w:r w:rsidRPr="00F218E1">
        <w:t>public transport schemes</w:t>
      </w:r>
    </w:p>
    <w:p w14:paraId="598A5A16" w14:textId="77777777" w:rsidR="003436E9" w:rsidRPr="00F218E1" w:rsidRDefault="003436E9" w:rsidP="00CF5082">
      <w:pPr>
        <w:pStyle w:val="ListParagraph"/>
        <w:numPr>
          <w:ilvl w:val="1"/>
          <w:numId w:val="21"/>
        </w:numPr>
      </w:pPr>
      <w:r w:rsidRPr="00F218E1">
        <w:t>highway improvements</w:t>
      </w:r>
    </w:p>
    <w:p w14:paraId="2BAEDB5B" w14:textId="77777777" w:rsidR="003436E9" w:rsidRPr="00F218E1" w:rsidRDefault="003436E9" w:rsidP="00CF5082">
      <w:pPr>
        <w:pStyle w:val="ListParagraph"/>
        <w:numPr>
          <w:ilvl w:val="1"/>
          <w:numId w:val="21"/>
        </w:numPr>
      </w:pPr>
      <w:r w:rsidRPr="00F218E1">
        <w:t>road maintenance</w:t>
      </w:r>
    </w:p>
    <w:p w14:paraId="6E21F1F8" w14:textId="77777777" w:rsidR="003436E9" w:rsidRPr="00F218E1" w:rsidRDefault="003436E9" w:rsidP="00CF5082">
      <w:pPr>
        <w:pStyle w:val="ListParagraph"/>
        <w:numPr>
          <w:ilvl w:val="1"/>
          <w:numId w:val="21"/>
        </w:numPr>
      </w:pPr>
      <w:r w:rsidRPr="00F218E1">
        <w:t>schemes supporting the Mayor of London’s strategy (for Greater London authorities)</w:t>
      </w:r>
    </w:p>
    <w:p w14:paraId="274CB4FA" w14:textId="77777777" w:rsidR="003436E9" w:rsidRDefault="003436E9" w:rsidP="00CF5082">
      <w:pPr>
        <w:pStyle w:val="ListParagraph"/>
        <w:numPr>
          <w:ilvl w:val="1"/>
          <w:numId w:val="21"/>
        </w:numPr>
      </w:pPr>
      <w:proofErr w:type="gramStart"/>
      <w:r w:rsidRPr="00F218E1">
        <w:t>environmental</w:t>
      </w:r>
      <w:proofErr w:type="gramEnd"/>
      <w:r w:rsidRPr="00F218E1">
        <w:t xml:space="preserve"> improvements.</w:t>
      </w:r>
    </w:p>
    <w:p w14:paraId="75765842" w14:textId="5774E28F" w:rsidR="005A32E5" w:rsidRDefault="005A32E5" w:rsidP="00BC02B4">
      <w:pPr>
        <w:ind w:left="720"/>
      </w:pPr>
      <w:r>
        <w:t xml:space="preserve">Councils that record a deficit cannot record a surplus spent. </w:t>
      </w:r>
    </w:p>
    <w:p w14:paraId="474679CC" w14:textId="42F55F7D" w:rsidR="003436E9" w:rsidRDefault="003436E9" w:rsidP="00CF5082">
      <w:r>
        <w:t>Parking spaces</w:t>
      </w:r>
      <w:r w:rsidR="006D3EA5">
        <w:t xml:space="preserve"> (mandated</w:t>
      </w:r>
      <w:r w:rsidR="00570FE0">
        <w:t>/recommended</w:t>
      </w:r>
      <w:r w:rsidR="006D3EA5">
        <w:t>)</w:t>
      </w:r>
    </w:p>
    <w:p w14:paraId="33435C44" w14:textId="783734E2" w:rsidR="003436E9" w:rsidRDefault="003436E9" w:rsidP="00CF5082">
      <w:pPr>
        <w:ind w:left="720"/>
      </w:pPr>
      <w:r>
        <w:t xml:space="preserve">Parking spaces include the total estimated number of </w:t>
      </w:r>
      <w:r w:rsidR="0085026B">
        <w:t xml:space="preserve">marked out and controlled </w:t>
      </w:r>
      <w:r>
        <w:t>on</w:t>
      </w:r>
      <w:r w:rsidR="0085026B">
        <w:t>-</w:t>
      </w:r>
      <w:r>
        <w:t>street and off</w:t>
      </w:r>
      <w:r w:rsidR="0085026B">
        <w:t>-</w:t>
      </w:r>
      <w:r>
        <w:t xml:space="preserve">street parking spaces. </w:t>
      </w:r>
      <w:r w:rsidR="0085026B">
        <w:t xml:space="preserve">An estimated should be used where spaces are not </w:t>
      </w:r>
      <w:r w:rsidR="00C334A8">
        <w:t>individually</w:t>
      </w:r>
      <w:r w:rsidR="0085026B">
        <w:t xml:space="preserve"> marked out. </w:t>
      </w:r>
    </w:p>
    <w:p w14:paraId="3A2478F1" w14:textId="77777777" w:rsidR="005A32E5" w:rsidRDefault="003436E9" w:rsidP="00CF5082">
      <w:pPr>
        <w:ind w:left="720"/>
      </w:pPr>
      <w:r>
        <w:t xml:space="preserve">The total number of parking spaces is further subdivided into </w:t>
      </w:r>
    </w:p>
    <w:p w14:paraId="5B4B46B0" w14:textId="77777777" w:rsidR="005A32E5" w:rsidRDefault="003436E9" w:rsidP="00BC02B4">
      <w:pPr>
        <w:pStyle w:val="ListParagraph"/>
        <w:numPr>
          <w:ilvl w:val="0"/>
          <w:numId w:val="49"/>
        </w:numPr>
      </w:pPr>
      <w:r>
        <w:t xml:space="preserve">number of free designated parking spaces and </w:t>
      </w:r>
    </w:p>
    <w:p w14:paraId="0373C214" w14:textId="71E3C333" w:rsidR="003436E9" w:rsidRDefault="003436E9" w:rsidP="00BC02B4">
      <w:pPr>
        <w:pStyle w:val="ListParagraph"/>
        <w:numPr>
          <w:ilvl w:val="0"/>
          <w:numId w:val="49"/>
        </w:numPr>
      </w:pPr>
      <w:proofErr w:type="gramStart"/>
      <w:r>
        <w:t>charged</w:t>
      </w:r>
      <w:proofErr w:type="gramEnd"/>
      <w:r>
        <w:t xml:space="preserve"> for parking spaces</w:t>
      </w:r>
      <w:r w:rsidR="0085026B">
        <w:t xml:space="preserve"> provided directly by the local authority</w:t>
      </w:r>
      <w:r>
        <w:t xml:space="preserve">. </w:t>
      </w:r>
    </w:p>
    <w:p w14:paraId="33CE1EBE" w14:textId="77777777" w:rsidR="003436E9" w:rsidRPr="00CF5082" w:rsidRDefault="003436E9" w:rsidP="00CF5082"/>
    <w:p w14:paraId="339A5ED7" w14:textId="77777777" w:rsidR="001A2CE9" w:rsidRPr="006A3468" w:rsidRDefault="001A2CE9" w:rsidP="00ED5571">
      <w:pPr>
        <w:pStyle w:val="Heading1"/>
        <w:rPr>
          <w:sz w:val="24"/>
          <w:szCs w:val="24"/>
        </w:rPr>
        <w:sectPr w:rsidR="001A2CE9" w:rsidRPr="006A3468" w:rsidSect="00291B2F">
          <w:footerReference w:type="default" r:id="rId46"/>
          <w:pgSz w:w="11906" w:h="16838"/>
          <w:pgMar w:top="1440" w:right="851" w:bottom="1620" w:left="851" w:header="709" w:footer="283" w:gutter="0"/>
          <w:cols w:space="708"/>
          <w:docGrid w:linePitch="360"/>
        </w:sectPr>
      </w:pPr>
      <w:bookmarkStart w:id="19" w:name="_Ref395014414"/>
      <w:bookmarkStart w:id="20" w:name="_Ref397334322"/>
    </w:p>
    <w:p w14:paraId="23FE3F4A" w14:textId="03B0E052" w:rsidR="00D47AC9" w:rsidRPr="00ED5571" w:rsidRDefault="00D47AC9" w:rsidP="00ED5571">
      <w:pPr>
        <w:pStyle w:val="Heading1"/>
      </w:pPr>
      <w:bookmarkStart w:id="21" w:name="_Toc421280177"/>
      <w:r w:rsidRPr="00ED5571">
        <w:lastRenderedPageBreak/>
        <w:t>Annex I: templates</w:t>
      </w:r>
      <w:bookmarkEnd w:id="19"/>
      <w:bookmarkEnd w:id="20"/>
      <w:bookmarkEnd w:id="21"/>
    </w:p>
    <w:p w14:paraId="359CD902" w14:textId="77041A01" w:rsidR="00CC4B05" w:rsidRPr="00ED5571" w:rsidRDefault="00CC4B05" w:rsidP="00ED5571">
      <w:pPr>
        <w:pStyle w:val="Heading2"/>
      </w:pPr>
      <w:bookmarkStart w:id="22" w:name="_Ref397334335"/>
      <w:bookmarkStart w:id="23" w:name="_Toc421280178"/>
      <w:bookmarkStart w:id="24" w:name="landassets"/>
      <w:bookmarkStart w:id="25" w:name="_Ref395014432"/>
      <w:r w:rsidRPr="00ED5571">
        <w:t xml:space="preserve">Land </w:t>
      </w:r>
      <w:r w:rsidR="009E0272" w:rsidRPr="00ED5571">
        <w:t xml:space="preserve">and building </w:t>
      </w:r>
      <w:r w:rsidRPr="00ED5571">
        <w:t>asset data template</w:t>
      </w:r>
      <w:bookmarkEnd w:id="22"/>
      <w:bookmarkEnd w:id="23"/>
    </w:p>
    <w:bookmarkEnd w:id="24"/>
    <w:p w14:paraId="5A8D7486" w14:textId="77777777" w:rsidR="00EF574B" w:rsidRDefault="00AF12DC" w:rsidP="004B0CC1">
      <w:pPr>
        <w:widowControl/>
        <w:spacing w:before="0" w:after="0" w:line="315" w:lineRule="atLeast"/>
        <w:textAlignment w:val="baseline"/>
      </w:pPr>
      <w:r>
        <w:t xml:space="preserve">The land and building asset template displays the fields that must, should or could be considered/used (as appropriate) when publishing land and building asset data. Where a particular column is a mandatory requirement of the Code and </w:t>
      </w:r>
      <w:r w:rsidRPr="00CF5082">
        <w:t>must</w:t>
      </w:r>
      <w:r>
        <w:rPr>
          <w:b/>
        </w:rPr>
        <w:t xml:space="preserve"> </w:t>
      </w:r>
      <w:r>
        <w:t>be used to ensure compliance, this is stated in the “inclusion status” column.  Fields that are added to make the data more meaningful when compared or combined are marked as optional.</w:t>
      </w:r>
      <w:r w:rsidR="00A269C9">
        <w:t xml:space="preserve"> </w:t>
      </w:r>
    </w:p>
    <w:p w14:paraId="5A516DEA" w14:textId="3D541FFE" w:rsidR="00AF12DC" w:rsidRDefault="00A269C9" w:rsidP="004B0CC1">
      <w:pPr>
        <w:widowControl/>
        <w:spacing w:before="0" w:after="0" w:line="315" w:lineRule="atLeast"/>
        <w:textAlignment w:val="baseline"/>
      </w:pPr>
      <w:r>
        <w:rPr>
          <w:rFonts w:eastAsia="Arial"/>
        </w:rPr>
        <w:t xml:space="preserve">The template is also available as a standardised schema which can be downloaded from </w:t>
      </w:r>
      <w:hyperlink r:id="rId47" w:history="1">
        <w:r w:rsidR="00EF574B" w:rsidRPr="00735E00">
          <w:rPr>
            <w:rStyle w:val="Hyperlink"/>
            <w:rFonts w:ascii="Segoe UI" w:hAnsi="Segoe UI" w:cs="Segoe UI"/>
          </w:rPr>
          <w:t>http://schemas.opendata.esd.org.uk/LandAssets</w:t>
        </w:r>
      </w:hyperlink>
      <w:r w:rsidR="00EF574B">
        <w:rPr>
          <w:rFonts w:ascii="Segoe UI" w:hAnsi="Segoe UI" w:cs="Segoe UI"/>
        </w:rPr>
        <w:t xml:space="preserve">. </w:t>
      </w:r>
    </w:p>
    <w:p w14:paraId="5D532A5F" w14:textId="77777777" w:rsidR="00EF574B" w:rsidRDefault="00EF574B" w:rsidP="004B0CC1">
      <w:pPr>
        <w:widowControl/>
        <w:spacing w:before="0" w:after="0" w:line="315" w:lineRule="atLeast"/>
        <w:textAlignment w:val="baseline"/>
      </w:pPr>
    </w:p>
    <w:tbl>
      <w:tblPr>
        <w:tblW w:w="0" w:type="auto"/>
        <w:tblCellSpacing w:w="0" w:type="dxa"/>
        <w:tblBorders>
          <w:top w:val="single" w:sz="4" w:space="0" w:color="91278F"/>
          <w:left w:val="single" w:sz="4" w:space="0" w:color="91278F"/>
          <w:bottom w:val="single" w:sz="4" w:space="0" w:color="91278F"/>
          <w:right w:val="single" w:sz="4" w:space="0" w:color="91278F"/>
          <w:insideH w:val="single" w:sz="4" w:space="0" w:color="91278F"/>
          <w:insideV w:val="single" w:sz="4" w:space="0" w:color="91278F"/>
        </w:tblBorders>
        <w:tblLayout w:type="fixed"/>
        <w:tblCellMar>
          <w:left w:w="0" w:type="dxa"/>
          <w:right w:w="0" w:type="dxa"/>
        </w:tblCellMar>
        <w:tblLook w:val="04A0" w:firstRow="1" w:lastRow="0" w:firstColumn="1" w:lastColumn="0" w:noHBand="0" w:noVBand="1"/>
      </w:tblPr>
      <w:tblGrid>
        <w:gridCol w:w="861"/>
        <w:gridCol w:w="1496"/>
        <w:gridCol w:w="1906"/>
        <w:gridCol w:w="2551"/>
        <w:gridCol w:w="5387"/>
        <w:gridCol w:w="1597"/>
      </w:tblGrid>
      <w:tr w:rsidR="00AF12DC" w14:paraId="2908DDEF" w14:textId="77777777" w:rsidTr="00AF12DC">
        <w:trPr>
          <w:tblHeader/>
          <w:tblCellSpacing w:w="0" w:type="dxa"/>
        </w:trPr>
        <w:tc>
          <w:tcPr>
            <w:tcW w:w="861" w:type="dxa"/>
            <w:tcBorders>
              <w:top w:val="single" w:sz="4" w:space="0" w:color="91278F"/>
              <w:left w:val="single" w:sz="4" w:space="0" w:color="FFFFFF" w:themeColor="background1"/>
              <w:bottom w:val="single" w:sz="4" w:space="0" w:color="91278F"/>
              <w:right w:val="single" w:sz="4" w:space="0" w:color="FFFFFF" w:themeColor="background1"/>
            </w:tcBorders>
            <w:shd w:val="clear" w:color="auto" w:fill="91278F"/>
            <w:hideMark/>
          </w:tcPr>
          <w:p w14:paraId="00F29948" w14:textId="77777777" w:rsidR="00AF12DC" w:rsidRDefault="00AF12DC">
            <w:pPr>
              <w:spacing w:before="120" w:after="120"/>
              <w:jc w:val="center"/>
              <w:rPr>
                <w:b/>
                <w:color w:val="FFFFFF" w:themeColor="background1"/>
                <w:sz w:val="20"/>
                <w:szCs w:val="20"/>
              </w:rPr>
            </w:pPr>
            <w:r>
              <w:rPr>
                <w:b/>
                <w:color w:val="FFFFFF" w:themeColor="background1"/>
                <w:sz w:val="20"/>
                <w:szCs w:val="20"/>
              </w:rPr>
              <w:t>Column</w:t>
            </w:r>
          </w:p>
        </w:tc>
        <w:tc>
          <w:tcPr>
            <w:tcW w:w="1496" w:type="dxa"/>
            <w:tcBorders>
              <w:top w:val="single" w:sz="4" w:space="0" w:color="91278F"/>
              <w:left w:val="single" w:sz="4" w:space="0" w:color="FFFFFF" w:themeColor="background1"/>
              <w:bottom w:val="single" w:sz="4" w:space="0" w:color="91278F"/>
              <w:right w:val="single" w:sz="4" w:space="0" w:color="FFFFFF" w:themeColor="background1"/>
            </w:tcBorders>
            <w:shd w:val="clear" w:color="auto" w:fill="91278F"/>
            <w:hideMark/>
          </w:tcPr>
          <w:p w14:paraId="75EF0884" w14:textId="77777777" w:rsidR="00AF12DC" w:rsidRDefault="00AF12DC">
            <w:pPr>
              <w:spacing w:before="120" w:after="120"/>
              <w:jc w:val="center"/>
              <w:rPr>
                <w:b/>
                <w:color w:val="FFFFFF" w:themeColor="background1"/>
                <w:sz w:val="20"/>
                <w:szCs w:val="20"/>
              </w:rPr>
            </w:pPr>
            <w:r>
              <w:rPr>
                <w:b/>
                <w:color w:val="FFFFFF" w:themeColor="background1"/>
                <w:sz w:val="20"/>
                <w:szCs w:val="20"/>
              </w:rPr>
              <w:t>Field name</w:t>
            </w:r>
          </w:p>
        </w:tc>
        <w:tc>
          <w:tcPr>
            <w:tcW w:w="1906" w:type="dxa"/>
            <w:tcBorders>
              <w:top w:val="single" w:sz="4" w:space="0" w:color="91278F"/>
              <w:left w:val="single" w:sz="4" w:space="0" w:color="FFFFFF" w:themeColor="background1"/>
              <w:bottom w:val="single" w:sz="4" w:space="0" w:color="91278F"/>
              <w:right w:val="single" w:sz="4" w:space="0" w:color="FFFFFF" w:themeColor="background1"/>
            </w:tcBorders>
            <w:shd w:val="clear" w:color="auto" w:fill="91278F"/>
            <w:hideMark/>
          </w:tcPr>
          <w:p w14:paraId="6E2693FB" w14:textId="77777777" w:rsidR="00AF12DC" w:rsidRDefault="00AF12DC">
            <w:pPr>
              <w:spacing w:before="120" w:after="120"/>
              <w:jc w:val="center"/>
              <w:rPr>
                <w:b/>
                <w:color w:val="FFFFFF" w:themeColor="background1"/>
                <w:sz w:val="20"/>
                <w:szCs w:val="20"/>
              </w:rPr>
            </w:pPr>
            <w:r>
              <w:rPr>
                <w:b/>
                <w:color w:val="FFFFFF" w:themeColor="background1"/>
                <w:sz w:val="20"/>
                <w:szCs w:val="20"/>
              </w:rPr>
              <w:t>What is required</w:t>
            </w:r>
          </w:p>
        </w:tc>
        <w:tc>
          <w:tcPr>
            <w:tcW w:w="2551" w:type="dxa"/>
            <w:tcBorders>
              <w:top w:val="single" w:sz="4" w:space="0" w:color="91278F"/>
              <w:left w:val="single" w:sz="4" w:space="0" w:color="FFFFFF" w:themeColor="background1"/>
              <w:bottom w:val="single" w:sz="4" w:space="0" w:color="91278F"/>
              <w:right w:val="single" w:sz="4" w:space="0" w:color="FFFFFF" w:themeColor="background1"/>
            </w:tcBorders>
            <w:shd w:val="clear" w:color="auto" w:fill="91278F"/>
            <w:hideMark/>
          </w:tcPr>
          <w:p w14:paraId="5907FC71" w14:textId="77777777" w:rsidR="00AF12DC" w:rsidRDefault="00AF12DC">
            <w:pPr>
              <w:spacing w:before="120" w:after="120"/>
              <w:jc w:val="center"/>
              <w:rPr>
                <w:b/>
                <w:color w:val="FFFFFF" w:themeColor="background1"/>
                <w:sz w:val="20"/>
                <w:szCs w:val="20"/>
              </w:rPr>
            </w:pPr>
            <w:r>
              <w:rPr>
                <w:b/>
                <w:color w:val="FFFFFF" w:themeColor="background1"/>
                <w:sz w:val="20"/>
                <w:szCs w:val="20"/>
              </w:rPr>
              <w:t>Reason for inclusion</w:t>
            </w:r>
          </w:p>
        </w:tc>
        <w:tc>
          <w:tcPr>
            <w:tcW w:w="5387" w:type="dxa"/>
            <w:tcBorders>
              <w:top w:val="single" w:sz="4" w:space="0" w:color="91278F"/>
              <w:left w:val="single" w:sz="4" w:space="0" w:color="FFFFFF" w:themeColor="background1"/>
              <w:bottom w:val="single" w:sz="4" w:space="0" w:color="91278F"/>
              <w:right w:val="single" w:sz="4" w:space="0" w:color="FFFFFF" w:themeColor="background1"/>
            </w:tcBorders>
            <w:shd w:val="clear" w:color="auto" w:fill="91278F"/>
            <w:hideMark/>
          </w:tcPr>
          <w:p w14:paraId="226C696C" w14:textId="77777777" w:rsidR="00AF12DC" w:rsidRDefault="00AF12DC">
            <w:pPr>
              <w:spacing w:before="120" w:after="120"/>
              <w:jc w:val="center"/>
              <w:rPr>
                <w:b/>
                <w:color w:val="FFFFFF" w:themeColor="background1"/>
                <w:sz w:val="20"/>
                <w:szCs w:val="20"/>
              </w:rPr>
            </w:pPr>
            <w:r>
              <w:rPr>
                <w:b/>
                <w:color w:val="FFFFFF" w:themeColor="background1"/>
                <w:sz w:val="20"/>
                <w:szCs w:val="20"/>
              </w:rPr>
              <w:t>Additional information</w:t>
            </w:r>
          </w:p>
        </w:tc>
        <w:tc>
          <w:tcPr>
            <w:tcW w:w="1597" w:type="dxa"/>
            <w:tcBorders>
              <w:top w:val="single" w:sz="4" w:space="0" w:color="91278F"/>
              <w:left w:val="single" w:sz="4" w:space="0" w:color="FFFFFF" w:themeColor="background1"/>
              <w:bottom w:val="single" w:sz="4" w:space="0" w:color="91278F"/>
              <w:right w:val="single" w:sz="4" w:space="0" w:color="FFFFFF" w:themeColor="background1"/>
            </w:tcBorders>
            <w:shd w:val="clear" w:color="auto" w:fill="91278F"/>
            <w:hideMark/>
          </w:tcPr>
          <w:p w14:paraId="34151D11" w14:textId="77777777" w:rsidR="00AF12DC" w:rsidRDefault="00AF12DC">
            <w:pPr>
              <w:spacing w:before="120" w:after="120"/>
              <w:jc w:val="center"/>
              <w:rPr>
                <w:b/>
                <w:color w:val="FFFFFF" w:themeColor="background1"/>
                <w:sz w:val="20"/>
                <w:szCs w:val="20"/>
              </w:rPr>
            </w:pPr>
            <w:r>
              <w:rPr>
                <w:b/>
                <w:color w:val="FFFFFF" w:themeColor="background1"/>
                <w:sz w:val="20"/>
                <w:szCs w:val="20"/>
              </w:rPr>
              <w:t>Inclusion status</w:t>
            </w:r>
          </w:p>
        </w:tc>
      </w:tr>
      <w:tr w:rsidR="006C40AD" w14:paraId="45780244"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5436DB9C" w14:textId="44707258" w:rsidR="006C40AD" w:rsidRDefault="003B07FA">
            <w:pPr>
              <w:spacing w:before="120" w:after="120"/>
              <w:rPr>
                <w:sz w:val="20"/>
                <w:szCs w:val="20"/>
              </w:rPr>
            </w:pPr>
            <w:r>
              <w:rPr>
                <w:sz w:val="20"/>
                <w:szCs w:val="20"/>
              </w:rPr>
              <w:t>1</w:t>
            </w:r>
          </w:p>
        </w:tc>
        <w:tc>
          <w:tcPr>
            <w:tcW w:w="1496" w:type="dxa"/>
            <w:tcBorders>
              <w:top w:val="single" w:sz="4" w:space="0" w:color="91278F"/>
              <w:left w:val="single" w:sz="4" w:space="0" w:color="91278F"/>
              <w:bottom w:val="single" w:sz="4" w:space="0" w:color="91278F"/>
              <w:right w:val="single" w:sz="4" w:space="0" w:color="91278F"/>
            </w:tcBorders>
            <w:hideMark/>
          </w:tcPr>
          <w:p w14:paraId="5793DBF1" w14:textId="77777777" w:rsidR="006C40AD" w:rsidRDefault="006C40AD">
            <w:pPr>
              <w:spacing w:before="120" w:after="120"/>
              <w:rPr>
                <w:sz w:val="20"/>
                <w:szCs w:val="20"/>
              </w:rPr>
            </w:pPr>
            <w:r>
              <w:rPr>
                <w:sz w:val="20"/>
                <w:szCs w:val="20"/>
              </w:rPr>
              <w:t>Organisation Name</w:t>
            </w:r>
          </w:p>
        </w:tc>
        <w:tc>
          <w:tcPr>
            <w:tcW w:w="1906" w:type="dxa"/>
            <w:tcBorders>
              <w:top w:val="single" w:sz="4" w:space="0" w:color="91278F"/>
              <w:left w:val="single" w:sz="4" w:space="0" w:color="91278F"/>
              <w:bottom w:val="single" w:sz="4" w:space="0" w:color="91278F"/>
              <w:right w:val="single" w:sz="4" w:space="0" w:color="91278F"/>
            </w:tcBorders>
            <w:hideMark/>
          </w:tcPr>
          <w:p w14:paraId="5E699872" w14:textId="77777777" w:rsidR="006C40AD" w:rsidRDefault="006C40AD">
            <w:pPr>
              <w:spacing w:before="120" w:after="120"/>
              <w:rPr>
                <w:sz w:val="20"/>
                <w:szCs w:val="20"/>
              </w:rPr>
            </w:pPr>
            <w:r>
              <w:rPr>
                <w:sz w:val="20"/>
                <w:szCs w:val="20"/>
              </w:rPr>
              <w:t>Name of the organisation owning or using the asset</w:t>
            </w:r>
          </w:p>
        </w:tc>
        <w:tc>
          <w:tcPr>
            <w:tcW w:w="2551" w:type="dxa"/>
            <w:tcBorders>
              <w:top w:val="single" w:sz="4" w:space="0" w:color="91278F"/>
              <w:left w:val="single" w:sz="4" w:space="0" w:color="91278F"/>
              <w:bottom w:val="single" w:sz="4" w:space="0" w:color="91278F"/>
              <w:right w:val="single" w:sz="4" w:space="0" w:color="91278F"/>
            </w:tcBorders>
            <w:hideMark/>
          </w:tcPr>
          <w:p w14:paraId="140A3CD6" w14:textId="77777777" w:rsidR="006C40AD" w:rsidRDefault="006C40AD">
            <w:pPr>
              <w:spacing w:before="120" w:after="120"/>
              <w:rPr>
                <w:sz w:val="20"/>
                <w:szCs w:val="20"/>
              </w:rPr>
            </w:pPr>
            <w:r>
              <w:rPr>
                <w:sz w:val="20"/>
                <w:szCs w:val="20"/>
              </w:rPr>
              <w:t>Identifies accountable public organisation for asset</w:t>
            </w:r>
          </w:p>
        </w:tc>
        <w:tc>
          <w:tcPr>
            <w:tcW w:w="5387" w:type="dxa"/>
            <w:tcBorders>
              <w:top w:val="single" w:sz="4" w:space="0" w:color="91278F"/>
              <w:left w:val="single" w:sz="4" w:space="0" w:color="91278F"/>
              <w:bottom w:val="single" w:sz="4" w:space="0" w:color="91278F"/>
              <w:right w:val="single" w:sz="4" w:space="0" w:color="91278F"/>
            </w:tcBorders>
            <w:hideMark/>
          </w:tcPr>
          <w:p w14:paraId="67CC950A" w14:textId="77777777" w:rsidR="006C40AD" w:rsidRDefault="006C40AD">
            <w:pPr>
              <w:spacing w:before="120" w:after="120"/>
              <w:rPr>
                <w:sz w:val="20"/>
                <w:szCs w:val="20"/>
              </w:rPr>
            </w:pPr>
            <w:r>
              <w:rPr>
                <w:sz w:val="20"/>
                <w:szCs w:val="20"/>
              </w:rPr>
              <w:t xml:space="preserve">Name of the local authority that is the asset owner and if not the owner the main user of the asset. </w:t>
            </w:r>
          </w:p>
        </w:tc>
        <w:tc>
          <w:tcPr>
            <w:tcW w:w="1597" w:type="dxa"/>
            <w:tcBorders>
              <w:top w:val="single" w:sz="4" w:space="0" w:color="91278F"/>
              <w:left w:val="single" w:sz="4" w:space="0" w:color="91278F"/>
              <w:bottom w:val="single" w:sz="4" w:space="0" w:color="91278F"/>
              <w:right w:val="single" w:sz="4" w:space="0" w:color="91278F"/>
            </w:tcBorders>
            <w:hideMark/>
          </w:tcPr>
          <w:p w14:paraId="2E7E7C6C" w14:textId="77777777" w:rsidR="006C40AD" w:rsidRDefault="006C40AD">
            <w:pPr>
              <w:spacing w:before="120" w:after="120"/>
              <w:rPr>
                <w:sz w:val="20"/>
                <w:szCs w:val="20"/>
              </w:rPr>
            </w:pPr>
            <w:r>
              <w:rPr>
                <w:sz w:val="20"/>
                <w:szCs w:val="20"/>
              </w:rPr>
              <w:t>Optional</w:t>
            </w:r>
          </w:p>
        </w:tc>
      </w:tr>
      <w:tr w:rsidR="006C40AD" w14:paraId="568CB587"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27FBCC09" w14:textId="28DF67F9" w:rsidR="006C40AD" w:rsidRDefault="003B07FA">
            <w:pPr>
              <w:spacing w:before="120" w:after="120"/>
              <w:rPr>
                <w:sz w:val="20"/>
                <w:szCs w:val="20"/>
              </w:rPr>
            </w:pPr>
            <w:r>
              <w:rPr>
                <w:sz w:val="20"/>
                <w:szCs w:val="20"/>
              </w:rPr>
              <w:t>2</w:t>
            </w:r>
          </w:p>
        </w:tc>
        <w:tc>
          <w:tcPr>
            <w:tcW w:w="1496" w:type="dxa"/>
            <w:tcBorders>
              <w:top w:val="single" w:sz="4" w:space="0" w:color="91278F"/>
              <w:left w:val="single" w:sz="4" w:space="0" w:color="91278F"/>
              <w:bottom w:val="single" w:sz="4" w:space="0" w:color="91278F"/>
              <w:right w:val="single" w:sz="4" w:space="0" w:color="91278F"/>
            </w:tcBorders>
            <w:hideMark/>
          </w:tcPr>
          <w:p w14:paraId="01CF4D3D" w14:textId="77777777" w:rsidR="006C40AD" w:rsidRDefault="006C40AD">
            <w:pPr>
              <w:spacing w:before="120" w:after="120"/>
              <w:rPr>
                <w:sz w:val="20"/>
                <w:szCs w:val="20"/>
              </w:rPr>
            </w:pPr>
            <w:r>
              <w:rPr>
                <w:sz w:val="20"/>
                <w:szCs w:val="20"/>
              </w:rPr>
              <w:t>Organisation Code</w:t>
            </w:r>
          </w:p>
        </w:tc>
        <w:tc>
          <w:tcPr>
            <w:tcW w:w="1906" w:type="dxa"/>
            <w:tcBorders>
              <w:top w:val="single" w:sz="4" w:space="0" w:color="91278F"/>
              <w:left w:val="single" w:sz="4" w:space="0" w:color="91278F"/>
              <w:bottom w:val="single" w:sz="4" w:space="0" w:color="91278F"/>
              <w:right w:val="single" w:sz="4" w:space="0" w:color="91278F"/>
            </w:tcBorders>
            <w:hideMark/>
          </w:tcPr>
          <w:p w14:paraId="08D2DA15" w14:textId="77777777" w:rsidR="006C40AD" w:rsidRDefault="006C40AD">
            <w:pPr>
              <w:spacing w:before="120" w:after="120"/>
              <w:rPr>
                <w:sz w:val="20"/>
                <w:szCs w:val="20"/>
              </w:rPr>
            </w:pPr>
            <w:r>
              <w:rPr>
                <w:sz w:val="20"/>
                <w:szCs w:val="20"/>
              </w:rPr>
              <w:t>Unique code to identify an organisation</w:t>
            </w:r>
          </w:p>
        </w:tc>
        <w:tc>
          <w:tcPr>
            <w:tcW w:w="2551" w:type="dxa"/>
            <w:tcBorders>
              <w:top w:val="single" w:sz="4" w:space="0" w:color="91278F"/>
              <w:left w:val="single" w:sz="4" w:space="0" w:color="91278F"/>
              <w:bottom w:val="single" w:sz="4" w:space="0" w:color="91278F"/>
              <w:right w:val="single" w:sz="4" w:space="0" w:color="91278F"/>
            </w:tcBorders>
            <w:hideMark/>
          </w:tcPr>
          <w:p w14:paraId="1C04FE99" w14:textId="77777777" w:rsidR="006C40AD" w:rsidRDefault="006C40AD">
            <w:pPr>
              <w:spacing w:before="120" w:after="120"/>
              <w:rPr>
                <w:sz w:val="20"/>
                <w:szCs w:val="20"/>
              </w:rPr>
            </w:pPr>
            <w:r>
              <w:rPr>
                <w:sz w:val="20"/>
                <w:szCs w:val="20"/>
              </w:rPr>
              <w:t>To allow the file to be self-describing</w:t>
            </w:r>
          </w:p>
        </w:tc>
        <w:tc>
          <w:tcPr>
            <w:tcW w:w="5387" w:type="dxa"/>
            <w:tcBorders>
              <w:top w:val="single" w:sz="4" w:space="0" w:color="91278F"/>
              <w:left w:val="single" w:sz="4" w:space="0" w:color="91278F"/>
              <w:bottom w:val="single" w:sz="4" w:space="0" w:color="91278F"/>
              <w:right w:val="single" w:sz="4" w:space="0" w:color="91278F"/>
            </w:tcBorders>
            <w:hideMark/>
          </w:tcPr>
          <w:p w14:paraId="06A7E913" w14:textId="77777777" w:rsidR="006C40AD" w:rsidRDefault="006C40AD">
            <w:pPr>
              <w:spacing w:before="120" w:after="120"/>
              <w:rPr>
                <w:sz w:val="20"/>
                <w:szCs w:val="20"/>
              </w:rPr>
            </w:pPr>
            <w:r>
              <w:rPr>
                <w:sz w:val="20"/>
                <w:szCs w:val="20"/>
              </w:rPr>
              <w:t>Codes describing URIs are not available for every public organisation. A URI used in Linked Data is the preferred option.</w:t>
            </w:r>
          </w:p>
          <w:p w14:paraId="72A53CA7" w14:textId="77777777" w:rsidR="006C40AD" w:rsidRDefault="006C40AD">
            <w:pPr>
              <w:rPr>
                <w:rFonts w:eastAsia="Arial"/>
                <w:sz w:val="20"/>
                <w:szCs w:val="20"/>
              </w:rPr>
            </w:pPr>
            <w:r>
              <w:rPr>
                <w:rFonts w:eastAsia="Arial"/>
                <w:sz w:val="20"/>
                <w:szCs w:val="20"/>
              </w:rPr>
              <w:t>A lookup tool for URIs can be found on the LG Inform Plus website (</w:t>
            </w:r>
            <w:hyperlink r:id="rId48" w:history="1">
              <w:r>
                <w:rPr>
                  <w:rStyle w:val="Hyperlink"/>
                  <w:rFonts w:eastAsia="Arial"/>
                  <w:sz w:val="20"/>
                  <w:szCs w:val="20"/>
                </w:rPr>
                <w:t>http://uris.opendata.esd.org.uk/</w:t>
              </w:r>
            </w:hyperlink>
            <w:r>
              <w:rPr>
                <w:rFonts w:eastAsia="Arial"/>
                <w:sz w:val="20"/>
                <w:szCs w:val="20"/>
              </w:rPr>
              <w:t xml:space="preserve">) </w:t>
            </w:r>
          </w:p>
          <w:p w14:paraId="4814C472" w14:textId="77777777" w:rsidR="006C40AD" w:rsidRDefault="006C40AD">
            <w:pPr>
              <w:spacing w:before="120" w:after="0"/>
              <w:rPr>
                <w:sz w:val="20"/>
                <w:szCs w:val="20"/>
              </w:rPr>
            </w:pPr>
            <w:r>
              <w:rPr>
                <w:sz w:val="20"/>
                <w:szCs w:val="20"/>
              </w:rPr>
              <w:t xml:space="preserve">For local authorities the code can be </w:t>
            </w:r>
          </w:p>
          <w:p w14:paraId="5FC12FB1" w14:textId="77777777" w:rsidR="006C40AD" w:rsidRDefault="006C40AD" w:rsidP="00AF12DC">
            <w:pPr>
              <w:pStyle w:val="ListParagraph"/>
              <w:numPr>
                <w:ilvl w:val="0"/>
                <w:numId w:val="35"/>
              </w:numPr>
              <w:spacing w:before="0"/>
              <w:ind w:left="714" w:hanging="357"/>
              <w:rPr>
                <w:rFonts w:eastAsia="Arial"/>
                <w:sz w:val="20"/>
                <w:szCs w:val="20"/>
              </w:rPr>
            </w:pPr>
            <w:r>
              <w:rPr>
                <w:sz w:val="20"/>
                <w:szCs w:val="20"/>
              </w:rPr>
              <w:t xml:space="preserve">the open data communities code for local authorities on </w:t>
            </w:r>
            <w:hyperlink r:id="rId49" w:history="1">
              <w:r>
                <w:rPr>
                  <w:rStyle w:val="Hyperlink"/>
                  <w:sz w:val="20"/>
                  <w:szCs w:val="20"/>
                </w:rPr>
                <w:t>http://opendatacommunities.org/data/local-authorities</w:t>
              </w:r>
            </w:hyperlink>
          </w:p>
          <w:p w14:paraId="114F70D2" w14:textId="77777777" w:rsidR="006C40AD" w:rsidRDefault="006C40AD" w:rsidP="00AF12DC">
            <w:pPr>
              <w:pStyle w:val="ListParagraph"/>
              <w:numPr>
                <w:ilvl w:val="0"/>
                <w:numId w:val="35"/>
              </w:numPr>
              <w:ind w:left="714" w:hanging="357"/>
              <w:rPr>
                <w:sz w:val="20"/>
                <w:szCs w:val="20"/>
              </w:rPr>
            </w:pPr>
            <w:proofErr w:type="gramStart"/>
            <w:r>
              <w:rPr>
                <w:rFonts w:eastAsia="Arial"/>
                <w:sz w:val="20"/>
                <w:szCs w:val="20"/>
              </w:rPr>
              <w:t>or</w:t>
            </w:r>
            <w:proofErr w:type="gramEnd"/>
            <w:r>
              <w:rPr>
                <w:rFonts w:eastAsia="Arial"/>
                <w:sz w:val="20"/>
                <w:szCs w:val="20"/>
              </w:rPr>
              <w:t xml:space="preserve"> the Office for National Statistics’ (ONS) Government Statistics Services (GSS) Coding and Naming for Statistical Geographies. </w:t>
            </w:r>
            <w:r>
              <w:rPr>
                <w:sz w:val="20"/>
                <w:szCs w:val="20"/>
              </w:rPr>
              <w:lastRenderedPageBreak/>
              <w:t>(</w:t>
            </w:r>
            <w:hyperlink r:id="rId50" w:history="1">
              <w:r>
                <w:rPr>
                  <w:rStyle w:val="Hyperlink"/>
                  <w:sz w:val="20"/>
                  <w:szCs w:val="20"/>
                </w:rPr>
                <w:t>http://tinyurl.com/onsgeog</w:t>
              </w:r>
            </w:hyperlink>
            <w:r>
              <w:rPr>
                <w:sz w:val="20"/>
                <w:szCs w:val="20"/>
              </w:rPr>
              <w:t>)</w:t>
            </w:r>
          </w:p>
        </w:tc>
        <w:tc>
          <w:tcPr>
            <w:tcW w:w="1597" w:type="dxa"/>
            <w:tcBorders>
              <w:top w:val="single" w:sz="4" w:space="0" w:color="91278F"/>
              <w:left w:val="single" w:sz="4" w:space="0" w:color="91278F"/>
              <w:bottom w:val="single" w:sz="4" w:space="0" w:color="91278F"/>
              <w:right w:val="single" w:sz="4" w:space="0" w:color="91278F"/>
            </w:tcBorders>
            <w:hideMark/>
          </w:tcPr>
          <w:p w14:paraId="2FA7E1C3" w14:textId="77777777" w:rsidR="006C40AD" w:rsidRDefault="006C40AD">
            <w:pPr>
              <w:spacing w:before="120" w:after="120"/>
              <w:rPr>
                <w:sz w:val="20"/>
                <w:szCs w:val="20"/>
              </w:rPr>
            </w:pPr>
            <w:r>
              <w:rPr>
                <w:sz w:val="20"/>
                <w:szCs w:val="20"/>
              </w:rPr>
              <w:lastRenderedPageBreak/>
              <w:t>Optional</w:t>
            </w:r>
          </w:p>
        </w:tc>
      </w:tr>
      <w:tr w:rsidR="003B07FA" w14:paraId="319D7E02"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tcPr>
          <w:p w14:paraId="2880332D" w14:textId="00156BAA" w:rsidR="003B07FA" w:rsidRPr="003B07FA" w:rsidRDefault="003B07FA">
            <w:pPr>
              <w:spacing w:before="120" w:after="120"/>
              <w:rPr>
                <w:sz w:val="20"/>
                <w:szCs w:val="20"/>
              </w:rPr>
            </w:pPr>
            <w:r w:rsidRPr="00804CCF">
              <w:rPr>
                <w:sz w:val="20"/>
                <w:szCs w:val="20"/>
              </w:rPr>
              <w:lastRenderedPageBreak/>
              <w:t>3</w:t>
            </w:r>
          </w:p>
        </w:tc>
        <w:tc>
          <w:tcPr>
            <w:tcW w:w="1496" w:type="dxa"/>
            <w:tcBorders>
              <w:top w:val="single" w:sz="4" w:space="0" w:color="91278F"/>
              <w:left w:val="single" w:sz="4" w:space="0" w:color="91278F"/>
              <w:bottom w:val="single" w:sz="4" w:space="0" w:color="91278F"/>
              <w:right w:val="single" w:sz="4" w:space="0" w:color="91278F"/>
            </w:tcBorders>
          </w:tcPr>
          <w:p w14:paraId="59380782" w14:textId="5F5C185B" w:rsidR="003B07FA" w:rsidRPr="003B07FA" w:rsidRDefault="002F0F4E">
            <w:pPr>
              <w:spacing w:before="120" w:after="120"/>
              <w:rPr>
                <w:sz w:val="20"/>
                <w:szCs w:val="20"/>
              </w:rPr>
            </w:pPr>
            <w:r>
              <w:rPr>
                <w:sz w:val="20"/>
                <w:szCs w:val="20"/>
              </w:rPr>
              <w:t>Effective</w:t>
            </w:r>
            <w:r w:rsidRPr="00804CCF">
              <w:rPr>
                <w:sz w:val="20"/>
                <w:szCs w:val="20"/>
              </w:rPr>
              <w:t xml:space="preserve"> </w:t>
            </w:r>
            <w:r w:rsidR="003B07FA" w:rsidRPr="00804CCF">
              <w:rPr>
                <w:sz w:val="20"/>
                <w:szCs w:val="20"/>
              </w:rPr>
              <w:t>date</w:t>
            </w:r>
          </w:p>
        </w:tc>
        <w:tc>
          <w:tcPr>
            <w:tcW w:w="1906" w:type="dxa"/>
            <w:tcBorders>
              <w:top w:val="single" w:sz="4" w:space="0" w:color="91278F"/>
              <w:left w:val="single" w:sz="4" w:space="0" w:color="91278F"/>
              <w:bottom w:val="single" w:sz="4" w:space="0" w:color="91278F"/>
              <w:right w:val="single" w:sz="4" w:space="0" w:color="91278F"/>
            </w:tcBorders>
          </w:tcPr>
          <w:p w14:paraId="5584EEFA" w14:textId="6B1F4707" w:rsidR="003B07FA" w:rsidRPr="003B07FA" w:rsidRDefault="002F0F4E">
            <w:pPr>
              <w:spacing w:before="120" w:after="120"/>
              <w:rPr>
                <w:sz w:val="20"/>
                <w:szCs w:val="20"/>
              </w:rPr>
            </w:pPr>
            <w:r>
              <w:rPr>
                <w:sz w:val="20"/>
                <w:szCs w:val="20"/>
                <w:shd w:val="clear" w:color="auto" w:fill="FFFFFF"/>
              </w:rPr>
              <w:t>Date at which the information provided is true.</w:t>
            </w:r>
          </w:p>
        </w:tc>
        <w:tc>
          <w:tcPr>
            <w:tcW w:w="2551" w:type="dxa"/>
            <w:tcBorders>
              <w:top w:val="single" w:sz="4" w:space="0" w:color="91278F"/>
              <w:left w:val="single" w:sz="4" w:space="0" w:color="91278F"/>
              <w:bottom w:val="single" w:sz="4" w:space="0" w:color="91278F"/>
              <w:right w:val="single" w:sz="4" w:space="0" w:color="91278F"/>
            </w:tcBorders>
          </w:tcPr>
          <w:p w14:paraId="67D0C41C" w14:textId="4F9690B7" w:rsidR="003B07FA" w:rsidRPr="003B07FA" w:rsidRDefault="003B07FA">
            <w:pPr>
              <w:spacing w:before="120" w:after="120"/>
              <w:rPr>
                <w:sz w:val="20"/>
                <w:szCs w:val="20"/>
              </w:rPr>
            </w:pPr>
            <w:r w:rsidRPr="00804CCF">
              <w:rPr>
                <w:sz w:val="20"/>
                <w:szCs w:val="20"/>
              </w:rPr>
              <w:t>To identify the date to which the data may apply</w:t>
            </w:r>
          </w:p>
        </w:tc>
        <w:tc>
          <w:tcPr>
            <w:tcW w:w="5387" w:type="dxa"/>
            <w:tcBorders>
              <w:top w:val="single" w:sz="4" w:space="0" w:color="91278F"/>
              <w:left w:val="single" w:sz="4" w:space="0" w:color="91278F"/>
              <w:bottom w:val="single" w:sz="4" w:space="0" w:color="91278F"/>
              <w:right w:val="single" w:sz="4" w:space="0" w:color="91278F"/>
            </w:tcBorders>
          </w:tcPr>
          <w:p w14:paraId="0BB54E11" w14:textId="6677A27D" w:rsidR="002F0F4E" w:rsidRDefault="002F0F4E" w:rsidP="002F0F4E">
            <w:r>
              <w:rPr>
                <w:sz w:val="20"/>
                <w:szCs w:val="20"/>
                <w:shd w:val="clear" w:color="auto" w:fill="FFFFFF"/>
              </w:rPr>
              <w:t xml:space="preserve">The end date of accounting period. </w:t>
            </w:r>
            <w:r>
              <w:rPr>
                <w:sz w:val="20"/>
                <w:szCs w:val="20"/>
              </w:rPr>
              <w:t>The UK date format (</w:t>
            </w:r>
            <w:proofErr w:type="spellStart"/>
            <w:r>
              <w:rPr>
                <w:sz w:val="20"/>
                <w:szCs w:val="20"/>
              </w:rPr>
              <w:t>dd</w:t>
            </w:r>
            <w:proofErr w:type="spellEnd"/>
            <w:r>
              <w:rPr>
                <w:sz w:val="20"/>
                <w:szCs w:val="20"/>
              </w:rPr>
              <w:t>/mm/</w:t>
            </w:r>
            <w:proofErr w:type="spellStart"/>
            <w:r>
              <w:rPr>
                <w:sz w:val="20"/>
                <w:szCs w:val="20"/>
              </w:rPr>
              <w:t>yyyy</w:t>
            </w:r>
            <w:proofErr w:type="spellEnd"/>
            <w:r>
              <w:rPr>
                <w:sz w:val="20"/>
                <w:szCs w:val="20"/>
              </w:rPr>
              <w:t>) should be used.</w:t>
            </w:r>
          </w:p>
          <w:p w14:paraId="4F005776" w14:textId="77777777" w:rsidR="003B07FA" w:rsidRPr="00804CCF" w:rsidRDefault="003B07FA">
            <w:pPr>
              <w:spacing w:before="120" w:after="120"/>
              <w:rPr>
                <w:sz w:val="20"/>
                <w:szCs w:val="20"/>
              </w:rPr>
            </w:pPr>
          </w:p>
        </w:tc>
        <w:tc>
          <w:tcPr>
            <w:tcW w:w="1597" w:type="dxa"/>
            <w:tcBorders>
              <w:top w:val="single" w:sz="4" w:space="0" w:color="91278F"/>
              <w:left w:val="single" w:sz="4" w:space="0" w:color="91278F"/>
              <w:bottom w:val="single" w:sz="4" w:space="0" w:color="91278F"/>
              <w:right w:val="single" w:sz="4" w:space="0" w:color="91278F"/>
            </w:tcBorders>
          </w:tcPr>
          <w:p w14:paraId="5B283C48" w14:textId="5E3AA694" w:rsidR="003B07FA" w:rsidRPr="003B07FA" w:rsidRDefault="003B07FA">
            <w:pPr>
              <w:spacing w:before="120" w:after="120"/>
              <w:rPr>
                <w:sz w:val="20"/>
                <w:szCs w:val="20"/>
              </w:rPr>
            </w:pPr>
            <w:r w:rsidRPr="00804CCF">
              <w:rPr>
                <w:sz w:val="20"/>
                <w:szCs w:val="20"/>
              </w:rPr>
              <w:t>Optional</w:t>
            </w:r>
          </w:p>
        </w:tc>
      </w:tr>
      <w:tr w:rsidR="003B07FA" w14:paraId="48352A84"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6F1CE504" w14:textId="7F1A63C9" w:rsidR="003B07FA" w:rsidRDefault="003B07FA">
            <w:pPr>
              <w:spacing w:before="120" w:after="120"/>
              <w:rPr>
                <w:sz w:val="20"/>
                <w:szCs w:val="20"/>
              </w:rPr>
            </w:pPr>
            <w:r>
              <w:rPr>
                <w:sz w:val="20"/>
                <w:szCs w:val="20"/>
              </w:rPr>
              <w:t>4</w:t>
            </w:r>
          </w:p>
        </w:tc>
        <w:tc>
          <w:tcPr>
            <w:tcW w:w="1496" w:type="dxa"/>
            <w:tcBorders>
              <w:top w:val="single" w:sz="4" w:space="0" w:color="91278F"/>
              <w:left w:val="single" w:sz="4" w:space="0" w:color="91278F"/>
              <w:bottom w:val="single" w:sz="4" w:space="0" w:color="91278F"/>
              <w:right w:val="single" w:sz="4" w:space="0" w:color="91278F"/>
            </w:tcBorders>
            <w:hideMark/>
          </w:tcPr>
          <w:p w14:paraId="428AB6A6" w14:textId="77777777" w:rsidR="003B07FA" w:rsidRDefault="003B07FA">
            <w:pPr>
              <w:spacing w:before="120" w:after="120"/>
              <w:rPr>
                <w:sz w:val="20"/>
                <w:szCs w:val="20"/>
              </w:rPr>
            </w:pPr>
            <w:r>
              <w:rPr>
                <w:sz w:val="20"/>
                <w:szCs w:val="20"/>
              </w:rPr>
              <w:t xml:space="preserve">Unique Property Reference Number </w:t>
            </w:r>
          </w:p>
        </w:tc>
        <w:tc>
          <w:tcPr>
            <w:tcW w:w="1906" w:type="dxa"/>
            <w:tcBorders>
              <w:top w:val="single" w:sz="4" w:space="0" w:color="91278F"/>
              <w:left w:val="single" w:sz="4" w:space="0" w:color="91278F"/>
              <w:bottom w:val="single" w:sz="4" w:space="0" w:color="91278F"/>
              <w:right w:val="single" w:sz="4" w:space="0" w:color="91278F"/>
            </w:tcBorders>
            <w:hideMark/>
          </w:tcPr>
          <w:p w14:paraId="5E8DE33B" w14:textId="77777777" w:rsidR="003B07FA" w:rsidRDefault="003B07FA">
            <w:pPr>
              <w:spacing w:before="120" w:after="120"/>
              <w:rPr>
                <w:sz w:val="20"/>
                <w:szCs w:val="20"/>
              </w:rPr>
            </w:pPr>
            <w:r>
              <w:rPr>
                <w:sz w:val="20"/>
                <w:szCs w:val="20"/>
              </w:rPr>
              <w:t>Unique code describing property</w:t>
            </w:r>
          </w:p>
        </w:tc>
        <w:tc>
          <w:tcPr>
            <w:tcW w:w="2551" w:type="dxa"/>
            <w:tcBorders>
              <w:top w:val="single" w:sz="4" w:space="0" w:color="91278F"/>
              <w:left w:val="single" w:sz="4" w:space="0" w:color="91278F"/>
              <w:bottom w:val="single" w:sz="4" w:space="0" w:color="91278F"/>
              <w:right w:val="single" w:sz="4" w:space="0" w:color="91278F"/>
            </w:tcBorders>
            <w:hideMark/>
          </w:tcPr>
          <w:p w14:paraId="045341FA" w14:textId="77777777" w:rsidR="003B07FA" w:rsidRDefault="003B07FA">
            <w:pPr>
              <w:spacing w:before="120" w:after="120"/>
              <w:rPr>
                <w:sz w:val="20"/>
                <w:szCs w:val="20"/>
              </w:rPr>
            </w:pPr>
            <w:r>
              <w:rPr>
                <w:sz w:val="20"/>
                <w:szCs w:val="20"/>
              </w:rPr>
              <w:t>For referencing and data linking</w:t>
            </w:r>
          </w:p>
        </w:tc>
        <w:tc>
          <w:tcPr>
            <w:tcW w:w="5387" w:type="dxa"/>
            <w:tcBorders>
              <w:top w:val="single" w:sz="4" w:space="0" w:color="91278F"/>
              <w:left w:val="single" w:sz="4" w:space="0" w:color="91278F"/>
              <w:bottom w:val="single" w:sz="4" w:space="0" w:color="91278F"/>
              <w:right w:val="single" w:sz="4" w:space="0" w:color="91278F"/>
            </w:tcBorders>
            <w:hideMark/>
          </w:tcPr>
          <w:p w14:paraId="0916CABF" w14:textId="5B1A34AF" w:rsidR="003B07FA" w:rsidRDefault="003B07FA" w:rsidP="006C40AD">
            <w:pPr>
              <w:spacing w:before="120" w:after="120"/>
              <w:rPr>
                <w:sz w:val="20"/>
                <w:szCs w:val="20"/>
              </w:rPr>
            </w:pPr>
            <w:r>
              <w:rPr>
                <w:sz w:val="20"/>
                <w:szCs w:val="20"/>
              </w:rPr>
              <w:t xml:space="preserve">The UPRN is the unique property reference number which uniquely identifies land and properties. The UPRN is created by the local authority in the land and property gazetteer and held in the Address Gazetteer provided by Ordnance </w:t>
            </w:r>
            <w:proofErr w:type="spellStart"/>
            <w:r>
              <w:rPr>
                <w:sz w:val="20"/>
                <w:szCs w:val="20"/>
              </w:rPr>
              <w:t>Survey.Land</w:t>
            </w:r>
            <w:proofErr w:type="spellEnd"/>
            <w:r>
              <w:rPr>
                <w:sz w:val="20"/>
                <w:szCs w:val="20"/>
              </w:rPr>
              <w:t xml:space="preserve"> or buildings may not always have their own UPRN, then use parent UPRN if available. </w:t>
            </w:r>
          </w:p>
        </w:tc>
        <w:tc>
          <w:tcPr>
            <w:tcW w:w="1597" w:type="dxa"/>
            <w:tcBorders>
              <w:top w:val="single" w:sz="4" w:space="0" w:color="91278F"/>
              <w:left w:val="single" w:sz="4" w:space="0" w:color="91278F"/>
              <w:bottom w:val="single" w:sz="4" w:space="0" w:color="91278F"/>
              <w:right w:val="single" w:sz="4" w:space="0" w:color="91278F"/>
            </w:tcBorders>
            <w:hideMark/>
          </w:tcPr>
          <w:p w14:paraId="4A6CBA55" w14:textId="5CF20080" w:rsidR="003B07FA" w:rsidRDefault="003B07FA">
            <w:pPr>
              <w:spacing w:before="120" w:after="120"/>
              <w:rPr>
                <w:sz w:val="20"/>
                <w:szCs w:val="20"/>
              </w:rPr>
            </w:pPr>
            <w:r>
              <w:rPr>
                <w:sz w:val="20"/>
                <w:szCs w:val="20"/>
              </w:rPr>
              <w:t xml:space="preserve">Mandatory only </w:t>
            </w:r>
            <w:r w:rsidR="00585F1C">
              <w:rPr>
                <w:sz w:val="20"/>
                <w:szCs w:val="20"/>
              </w:rPr>
              <w:t>if available</w:t>
            </w:r>
          </w:p>
        </w:tc>
      </w:tr>
      <w:tr w:rsidR="003B07FA" w14:paraId="0B5582BC"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3AACE96A" w14:textId="00EF5F80" w:rsidR="003B07FA" w:rsidRDefault="003B07FA">
            <w:pPr>
              <w:spacing w:before="120" w:after="120"/>
              <w:rPr>
                <w:sz w:val="20"/>
                <w:szCs w:val="20"/>
              </w:rPr>
            </w:pPr>
            <w:r>
              <w:rPr>
                <w:sz w:val="20"/>
                <w:szCs w:val="20"/>
              </w:rPr>
              <w:t>5</w:t>
            </w:r>
          </w:p>
        </w:tc>
        <w:tc>
          <w:tcPr>
            <w:tcW w:w="1496" w:type="dxa"/>
            <w:tcBorders>
              <w:top w:val="single" w:sz="4" w:space="0" w:color="91278F"/>
              <w:left w:val="single" w:sz="4" w:space="0" w:color="91278F"/>
              <w:bottom w:val="single" w:sz="4" w:space="0" w:color="91278F"/>
              <w:right w:val="single" w:sz="4" w:space="0" w:color="91278F"/>
            </w:tcBorders>
            <w:hideMark/>
          </w:tcPr>
          <w:p w14:paraId="16834AB9" w14:textId="77777777" w:rsidR="003B07FA" w:rsidRDefault="003B07FA">
            <w:pPr>
              <w:spacing w:before="120" w:after="120"/>
              <w:rPr>
                <w:sz w:val="20"/>
                <w:szCs w:val="20"/>
              </w:rPr>
            </w:pPr>
            <w:r>
              <w:rPr>
                <w:sz w:val="20"/>
                <w:szCs w:val="20"/>
              </w:rPr>
              <w:t>Unique asset identity</w:t>
            </w:r>
          </w:p>
        </w:tc>
        <w:tc>
          <w:tcPr>
            <w:tcW w:w="1906" w:type="dxa"/>
            <w:tcBorders>
              <w:top w:val="single" w:sz="4" w:space="0" w:color="91278F"/>
              <w:left w:val="single" w:sz="4" w:space="0" w:color="91278F"/>
              <w:bottom w:val="single" w:sz="4" w:space="0" w:color="91278F"/>
              <w:right w:val="single" w:sz="4" w:space="0" w:color="91278F"/>
            </w:tcBorders>
            <w:hideMark/>
          </w:tcPr>
          <w:p w14:paraId="45D64C0F" w14:textId="77777777" w:rsidR="003B07FA" w:rsidRDefault="003B07FA">
            <w:pPr>
              <w:spacing w:before="120" w:after="120"/>
              <w:rPr>
                <w:sz w:val="20"/>
                <w:szCs w:val="20"/>
              </w:rPr>
            </w:pPr>
            <w:r>
              <w:rPr>
                <w:sz w:val="20"/>
                <w:szCs w:val="20"/>
              </w:rPr>
              <w:t>Unique code describing the asset</w:t>
            </w:r>
          </w:p>
        </w:tc>
        <w:tc>
          <w:tcPr>
            <w:tcW w:w="2551" w:type="dxa"/>
            <w:tcBorders>
              <w:top w:val="single" w:sz="4" w:space="0" w:color="91278F"/>
              <w:left w:val="single" w:sz="4" w:space="0" w:color="91278F"/>
              <w:bottom w:val="single" w:sz="4" w:space="0" w:color="91278F"/>
              <w:right w:val="single" w:sz="4" w:space="0" w:color="91278F"/>
            </w:tcBorders>
            <w:hideMark/>
          </w:tcPr>
          <w:p w14:paraId="4930C5C6" w14:textId="77777777" w:rsidR="003B07FA" w:rsidRDefault="003B07FA">
            <w:pPr>
              <w:spacing w:before="120" w:after="120"/>
              <w:rPr>
                <w:sz w:val="20"/>
                <w:szCs w:val="20"/>
              </w:rPr>
            </w:pPr>
            <w:r>
              <w:rPr>
                <w:sz w:val="20"/>
                <w:szCs w:val="20"/>
              </w:rPr>
              <w:t>For referencing and data linking</w:t>
            </w:r>
          </w:p>
        </w:tc>
        <w:tc>
          <w:tcPr>
            <w:tcW w:w="5387" w:type="dxa"/>
            <w:tcBorders>
              <w:top w:val="single" w:sz="4" w:space="0" w:color="91278F"/>
              <w:left w:val="single" w:sz="4" w:space="0" w:color="91278F"/>
              <w:bottom w:val="single" w:sz="4" w:space="0" w:color="91278F"/>
              <w:right w:val="single" w:sz="4" w:space="0" w:color="91278F"/>
            </w:tcBorders>
            <w:hideMark/>
          </w:tcPr>
          <w:p w14:paraId="6F200D1A" w14:textId="77777777" w:rsidR="003B07FA" w:rsidRDefault="003B07FA">
            <w:pPr>
              <w:widowControl/>
              <w:spacing w:before="120" w:after="120"/>
              <w:rPr>
                <w:sz w:val="20"/>
                <w:szCs w:val="20"/>
              </w:rPr>
            </w:pPr>
            <w:r>
              <w:rPr>
                <w:sz w:val="20"/>
                <w:szCs w:val="20"/>
              </w:rPr>
              <w:t>The local reference identifier used by the local body, sometimes known as local name or building block. This must include the original reference number from the data source.</w:t>
            </w:r>
          </w:p>
        </w:tc>
        <w:tc>
          <w:tcPr>
            <w:tcW w:w="1597" w:type="dxa"/>
            <w:tcBorders>
              <w:top w:val="single" w:sz="4" w:space="0" w:color="91278F"/>
              <w:left w:val="single" w:sz="4" w:space="0" w:color="91278F"/>
              <w:bottom w:val="single" w:sz="4" w:space="0" w:color="91278F"/>
              <w:right w:val="single" w:sz="4" w:space="0" w:color="91278F"/>
            </w:tcBorders>
            <w:hideMark/>
          </w:tcPr>
          <w:p w14:paraId="3BA385EC" w14:textId="77777777" w:rsidR="003B07FA" w:rsidRDefault="003B07FA">
            <w:pPr>
              <w:spacing w:before="120" w:after="120"/>
              <w:rPr>
                <w:sz w:val="20"/>
                <w:szCs w:val="20"/>
              </w:rPr>
            </w:pPr>
            <w:r>
              <w:rPr>
                <w:sz w:val="20"/>
                <w:szCs w:val="20"/>
              </w:rPr>
              <w:t>Mandatory</w:t>
            </w:r>
          </w:p>
        </w:tc>
      </w:tr>
      <w:tr w:rsidR="003B07FA" w14:paraId="4398F664" w14:textId="77777777" w:rsidTr="00AF12DC">
        <w:trPr>
          <w:tblCellSpacing w:w="0" w:type="dxa"/>
        </w:trPr>
        <w:tc>
          <w:tcPr>
            <w:tcW w:w="4263" w:type="dxa"/>
            <w:gridSpan w:val="3"/>
            <w:tcBorders>
              <w:top w:val="single" w:sz="4" w:space="0" w:color="91278F"/>
              <w:left w:val="single" w:sz="4" w:space="0" w:color="91278F"/>
              <w:bottom w:val="single" w:sz="4" w:space="0" w:color="91278F"/>
              <w:right w:val="single" w:sz="4" w:space="0" w:color="91278F"/>
            </w:tcBorders>
            <w:hideMark/>
          </w:tcPr>
          <w:p w14:paraId="6A850B29" w14:textId="77777777" w:rsidR="003B07FA" w:rsidRDefault="003B07FA">
            <w:pPr>
              <w:spacing w:before="120" w:after="120"/>
              <w:rPr>
                <w:b/>
                <w:sz w:val="20"/>
                <w:szCs w:val="20"/>
              </w:rPr>
            </w:pPr>
            <w:r>
              <w:rPr>
                <w:b/>
                <w:sz w:val="20"/>
                <w:szCs w:val="20"/>
              </w:rPr>
              <w:t>Address and basic point level location information</w:t>
            </w:r>
          </w:p>
        </w:tc>
        <w:tc>
          <w:tcPr>
            <w:tcW w:w="2551" w:type="dxa"/>
            <w:tcBorders>
              <w:top w:val="single" w:sz="4" w:space="0" w:color="91278F"/>
              <w:left w:val="single" w:sz="4" w:space="0" w:color="91278F"/>
              <w:bottom w:val="single" w:sz="4" w:space="0" w:color="91278F"/>
              <w:right w:val="single" w:sz="4" w:space="0" w:color="91278F"/>
            </w:tcBorders>
            <w:hideMark/>
          </w:tcPr>
          <w:p w14:paraId="0D0A0BD3" w14:textId="73C67BBB" w:rsidR="003B07FA" w:rsidRDefault="003B07FA">
            <w:pPr>
              <w:spacing w:before="120" w:after="120"/>
              <w:rPr>
                <w:b/>
                <w:sz w:val="20"/>
                <w:szCs w:val="20"/>
              </w:rPr>
            </w:pPr>
          </w:p>
        </w:tc>
        <w:tc>
          <w:tcPr>
            <w:tcW w:w="5387" w:type="dxa"/>
            <w:tcBorders>
              <w:top w:val="single" w:sz="4" w:space="0" w:color="91278F"/>
              <w:left w:val="single" w:sz="4" w:space="0" w:color="91278F"/>
              <w:bottom w:val="single" w:sz="4" w:space="0" w:color="91278F"/>
              <w:right w:val="single" w:sz="4" w:space="0" w:color="91278F"/>
            </w:tcBorders>
          </w:tcPr>
          <w:p w14:paraId="55744EA8" w14:textId="77777777" w:rsidR="003B07FA" w:rsidRDefault="003B07FA">
            <w:pPr>
              <w:spacing w:before="120" w:after="120"/>
              <w:rPr>
                <w:sz w:val="20"/>
                <w:szCs w:val="20"/>
              </w:rPr>
            </w:pPr>
          </w:p>
        </w:tc>
        <w:tc>
          <w:tcPr>
            <w:tcW w:w="1597" w:type="dxa"/>
            <w:tcBorders>
              <w:top w:val="single" w:sz="4" w:space="0" w:color="91278F"/>
              <w:left w:val="single" w:sz="4" w:space="0" w:color="91278F"/>
              <w:bottom w:val="single" w:sz="4" w:space="0" w:color="91278F"/>
              <w:right w:val="single" w:sz="4" w:space="0" w:color="91278F"/>
            </w:tcBorders>
          </w:tcPr>
          <w:p w14:paraId="69FA54ED" w14:textId="77777777" w:rsidR="003B07FA" w:rsidRDefault="003B07FA">
            <w:pPr>
              <w:spacing w:before="120" w:after="120"/>
              <w:rPr>
                <w:sz w:val="20"/>
                <w:szCs w:val="20"/>
              </w:rPr>
            </w:pPr>
          </w:p>
        </w:tc>
      </w:tr>
      <w:tr w:rsidR="003B07FA" w14:paraId="075A2AEA"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5E31428D" w14:textId="06364886" w:rsidR="003B07FA" w:rsidRDefault="003B07FA">
            <w:pPr>
              <w:spacing w:before="120" w:after="120"/>
              <w:rPr>
                <w:sz w:val="20"/>
                <w:szCs w:val="20"/>
              </w:rPr>
            </w:pPr>
            <w:r>
              <w:rPr>
                <w:sz w:val="20"/>
                <w:szCs w:val="20"/>
              </w:rPr>
              <w:t>6</w:t>
            </w:r>
          </w:p>
        </w:tc>
        <w:tc>
          <w:tcPr>
            <w:tcW w:w="1496" w:type="dxa"/>
            <w:tcBorders>
              <w:top w:val="single" w:sz="4" w:space="0" w:color="91278F"/>
              <w:left w:val="single" w:sz="4" w:space="0" w:color="91278F"/>
              <w:bottom w:val="single" w:sz="4" w:space="0" w:color="91278F"/>
              <w:right w:val="single" w:sz="4" w:space="0" w:color="91278F"/>
            </w:tcBorders>
            <w:hideMark/>
          </w:tcPr>
          <w:p w14:paraId="22D30E77" w14:textId="77777777" w:rsidR="003B07FA" w:rsidRDefault="003B07FA">
            <w:pPr>
              <w:widowControl/>
              <w:spacing w:before="120" w:after="120"/>
              <w:rPr>
                <w:sz w:val="20"/>
                <w:szCs w:val="20"/>
              </w:rPr>
            </w:pPr>
            <w:r>
              <w:rPr>
                <w:sz w:val="20"/>
                <w:szCs w:val="20"/>
              </w:rPr>
              <w:t>Name of the building/land or both</w:t>
            </w:r>
          </w:p>
        </w:tc>
        <w:tc>
          <w:tcPr>
            <w:tcW w:w="1906" w:type="dxa"/>
            <w:tcBorders>
              <w:top w:val="single" w:sz="4" w:space="0" w:color="91278F"/>
              <w:left w:val="single" w:sz="4" w:space="0" w:color="91278F"/>
              <w:bottom w:val="single" w:sz="4" w:space="0" w:color="91278F"/>
              <w:right w:val="single" w:sz="4" w:space="0" w:color="91278F"/>
            </w:tcBorders>
          </w:tcPr>
          <w:p w14:paraId="15DEACA5" w14:textId="30488838" w:rsidR="003B07FA" w:rsidRDefault="003B07FA">
            <w:pPr>
              <w:spacing w:before="120" w:after="120"/>
              <w:rPr>
                <w:sz w:val="20"/>
                <w:szCs w:val="20"/>
              </w:rPr>
            </w:pPr>
            <w:r>
              <w:rPr>
                <w:sz w:val="20"/>
                <w:szCs w:val="20"/>
              </w:rPr>
              <w:t>Common title or name used for the asset</w:t>
            </w:r>
          </w:p>
        </w:tc>
        <w:tc>
          <w:tcPr>
            <w:tcW w:w="2551" w:type="dxa"/>
            <w:tcBorders>
              <w:top w:val="single" w:sz="4" w:space="0" w:color="91278F"/>
              <w:left w:val="single" w:sz="4" w:space="0" w:color="91278F"/>
              <w:bottom w:val="single" w:sz="4" w:space="0" w:color="91278F"/>
              <w:right w:val="single" w:sz="4" w:space="0" w:color="91278F"/>
            </w:tcBorders>
            <w:hideMark/>
          </w:tcPr>
          <w:p w14:paraId="1A91FF60" w14:textId="77777777" w:rsidR="003B07FA" w:rsidRDefault="003B07FA">
            <w:pPr>
              <w:spacing w:before="120" w:after="120"/>
              <w:rPr>
                <w:sz w:val="20"/>
                <w:szCs w:val="20"/>
              </w:rPr>
            </w:pPr>
            <w:r>
              <w:rPr>
                <w:sz w:val="20"/>
                <w:szCs w:val="20"/>
              </w:rPr>
              <w:t>For identification of asset</w:t>
            </w:r>
          </w:p>
        </w:tc>
        <w:tc>
          <w:tcPr>
            <w:tcW w:w="5387" w:type="dxa"/>
            <w:tcBorders>
              <w:top w:val="single" w:sz="4" w:space="0" w:color="91278F"/>
              <w:left w:val="single" w:sz="4" w:space="0" w:color="91278F"/>
              <w:bottom w:val="single" w:sz="4" w:space="0" w:color="91278F"/>
              <w:right w:val="single" w:sz="4" w:space="0" w:color="91278F"/>
            </w:tcBorders>
            <w:hideMark/>
          </w:tcPr>
          <w:p w14:paraId="602502D9" w14:textId="682458E2" w:rsidR="003B07FA" w:rsidRDefault="003B07FA">
            <w:pPr>
              <w:spacing w:before="120" w:after="120"/>
              <w:rPr>
                <w:sz w:val="20"/>
                <w:szCs w:val="20"/>
              </w:rPr>
            </w:pPr>
            <w:r>
              <w:rPr>
                <w:sz w:val="20"/>
                <w:szCs w:val="20"/>
              </w:rPr>
              <w:t>The name can include the title or a description of the land such as “land to the rear of”.</w:t>
            </w:r>
          </w:p>
        </w:tc>
        <w:tc>
          <w:tcPr>
            <w:tcW w:w="1597" w:type="dxa"/>
            <w:tcBorders>
              <w:top w:val="single" w:sz="4" w:space="0" w:color="91278F"/>
              <w:left w:val="single" w:sz="4" w:space="0" w:color="91278F"/>
              <w:bottom w:val="single" w:sz="4" w:space="0" w:color="91278F"/>
              <w:right w:val="single" w:sz="4" w:space="0" w:color="91278F"/>
            </w:tcBorders>
            <w:hideMark/>
          </w:tcPr>
          <w:p w14:paraId="06EB2E41" w14:textId="60780366" w:rsidR="003B07FA" w:rsidRDefault="003B07FA" w:rsidP="006C40AD">
            <w:pPr>
              <w:spacing w:before="120" w:after="120"/>
              <w:rPr>
                <w:sz w:val="20"/>
                <w:szCs w:val="20"/>
              </w:rPr>
            </w:pPr>
            <w:r>
              <w:rPr>
                <w:sz w:val="20"/>
                <w:szCs w:val="20"/>
              </w:rPr>
              <w:t xml:space="preserve">Mandatory </w:t>
            </w:r>
          </w:p>
        </w:tc>
      </w:tr>
      <w:tr w:rsidR="003B07FA" w14:paraId="0F5FCF4E"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292D086F" w14:textId="451E0A7A" w:rsidR="003B07FA" w:rsidRDefault="003B07FA">
            <w:pPr>
              <w:spacing w:before="120" w:after="120"/>
              <w:rPr>
                <w:sz w:val="20"/>
                <w:szCs w:val="20"/>
              </w:rPr>
            </w:pPr>
            <w:r>
              <w:rPr>
                <w:sz w:val="20"/>
                <w:szCs w:val="20"/>
              </w:rPr>
              <w:t>7</w:t>
            </w:r>
          </w:p>
        </w:tc>
        <w:tc>
          <w:tcPr>
            <w:tcW w:w="1496" w:type="dxa"/>
            <w:tcBorders>
              <w:top w:val="single" w:sz="4" w:space="0" w:color="91278F"/>
              <w:left w:val="single" w:sz="4" w:space="0" w:color="91278F"/>
              <w:bottom w:val="single" w:sz="4" w:space="0" w:color="91278F"/>
              <w:right w:val="single" w:sz="4" w:space="0" w:color="91278F"/>
            </w:tcBorders>
            <w:hideMark/>
          </w:tcPr>
          <w:p w14:paraId="3FA9515B" w14:textId="77777777" w:rsidR="003B07FA" w:rsidRDefault="003B07FA">
            <w:pPr>
              <w:spacing w:before="120" w:after="120"/>
              <w:rPr>
                <w:sz w:val="20"/>
                <w:szCs w:val="20"/>
              </w:rPr>
            </w:pPr>
            <w:r>
              <w:rPr>
                <w:sz w:val="20"/>
                <w:szCs w:val="20"/>
              </w:rPr>
              <w:t>Street number</w:t>
            </w:r>
          </w:p>
        </w:tc>
        <w:tc>
          <w:tcPr>
            <w:tcW w:w="1906" w:type="dxa"/>
            <w:tcBorders>
              <w:top w:val="single" w:sz="4" w:space="0" w:color="91278F"/>
              <w:left w:val="single" w:sz="4" w:space="0" w:color="91278F"/>
              <w:bottom w:val="single" w:sz="4" w:space="0" w:color="91278F"/>
              <w:right w:val="single" w:sz="4" w:space="0" w:color="91278F"/>
            </w:tcBorders>
            <w:hideMark/>
          </w:tcPr>
          <w:p w14:paraId="5DA2F164" w14:textId="77777777" w:rsidR="003B07FA" w:rsidRDefault="003B07FA">
            <w:pPr>
              <w:spacing w:before="120" w:after="120"/>
              <w:rPr>
                <w:sz w:val="20"/>
                <w:szCs w:val="20"/>
              </w:rPr>
            </w:pPr>
            <w:r>
              <w:rPr>
                <w:sz w:val="20"/>
                <w:szCs w:val="20"/>
              </w:rPr>
              <w:t>Number of land or building</w:t>
            </w:r>
          </w:p>
        </w:tc>
        <w:tc>
          <w:tcPr>
            <w:tcW w:w="2551" w:type="dxa"/>
            <w:tcBorders>
              <w:top w:val="single" w:sz="4" w:space="0" w:color="91278F"/>
              <w:left w:val="single" w:sz="4" w:space="0" w:color="91278F"/>
              <w:bottom w:val="single" w:sz="4" w:space="0" w:color="91278F"/>
              <w:right w:val="single" w:sz="4" w:space="0" w:color="91278F"/>
            </w:tcBorders>
            <w:hideMark/>
          </w:tcPr>
          <w:p w14:paraId="4F13614B" w14:textId="77777777" w:rsidR="003B07FA" w:rsidRDefault="003B07FA">
            <w:pPr>
              <w:spacing w:before="120" w:after="120"/>
              <w:rPr>
                <w:sz w:val="20"/>
                <w:szCs w:val="20"/>
              </w:rPr>
            </w:pPr>
            <w:r>
              <w:rPr>
                <w:sz w:val="20"/>
                <w:szCs w:val="20"/>
              </w:rPr>
              <w:t>For identification of asset</w:t>
            </w:r>
          </w:p>
        </w:tc>
        <w:tc>
          <w:tcPr>
            <w:tcW w:w="5387" w:type="dxa"/>
            <w:tcBorders>
              <w:top w:val="single" w:sz="4" w:space="0" w:color="91278F"/>
              <w:left w:val="single" w:sz="4" w:space="0" w:color="91278F"/>
              <w:bottom w:val="single" w:sz="4" w:space="0" w:color="91278F"/>
              <w:right w:val="single" w:sz="4" w:space="0" w:color="91278F"/>
            </w:tcBorders>
            <w:hideMark/>
          </w:tcPr>
          <w:p w14:paraId="35885D87" w14:textId="77777777" w:rsidR="003B07FA" w:rsidRDefault="003B07FA">
            <w:pPr>
              <w:widowControl/>
              <w:spacing w:before="120" w:after="120"/>
              <w:rPr>
                <w:sz w:val="20"/>
                <w:szCs w:val="20"/>
              </w:rPr>
            </w:pPr>
            <w:r>
              <w:rPr>
                <w:sz w:val="20"/>
                <w:szCs w:val="20"/>
              </w:rPr>
              <w:t>street number or numbers - any sets of 2 or more numbers should be separated with the ‘-‘ symbol (</w:t>
            </w:r>
            <w:proofErr w:type="spellStart"/>
            <w:r>
              <w:rPr>
                <w:sz w:val="20"/>
                <w:szCs w:val="20"/>
              </w:rPr>
              <w:t>eg</w:t>
            </w:r>
            <w:proofErr w:type="spellEnd"/>
            <w:r>
              <w:rPr>
                <w:sz w:val="20"/>
                <w:szCs w:val="20"/>
              </w:rPr>
              <w:t>. 10-15 London Road)</w:t>
            </w:r>
          </w:p>
          <w:p w14:paraId="4B78D15E" w14:textId="77777777" w:rsidR="003B07FA" w:rsidRDefault="003B07FA">
            <w:pPr>
              <w:widowControl/>
              <w:spacing w:before="120" w:after="120"/>
              <w:rPr>
                <w:sz w:val="20"/>
                <w:szCs w:val="20"/>
              </w:rPr>
            </w:pPr>
            <w:r>
              <w:rPr>
                <w:sz w:val="20"/>
                <w:szCs w:val="20"/>
              </w:rPr>
              <w:lastRenderedPageBreak/>
              <w:t>Not required for vacant properties</w:t>
            </w:r>
          </w:p>
        </w:tc>
        <w:tc>
          <w:tcPr>
            <w:tcW w:w="1597" w:type="dxa"/>
            <w:tcBorders>
              <w:top w:val="single" w:sz="4" w:space="0" w:color="91278F"/>
              <w:left w:val="single" w:sz="4" w:space="0" w:color="91278F"/>
              <w:bottom w:val="single" w:sz="4" w:space="0" w:color="91278F"/>
              <w:right w:val="single" w:sz="4" w:space="0" w:color="91278F"/>
            </w:tcBorders>
            <w:hideMark/>
          </w:tcPr>
          <w:p w14:paraId="7504EE5E" w14:textId="77777777" w:rsidR="003B07FA" w:rsidRDefault="003B07FA">
            <w:pPr>
              <w:spacing w:before="120" w:after="120"/>
              <w:rPr>
                <w:sz w:val="20"/>
                <w:szCs w:val="20"/>
              </w:rPr>
            </w:pPr>
            <w:r>
              <w:rPr>
                <w:sz w:val="20"/>
                <w:szCs w:val="20"/>
              </w:rPr>
              <w:lastRenderedPageBreak/>
              <w:t>Mandatory/</w:t>
            </w:r>
          </w:p>
          <w:p w14:paraId="59398994" w14:textId="77777777" w:rsidR="003B07FA" w:rsidRDefault="003B07FA">
            <w:pPr>
              <w:spacing w:before="120" w:after="120"/>
              <w:rPr>
                <w:sz w:val="20"/>
                <w:szCs w:val="20"/>
              </w:rPr>
            </w:pPr>
            <w:r>
              <w:rPr>
                <w:sz w:val="20"/>
                <w:szCs w:val="20"/>
              </w:rPr>
              <w:t>not for vacant property</w:t>
            </w:r>
          </w:p>
        </w:tc>
      </w:tr>
      <w:tr w:rsidR="003B07FA" w14:paraId="41E08AA0"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69A0A353" w14:textId="7E85721F" w:rsidR="003B07FA" w:rsidRDefault="003B07FA">
            <w:pPr>
              <w:spacing w:before="120" w:after="120"/>
              <w:rPr>
                <w:sz w:val="20"/>
                <w:szCs w:val="20"/>
              </w:rPr>
            </w:pPr>
            <w:r>
              <w:rPr>
                <w:sz w:val="20"/>
                <w:szCs w:val="20"/>
              </w:rPr>
              <w:lastRenderedPageBreak/>
              <w:t>8</w:t>
            </w:r>
          </w:p>
        </w:tc>
        <w:tc>
          <w:tcPr>
            <w:tcW w:w="1496" w:type="dxa"/>
            <w:tcBorders>
              <w:top w:val="single" w:sz="4" w:space="0" w:color="91278F"/>
              <w:left w:val="single" w:sz="4" w:space="0" w:color="91278F"/>
              <w:bottom w:val="single" w:sz="4" w:space="0" w:color="91278F"/>
              <w:right w:val="single" w:sz="4" w:space="0" w:color="91278F"/>
            </w:tcBorders>
            <w:hideMark/>
          </w:tcPr>
          <w:p w14:paraId="52A685A3" w14:textId="77777777" w:rsidR="003B07FA" w:rsidRDefault="003B07FA">
            <w:pPr>
              <w:spacing w:before="120" w:after="120"/>
              <w:rPr>
                <w:sz w:val="20"/>
                <w:szCs w:val="20"/>
              </w:rPr>
            </w:pPr>
            <w:r>
              <w:rPr>
                <w:sz w:val="20"/>
                <w:szCs w:val="20"/>
              </w:rPr>
              <w:t>Street Name</w:t>
            </w:r>
          </w:p>
        </w:tc>
        <w:tc>
          <w:tcPr>
            <w:tcW w:w="1906" w:type="dxa"/>
            <w:tcBorders>
              <w:top w:val="single" w:sz="4" w:space="0" w:color="91278F"/>
              <w:left w:val="single" w:sz="4" w:space="0" w:color="91278F"/>
              <w:bottom w:val="single" w:sz="4" w:space="0" w:color="91278F"/>
              <w:right w:val="single" w:sz="4" w:space="0" w:color="91278F"/>
            </w:tcBorders>
            <w:hideMark/>
          </w:tcPr>
          <w:p w14:paraId="596199ED" w14:textId="77777777" w:rsidR="003B07FA" w:rsidRDefault="003B07FA">
            <w:pPr>
              <w:spacing w:before="120" w:after="120"/>
              <w:rPr>
                <w:sz w:val="20"/>
                <w:szCs w:val="20"/>
              </w:rPr>
            </w:pPr>
            <w:r>
              <w:rPr>
                <w:sz w:val="20"/>
                <w:szCs w:val="20"/>
              </w:rPr>
              <w:t>Postal road address</w:t>
            </w:r>
          </w:p>
        </w:tc>
        <w:tc>
          <w:tcPr>
            <w:tcW w:w="2551" w:type="dxa"/>
            <w:tcBorders>
              <w:top w:val="single" w:sz="4" w:space="0" w:color="91278F"/>
              <w:left w:val="single" w:sz="4" w:space="0" w:color="91278F"/>
              <w:bottom w:val="single" w:sz="4" w:space="0" w:color="91278F"/>
              <w:right w:val="single" w:sz="4" w:space="0" w:color="91278F"/>
            </w:tcBorders>
            <w:hideMark/>
          </w:tcPr>
          <w:p w14:paraId="105AFF87" w14:textId="77777777" w:rsidR="003B07FA" w:rsidRDefault="003B07FA">
            <w:pPr>
              <w:spacing w:before="120" w:after="120"/>
              <w:rPr>
                <w:sz w:val="20"/>
                <w:szCs w:val="20"/>
              </w:rPr>
            </w:pPr>
            <w:r>
              <w:rPr>
                <w:sz w:val="20"/>
                <w:szCs w:val="20"/>
              </w:rPr>
              <w:t>For identification of asset</w:t>
            </w:r>
          </w:p>
        </w:tc>
        <w:tc>
          <w:tcPr>
            <w:tcW w:w="5387" w:type="dxa"/>
            <w:tcBorders>
              <w:top w:val="single" w:sz="4" w:space="0" w:color="91278F"/>
              <w:left w:val="single" w:sz="4" w:space="0" w:color="91278F"/>
              <w:bottom w:val="single" w:sz="4" w:space="0" w:color="91278F"/>
              <w:right w:val="single" w:sz="4" w:space="0" w:color="91278F"/>
            </w:tcBorders>
            <w:hideMark/>
          </w:tcPr>
          <w:p w14:paraId="0E099D23" w14:textId="77777777" w:rsidR="003B07FA" w:rsidRDefault="003B07FA">
            <w:pPr>
              <w:spacing w:before="120" w:after="120"/>
              <w:rPr>
                <w:sz w:val="20"/>
                <w:szCs w:val="20"/>
              </w:rPr>
            </w:pPr>
            <w:r>
              <w:rPr>
                <w:sz w:val="20"/>
                <w:szCs w:val="20"/>
              </w:rPr>
              <w:t xml:space="preserve">The Code refers to postal road addresses but local authorities can provide the road as specified in the National Address Gazetteer. </w:t>
            </w:r>
          </w:p>
        </w:tc>
        <w:tc>
          <w:tcPr>
            <w:tcW w:w="1597" w:type="dxa"/>
            <w:tcBorders>
              <w:top w:val="single" w:sz="4" w:space="0" w:color="91278F"/>
              <w:left w:val="single" w:sz="4" w:space="0" w:color="91278F"/>
              <w:bottom w:val="single" w:sz="4" w:space="0" w:color="91278F"/>
              <w:right w:val="single" w:sz="4" w:space="0" w:color="91278F"/>
            </w:tcBorders>
            <w:hideMark/>
          </w:tcPr>
          <w:p w14:paraId="21DDF8F2" w14:textId="77777777" w:rsidR="003B07FA" w:rsidRDefault="003B07FA">
            <w:pPr>
              <w:spacing w:before="120" w:after="120"/>
              <w:rPr>
                <w:sz w:val="20"/>
                <w:szCs w:val="20"/>
              </w:rPr>
            </w:pPr>
            <w:r>
              <w:rPr>
                <w:sz w:val="20"/>
                <w:szCs w:val="20"/>
              </w:rPr>
              <w:t>Mandatory/</w:t>
            </w:r>
          </w:p>
          <w:p w14:paraId="5BA41C5A" w14:textId="77777777" w:rsidR="003B07FA" w:rsidRDefault="003B07FA">
            <w:pPr>
              <w:spacing w:before="120" w:after="120"/>
              <w:rPr>
                <w:sz w:val="20"/>
                <w:szCs w:val="20"/>
              </w:rPr>
            </w:pPr>
            <w:r>
              <w:rPr>
                <w:sz w:val="20"/>
                <w:szCs w:val="20"/>
              </w:rPr>
              <w:t>not for vacant property</w:t>
            </w:r>
          </w:p>
        </w:tc>
      </w:tr>
      <w:tr w:rsidR="003B07FA" w14:paraId="58096719"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5E330579" w14:textId="294831C2" w:rsidR="003B07FA" w:rsidRDefault="003B07FA">
            <w:pPr>
              <w:spacing w:before="120" w:after="120"/>
              <w:rPr>
                <w:sz w:val="20"/>
                <w:szCs w:val="20"/>
              </w:rPr>
            </w:pPr>
            <w:r>
              <w:rPr>
                <w:sz w:val="20"/>
                <w:szCs w:val="20"/>
              </w:rPr>
              <w:t>9</w:t>
            </w:r>
          </w:p>
        </w:tc>
        <w:tc>
          <w:tcPr>
            <w:tcW w:w="1496" w:type="dxa"/>
            <w:tcBorders>
              <w:top w:val="single" w:sz="4" w:space="0" w:color="91278F"/>
              <w:left w:val="single" w:sz="4" w:space="0" w:color="91278F"/>
              <w:bottom w:val="single" w:sz="4" w:space="0" w:color="91278F"/>
              <w:right w:val="single" w:sz="4" w:space="0" w:color="91278F"/>
            </w:tcBorders>
            <w:hideMark/>
          </w:tcPr>
          <w:p w14:paraId="6665DBA1" w14:textId="29F4CDEE" w:rsidR="003B07FA" w:rsidRDefault="002F0F4E">
            <w:pPr>
              <w:spacing w:before="120" w:after="120"/>
              <w:rPr>
                <w:sz w:val="20"/>
                <w:szCs w:val="20"/>
              </w:rPr>
            </w:pPr>
            <w:r>
              <w:rPr>
                <w:sz w:val="20"/>
                <w:szCs w:val="20"/>
              </w:rPr>
              <w:t>Town</w:t>
            </w:r>
          </w:p>
        </w:tc>
        <w:tc>
          <w:tcPr>
            <w:tcW w:w="1906" w:type="dxa"/>
            <w:tcBorders>
              <w:top w:val="single" w:sz="4" w:space="0" w:color="91278F"/>
              <w:left w:val="single" w:sz="4" w:space="0" w:color="91278F"/>
              <w:bottom w:val="single" w:sz="4" w:space="0" w:color="91278F"/>
              <w:right w:val="single" w:sz="4" w:space="0" w:color="91278F"/>
            </w:tcBorders>
            <w:hideMark/>
          </w:tcPr>
          <w:p w14:paraId="6CA7A62C" w14:textId="4ABA999F" w:rsidR="003B07FA" w:rsidRDefault="003B07FA">
            <w:pPr>
              <w:spacing w:before="120" w:after="120"/>
              <w:rPr>
                <w:sz w:val="20"/>
                <w:szCs w:val="20"/>
              </w:rPr>
            </w:pPr>
            <w:r>
              <w:rPr>
                <w:sz w:val="20"/>
                <w:szCs w:val="20"/>
              </w:rPr>
              <w:t>Name of post town</w:t>
            </w:r>
            <w:r w:rsidR="002F0F4E">
              <w:rPr>
                <w:sz w:val="20"/>
                <w:szCs w:val="20"/>
              </w:rPr>
              <w:t xml:space="preserve"> or town</w:t>
            </w:r>
          </w:p>
        </w:tc>
        <w:tc>
          <w:tcPr>
            <w:tcW w:w="2551" w:type="dxa"/>
            <w:tcBorders>
              <w:top w:val="single" w:sz="4" w:space="0" w:color="91278F"/>
              <w:left w:val="single" w:sz="4" w:space="0" w:color="91278F"/>
              <w:bottom w:val="single" w:sz="4" w:space="0" w:color="91278F"/>
              <w:right w:val="single" w:sz="4" w:space="0" w:color="91278F"/>
            </w:tcBorders>
            <w:hideMark/>
          </w:tcPr>
          <w:p w14:paraId="769EDB65" w14:textId="77777777" w:rsidR="003B07FA" w:rsidRDefault="003B07FA">
            <w:pPr>
              <w:spacing w:before="120" w:after="120"/>
              <w:rPr>
                <w:sz w:val="20"/>
                <w:szCs w:val="20"/>
              </w:rPr>
            </w:pPr>
            <w:r>
              <w:rPr>
                <w:sz w:val="20"/>
                <w:szCs w:val="20"/>
              </w:rPr>
              <w:t>For identification of asset</w:t>
            </w:r>
          </w:p>
        </w:tc>
        <w:tc>
          <w:tcPr>
            <w:tcW w:w="5387" w:type="dxa"/>
            <w:tcBorders>
              <w:top w:val="single" w:sz="4" w:space="0" w:color="91278F"/>
              <w:left w:val="single" w:sz="4" w:space="0" w:color="91278F"/>
              <w:bottom w:val="single" w:sz="4" w:space="0" w:color="91278F"/>
              <w:right w:val="single" w:sz="4" w:space="0" w:color="91278F"/>
            </w:tcBorders>
            <w:hideMark/>
          </w:tcPr>
          <w:p w14:paraId="4753A3CF" w14:textId="77777777" w:rsidR="003B07FA" w:rsidRDefault="003B07FA">
            <w:pPr>
              <w:spacing w:before="120" w:after="120"/>
              <w:rPr>
                <w:sz w:val="20"/>
                <w:szCs w:val="20"/>
              </w:rPr>
            </w:pPr>
            <w:r>
              <w:rPr>
                <w:sz w:val="20"/>
                <w:szCs w:val="20"/>
              </w:rPr>
              <w:t>The Code refers to postal addresses but local authorities can provide the town as specified in the National Address Gazetteer.</w:t>
            </w:r>
          </w:p>
        </w:tc>
        <w:tc>
          <w:tcPr>
            <w:tcW w:w="1597" w:type="dxa"/>
            <w:tcBorders>
              <w:top w:val="single" w:sz="4" w:space="0" w:color="91278F"/>
              <w:left w:val="single" w:sz="4" w:space="0" w:color="91278F"/>
              <w:bottom w:val="single" w:sz="4" w:space="0" w:color="91278F"/>
              <w:right w:val="single" w:sz="4" w:space="0" w:color="91278F"/>
            </w:tcBorders>
            <w:hideMark/>
          </w:tcPr>
          <w:p w14:paraId="6EC00840" w14:textId="77777777" w:rsidR="003B07FA" w:rsidRDefault="003B07FA">
            <w:pPr>
              <w:spacing w:before="120" w:after="120"/>
              <w:rPr>
                <w:sz w:val="20"/>
                <w:szCs w:val="20"/>
              </w:rPr>
            </w:pPr>
            <w:r>
              <w:rPr>
                <w:sz w:val="20"/>
                <w:szCs w:val="20"/>
              </w:rPr>
              <w:t>Mandatory</w:t>
            </w:r>
          </w:p>
        </w:tc>
      </w:tr>
      <w:tr w:rsidR="003B07FA" w14:paraId="0793F4E9"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7BC520FD" w14:textId="74A207D7" w:rsidR="003B07FA" w:rsidRDefault="003B07FA">
            <w:pPr>
              <w:spacing w:before="120" w:after="120"/>
              <w:rPr>
                <w:sz w:val="20"/>
                <w:szCs w:val="20"/>
              </w:rPr>
            </w:pPr>
            <w:r>
              <w:rPr>
                <w:sz w:val="20"/>
                <w:szCs w:val="20"/>
              </w:rPr>
              <w:t>10</w:t>
            </w:r>
          </w:p>
        </w:tc>
        <w:tc>
          <w:tcPr>
            <w:tcW w:w="1496" w:type="dxa"/>
            <w:tcBorders>
              <w:top w:val="single" w:sz="4" w:space="0" w:color="91278F"/>
              <w:left w:val="single" w:sz="4" w:space="0" w:color="91278F"/>
              <w:bottom w:val="single" w:sz="4" w:space="0" w:color="91278F"/>
              <w:right w:val="single" w:sz="4" w:space="0" w:color="91278F"/>
            </w:tcBorders>
            <w:hideMark/>
          </w:tcPr>
          <w:p w14:paraId="548F943A" w14:textId="77777777" w:rsidR="003B07FA" w:rsidRDefault="003B07FA">
            <w:pPr>
              <w:spacing w:before="120" w:after="120"/>
              <w:rPr>
                <w:sz w:val="20"/>
                <w:szCs w:val="20"/>
              </w:rPr>
            </w:pPr>
            <w:r>
              <w:rPr>
                <w:sz w:val="20"/>
                <w:szCs w:val="20"/>
              </w:rPr>
              <w:t>UK Postcode</w:t>
            </w:r>
          </w:p>
        </w:tc>
        <w:tc>
          <w:tcPr>
            <w:tcW w:w="1906" w:type="dxa"/>
            <w:tcBorders>
              <w:top w:val="single" w:sz="4" w:space="0" w:color="91278F"/>
              <w:left w:val="single" w:sz="4" w:space="0" w:color="91278F"/>
              <w:bottom w:val="single" w:sz="4" w:space="0" w:color="91278F"/>
              <w:right w:val="single" w:sz="4" w:space="0" w:color="91278F"/>
            </w:tcBorders>
            <w:hideMark/>
          </w:tcPr>
          <w:p w14:paraId="23365AE6" w14:textId="77777777" w:rsidR="003B07FA" w:rsidRDefault="003B07FA">
            <w:pPr>
              <w:spacing w:before="120" w:after="120"/>
              <w:rPr>
                <w:sz w:val="20"/>
                <w:szCs w:val="20"/>
              </w:rPr>
            </w:pPr>
            <w:r>
              <w:rPr>
                <w:sz w:val="20"/>
                <w:szCs w:val="20"/>
              </w:rPr>
              <w:t>To identify the postal address of the land or building</w:t>
            </w:r>
          </w:p>
        </w:tc>
        <w:tc>
          <w:tcPr>
            <w:tcW w:w="2551" w:type="dxa"/>
            <w:tcBorders>
              <w:top w:val="single" w:sz="4" w:space="0" w:color="91278F"/>
              <w:left w:val="single" w:sz="4" w:space="0" w:color="91278F"/>
              <w:bottom w:val="single" w:sz="4" w:space="0" w:color="91278F"/>
              <w:right w:val="single" w:sz="4" w:space="0" w:color="91278F"/>
            </w:tcBorders>
            <w:hideMark/>
          </w:tcPr>
          <w:p w14:paraId="7749FD9F" w14:textId="77777777" w:rsidR="003B07FA" w:rsidRDefault="003B07FA">
            <w:pPr>
              <w:spacing w:before="120" w:after="120"/>
              <w:rPr>
                <w:sz w:val="20"/>
                <w:szCs w:val="20"/>
              </w:rPr>
            </w:pPr>
            <w:r>
              <w:rPr>
                <w:sz w:val="20"/>
                <w:szCs w:val="20"/>
              </w:rPr>
              <w:t>For identification of asset</w:t>
            </w:r>
          </w:p>
        </w:tc>
        <w:tc>
          <w:tcPr>
            <w:tcW w:w="5387" w:type="dxa"/>
            <w:tcBorders>
              <w:top w:val="single" w:sz="4" w:space="0" w:color="91278F"/>
              <w:left w:val="single" w:sz="4" w:space="0" w:color="91278F"/>
              <w:bottom w:val="single" w:sz="4" w:space="0" w:color="91278F"/>
              <w:right w:val="single" w:sz="4" w:space="0" w:color="91278F"/>
            </w:tcBorders>
            <w:hideMark/>
          </w:tcPr>
          <w:p w14:paraId="6C93B552" w14:textId="5F331222" w:rsidR="003B07FA" w:rsidRDefault="003B07FA">
            <w:pPr>
              <w:spacing w:before="120" w:after="120"/>
              <w:rPr>
                <w:sz w:val="20"/>
                <w:szCs w:val="20"/>
              </w:rPr>
            </w:pPr>
            <w:r>
              <w:rPr>
                <w:sz w:val="20"/>
                <w:szCs w:val="20"/>
              </w:rPr>
              <w:t xml:space="preserve">For vacant properties only first part (i.e. </w:t>
            </w:r>
            <w:r>
              <w:rPr>
                <w:sz w:val="20"/>
                <w:szCs w:val="20"/>
                <w:lang w:val="en"/>
              </w:rPr>
              <w:t>W1A)</w:t>
            </w:r>
            <w:r>
              <w:rPr>
                <w:sz w:val="20"/>
                <w:szCs w:val="20"/>
              </w:rPr>
              <w:t xml:space="preserve"> is </w:t>
            </w:r>
            <w:r w:rsidR="00E35395">
              <w:rPr>
                <w:sz w:val="20"/>
                <w:szCs w:val="20"/>
              </w:rPr>
              <w:t>required. A</w:t>
            </w:r>
            <w:r>
              <w:rPr>
                <w:sz w:val="20"/>
                <w:szCs w:val="20"/>
              </w:rPr>
              <w:t xml:space="preserve"> piece of land may not have a postal address in which case either leave blank or derive a postcode from nearest address.</w:t>
            </w:r>
          </w:p>
        </w:tc>
        <w:tc>
          <w:tcPr>
            <w:tcW w:w="1597" w:type="dxa"/>
            <w:tcBorders>
              <w:top w:val="single" w:sz="4" w:space="0" w:color="91278F"/>
              <w:left w:val="single" w:sz="4" w:space="0" w:color="91278F"/>
              <w:bottom w:val="single" w:sz="4" w:space="0" w:color="91278F"/>
              <w:right w:val="single" w:sz="4" w:space="0" w:color="91278F"/>
            </w:tcBorders>
            <w:hideMark/>
          </w:tcPr>
          <w:p w14:paraId="799FEEAA" w14:textId="77777777" w:rsidR="003B07FA" w:rsidRDefault="003B07FA">
            <w:pPr>
              <w:spacing w:before="120" w:after="120"/>
              <w:rPr>
                <w:sz w:val="20"/>
                <w:szCs w:val="20"/>
              </w:rPr>
            </w:pPr>
            <w:r>
              <w:rPr>
                <w:sz w:val="20"/>
                <w:szCs w:val="20"/>
              </w:rPr>
              <w:t>Mandatory</w:t>
            </w:r>
          </w:p>
        </w:tc>
      </w:tr>
      <w:tr w:rsidR="003B07FA" w14:paraId="490B33DA" w14:textId="77777777" w:rsidTr="00E35395">
        <w:trPr>
          <w:trHeight w:val="2283"/>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52273994" w14:textId="1A7813A0" w:rsidR="003B07FA" w:rsidRDefault="003B07FA">
            <w:pPr>
              <w:spacing w:before="120" w:after="120"/>
              <w:rPr>
                <w:sz w:val="20"/>
                <w:szCs w:val="20"/>
              </w:rPr>
            </w:pPr>
            <w:r>
              <w:rPr>
                <w:sz w:val="20"/>
                <w:szCs w:val="20"/>
              </w:rPr>
              <w:t>11</w:t>
            </w:r>
          </w:p>
        </w:tc>
        <w:tc>
          <w:tcPr>
            <w:tcW w:w="1496" w:type="dxa"/>
            <w:tcBorders>
              <w:top w:val="single" w:sz="4" w:space="0" w:color="91278F"/>
              <w:left w:val="single" w:sz="4" w:space="0" w:color="91278F"/>
              <w:bottom w:val="single" w:sz="4" w:space="0" w:color="91278F"/>
              <w:right w:val="single" w:sz="4" w:space="0" w:color="91278F"/>
            </w:tcBorders>
            <w:hideMark/>
          </w:tcPr>
          <w:p w14:paraId="45D8BFAD" w14:textId="77777777" w:rsidR="003B07FA" w:rsidRDefault="003B07FA">
            <w:pPr>
              <w:spacing w:before="120" w:after="120"/>
              <w:rPr>
                <w:sz w:val="20"/>
                <w:szCs w:val="20"/>
              </w:rPr>
            </w:pPr>
            <w:r>
              <w:rPr>
                <w:sz w:val="20"/>
                <w:szCs w:val="20"/>
              </w:rPr>
              <w:t>Coordinate</w:t>
            </w:r>
          </w:p>
          <w:p w14:paraId="273E32AE" w14:textId="77777777" w:rsidR="003B07FA" w:rsidRDefault="003B07FA">
            <w:pPr>
              <w:spacing w:before="120" w:after="120"/>
              <w:rPr>
                <w:sz w:val="20"/>
                <w:szCs w:val="20"/>
              </w:rPr>
            </w:pPr>
            <w:r>
              <w:rPr>
                <w:sz w:val="20"/>
                <w:szCs w:val="20"/>
              </w:rPr>
              <w:t>Reference</w:t>
            </w:r>
          </w:p>
          <w:p w14:paraId="182B0718" w14:textId="77777777" w:rsidR="003B07FA" w:rsidRDefault="003B07FA">
            <w:pPr>
              <w:spacing w:before="120" w:after="120"/>
              <w:rPr>
                <w:sz w:val="20"/>
                <w:szCs w:val="20"/>
              </w:rPr>
            </w:pPr>
            <w:r>
              <w:rPr>
                <w:sz w:val="20"/>
                <w:szCs w:val="20"/>
              </w:rPr>
              <w:t>System</w:t>
            </w:r>
          </w:p>
        </w:tc>
        <w:tc>
          <w:tcPr>
            <w:tcW w:w="1906" w:type="dxa"/>
            <w:tcBorders>
              <w:top w:val="single" w:sz="4" w:space="0" w:color="91278F"/>
              <w:left w:val="single" w:sz="4" w:space="0" w:color="91278F"/>
              <w:bottom w:val="single" w:sz="4" w:space="0" w:color="91278F"/>
              <w:right w:val="single" w:sz="4" w:space="0" w:color="91278F"/>
            </w:tcBorders>
            <w:hideMark/>
          </w:tcPr>
          <w:p w14:paraId="45BBDAF1" w14:textId="77777777" w:rsidR="003B07FA" w:rsidRDefault="003B07FA">
            <w:pPr>
              <w:spacing w:before="120" w:after="120"/>
              <w:rPr>
                <w:sz w:val="20"/>
                <w:szCs w:val="20"/>
              </w:rPr>
            </w:pPr>
            <w:r>
              <w:rPr>
                <w:sz w:val="20"/>
                <w:szCs w:val="20"/>
              </w:rPr>
              <w:t>Indicate which coordinate reference system the geographic coordinate will refer to.</w:t>
            </w:r>
          </w:p>
        </w:tc>
        <w:tc>
          <w:tcPr>
            <w:tcW w:w="2551" w:type="dxa"/>
            <w:tcBorders>
              <w:top w:val="single" w:sz="4" w:space="0" w:color="91278F"/>
              <w:left w:val="single" w:sz="4" w:space="0" w:color="91278F"/>
              <w:bottom w:val="single" w:sz="4" w:space="0" w:color="91278F"/>
              <w:right w:val="single" w:sz="4" w:space="0" w:color="91278F"/>
            </w:tcBorders>
            <w:hideMark/>
          </w:tcPr>
          <w:p w14:paraId="52CB245E" w14:textId="77777777" w:rsidR="003B07FA" w:rsidRDefault="003B07FA">
            <w:pPr>
              <w:spacing w:before="120" w:after="120"/>
              <w:rPr>
                <w:sz w:val="20"/>
                <w:szCs w:val="20"/>
              </w:rPr>
            </w:pPr>
            <w:r>
              <w:rPr>
                <w:sz w:val="20"/>
                <w:szCs w:val="20"/>
              </w:rPr>
              <w:t>To identify which reference system is used</w:t>
            </w:r>
          </w:p>
        </w:tc>
        <w:tc>
          <w:tcPr>
            <w:tcW w:w="5387" w:type="dxa"/>
            <w:tcBorders>
              <w:top w:val="single" w:sz="4" w:space="0" w:color="91278F"/>
              <w:left w:val="single" w:sz="4" w:space="0" w:color="91278F"/>
              <w:bottom w:val="single" w:sz="4" w:space="0" w:color="91278F"/>
              <w:right w:val="single" w:sz="4" w:space="0" w:color="91278F"/>
            </w:tcBorders>
            <w:hideMark/>
          </w:tcPr>
          <w:p w14:paraId="563F1BAA" w14:textId="77777777" w:rsidR="003B07FA" w:rsidRDefault="003B07FA">
            <w:pPr>
              <w:spacing w:after="0"/>
              <w:rPr>
                <w:sz w:val="20"/>
                <w:szCs w:val="20"/>
              </w:rPr>
            </w:pPr>
            <w:r>
              <w:rPr>
                <w:sz w:val="20"/>
                <w:szCs w:val="20"/>
              </w:rPr>
              <w:t>Values, if specified, can be:</w:t>
            </w:r>
          </w:p>
          <w:p w14:paraId="4E1529B7" w14:textId="77777777" w:rsidR="003B07FA" w:rsidRDefault="003B07FA" w:rsidP="00AF12DC">
            <w:pPr>
              <w:pStyle w:val="ListParagraph"/>
              <w:numPr>
                <w:ilvl w:val="0"/>
                <w:numId w:val="41"/>
              </w:numPr>
              <w:spacing w:before="0" w:after="0"/>
              <w:rPr>
                <w:sz w:val="20"/>
                <w:szCs w:val="20"/>
              </w:rPr>
            </w:pPr>
            <w:r>
              <w:rPr>
                <w:sz w:val="20"/>
                <w:szCs w:val="20"/>
              </w:rPr>
              <w:t xml:space="preserve">WGS84 (see </w:t>
            </w:r>
            <w:hyperlink r:id="rId51" w:history="1">
              <w:r>
                <w:rPr>
                  <w:rStyle w:val="Hyperlink"/>
                  <w:color w:val="0070C0"/>
                  <w:sz w:val="20"/>
                  <w:szCs w:val="20"/>
                </w:rPr>
                <w:t>http://en.wikipedia.org/wiki/WGS84</w:t>
              </w:r>
            </w:hyperlink>
            <w:r>
              <w:rPr>
                <w:sz w:val="20"/>
                <w:szCs w:val="20"/>
              </w:rPr>
              <w:t>) - version of latitude and longitude.; or</w:t>
            </w:r>
          </w:p>
          <w:p w14:paraId="1CEE2CF8" w14:textId="77777777" w:rsidR="003B07FA" w:rsidRDefault="003B07FA" w:rsidP="00AF12DC">
            <w:pPr>
              <w:pStyle w:val="ListParagraph"/>
              <w:numPr>
                <w:ilvl w:val="0"/>
                <w:numId w:val="41"/>
              </w:numPr>
              <w:spacing w:before="120" w:after="120"/>
              <w:rPr>
                <w:sz w:val="20"/>
                <w:szCs w:val="20"/>
              </w:rPr>
            </w:pPr>
            <w:r>
              <w:rPr>
                <w:sz w:val="20"/>
                <w:szCs w:val="20"/>
              </w:rPr>
              <w:t xml:space="preserve">OSGB36 (see </w:t>
            </w:r>
            <w:hyperlink r:id="rId52" w:history="1">
              <w:r>
                <w:rPr>
                  <w:rStyle w:val="Hyperlink"/>
                  <w:color w:val="0070C0"/>
                  <w:sz w:val="20"/>
                  <w:szCs w:val="20"/>
                </w:rPr>
                <w:t>http://en.wikipedia.org/wiki/Ordnance_Survey_National_Grid</w:t>
              </w:r>
            </w:hyperlink>
            <w:r>
              <w:rPr>
                <w:sz w:val="20"/>
                <w:szCs w:val="20"/>
              </w:rPr>
              <w:t>) - version of northing and easting.</w:t>
            </w:r>
          </w:p>
        </w:tc>
        <w:tc>
          <w:tcPr>
            <w:tcW w:w="1597" w:type="dxa"/>
            <w:tcBorders>
              <w:top w:val="single" w:sz="4" w:space="0" w:color="91278F"/>
              <w:left w:val="single" w:sz="4" w:space="0" w:color="91278F"/>
              <w:bottom w:val="single" w:sz="4" w:space="0" w:color="91278F"/>
              <w:right w:val="single" w:sz="4" w:space="0" w:color="91278F"/>
            </w:tcBorders>
            <w:hideMark/>
          </w:tcPr>
          <w:p w14:paraId="783FF79D" w14:textId="77777777" w:rsidR="003B07FA" w:rsidRDefault="003B07FA">
            <w:pPr>
              <w:spacing w:before="120" w:after="120"/>
              <w:rPr>
                <w:sz w:val="20"/>
                <w:szCs w:val="20"/>
              </w:rPr>
            </w:pPr>
            <w:r>
              <w:rPr>
                <w:sz w:val="20"/>
                <w:szCs w:val="20"/>
              </w:rPr>
              <w:t>Optional</w:t>
            </w:r>
          </w:p>
        </w:tc>
      </w:tr>
      <w:tr w:rsidR="003B07FA" w14:paraId="486A08F2"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4DD108BD" w14:textId="04084E68" w:rsidR="003B07FA" w:rsidRDefault="003B07FA">
            <w:pPr>
              <w:spacing w:before="120" w:after="120"/>
              <w:rPr>
                <w:sz w:val="20"/>
                <w:szCs w:val="20"/>
              </w:rPr>
            </w:pPr>
            <w:r>
              <w:rPr>
                <w:sz w:val="20"/>
                <w:szCs w:val="20"/>
              </w:rPr>
              <w:t>12</w:t>
            </w:r>
          </w:p>
        </w:tc>
        <w:tc>
          <w:tcPr>
            <w:tcW w:w="1496" w:type="dxa"/>
            <w:tcBorders>
              <w:top w:val="single" w:sz="4" w:space="0" w:color="91278F"/>
              <w:left w:val="single" w:sz="4" w:space="0" w:color="91278F"/>
              <w:bottom w:val="single" w:sz="4" w:space="0" w:color="91278F"/>
              <w:right w:val="single" w:sz="4" w:space="0" w:color="91278F"/>
            </w:tcBorders>
            <w:hideMark/>
          </w:tcPr>
          <w:p w14:paraId="67490CA1" w14:textId="77777777" w:rsidR="003B07FA" w:rsidRDefault="003B07FA">
            <w:pPr>
              <w:spacing w:before="120" w:after="120"/>
              <w:rPr>
                <w:sz w:val="20"/>
                <w:szCs w:val="20"/>
              </w:rPr>
            </w:pPr>
            <w:proofErr w:type="spellStart"/>
            <w:r>
              <w:rPr>
                <w:sz w:val="20"/>
                <w:szCs w:val="20"/>
              </w:rPr>
              <w:t>GeoX</w:t>
            </w:r>
            <w:proofErr w:type="spellEnd"/>
          </w:p>
        </w:tc>
        <w:tc>
          <w:tcPr>
            <w:tcW w:w="1906" w:type="dxa"/>
            <w:vMerge w:val="restart"/>
            <w:tcBorders>
              <w:top w:val="single" w:sz="4" w:space="0" w:color="91278F"/>
              <w:left w:val="single" w:sz="4" w:space="0" w:color="91278F"/>
              <w:bottom w:val="single" w:sz="4" w:space="0" w:color="91278F"/>
              <w:right w:val="single" w:sz="4" w:space="0" w:color="91278F"/>
            </w:tcBorders>
          </w:tcPr>
          <w:p w14:paraId="787671BF" w14:textId="77777777" w:rsidR="003B07FA" w:rsidRDefault="003B07FA">
            <w:pPr>
              <w:spacing w:before="120" w:after="120"/>
              <w:rPr>
                <w:sz w:val="20"/>
                <w:szCs w:val="20"/>
              </w:rPr>
            </w:pPr>
          </w:p>
        </w:tc>
        <w:tc>
          <w:tcPr>
            <w:tcW w:w="2551" w:type="dxa"/>
            <w:vMerge w:val="restart"/>
            <w:tcBorders>
              <w:top w:val="single" w:sz="4" w:space="0" w:color="91278F"/>
              <w:left w:val="single" w:sz="4" w:space="0" w:color="91278F"/>
              <w:bottom w:val="single" w:sz="4" w:space="0" w:color="91278F"/>
              <w:right w:val="single" w:sz="4" w:space="0" w:color="91278F"/>
            </w:tcBorders>
            <w:hideMark/>
          </w:tcPr>
          <w:p w14:paraId="72F6B6DA" w14:textId="77777777" w:rsidR="003B07FA" w:rsidRDefault="003B07FA">
            <w:pPr>
              <w:spacing w:before="120" w:after="120"/>
              <w:rPr>
                <w:sz w:val="20"/>
                <w:szCs w:val="20"/>
              </w:rPr>
            </w:pPr>
            <w:r>
              <w:rPr>
                <w:sz w:val="20"/>
                <w:szCs w:val="20"/>
              </w:rPr>
              <w:t>To enable asset to be plotted on a map</w:t>
            </w:r>
          </w:p>
        </w:tc>
        <w:tc>
          <w:tcPr>
            <w:tcW w:w="5387" w:type="dxa"/>
            <w:tcBorders>
              <w:top w:val="single" w:sz="4" w:space="0" w:color="91278F"/>
              <w:left w:val="single" w:sz="4" w:space="0" w:color="91278F"/>
              <w:bottom w:val="single" w:sz="4" w:space="0" w:color="91278F"/>
              <w:right w:val="single" w:sz="4" w:space="0" w:color="91278F"/>
            </w:tcBorders>
            <w:hideMark/>
          </w:tcPr>
          <w:p w14:paraId="7DD1BCCE" w14:textId="77777777" w:rsidR="003B07FA" w:rsidRDefault="003B07FA">
            <w:pPr>
              <w:widowControl/>
              <w:spacing w:before="120" w:after="120"/>
              <w:rPr>
                <w:sz w:val="20"/>
                <w:szCs w:val="20"/>
              </w:rPr>
            </w:pPr>
            <w:r>
              <w:rPr>
                <w:sz w:val="20"/>
                <w:szCs w:val="20"/>
              </w:rPr>
              <w:t>geocoding, usually a centre point of the asset location in</w:t>
            </w:r>
          </w:p>
          <w:p w14:paraId="72453587" w14:textId="77777777" w:rsidR="003B07FA" w:rsidRDefault="003B07FA" w:rsidP="00AF12DC">
            <w:pPr>
              <w:pStyle w:val="ListParagraph"/>
              <w:numPr>
                <w:ilvl w:val="0"/>
                <w:numId w:val="42"/>
              </w:numPr>
              <w:spacing w:before="120" w:after="120"/>
              <w:rPr>
                <w:sz w:val="20"/>
                <w:szCs w:val="20"/>
              </w:rPr>
            </w:pPr>
            <w:r>
              <w:rPr>
                <w:sz w:val="20"/>
                <w:szCs w:val="20"/>
              </w:rPr>
              <w:t>Longitude in accordance with ISO 6709 Standard Representation for Geographic Point Location by Coordinates or</w:t>
            </w:r>
          </w:p>
          <w:p w14:paraId="64235E46" w14:textId="77777777" w:rsidR="003B07FA" w:rsidRDefault="003B07FA" w:rsidP="00AF12DC">
            <w:pPr>
              <w:pStyle w:val="ListParagraph"/>
              <w:numPr>
                <w:ilvl w:val="0"/>
                <w:numId w:val="42"/>
              </w:numPr>
              <w:spacing w:before="120" w:after="120"/>
              <w:rPr>
                <w:sz w:val="20"/>
                <w:szCs w:val="20"/>
              </w:rPr>
            </w:pPr>
            <w:r>
              <w:rPr>
                <w:sz w:val="20"/>
                <w:szCs w:val="20"/>
              </w:rPr>
              <w:t xml:space="preserve">Easting grid reference according to Ordnance Survey </w:t>
            </w:r>
          </w:p>
        </w:tc>
        <w:tc>
          <w:tcPr>
            <w:tcW w:w="1597" w:type="dxa"/>
            <w:vMerge w:val="restart"/>
            <w:tcBorders>
              <w:top w:val="single" w:sz="4" w:space="0" w:color="91278F"/>
              <w:left w:val="single" w:sz="4" w:space="0" w:color="91278F"/>
              <w:bottom w:val="single" w:sz="4" w:space="0" w:color="91278F"/>
              <w:right w:val="single" w:sz="4" w:space="0" w:color="91278F"/>
            </w:tcBorders>
            <w:hideMark/>
          </w:tcPr>
          <w:p w14:paraId="3BE4825D" w14:textId="454B82A2" w:rsidR="003B07FA" w:rsidRDefault="003B07FA" w:rsidP="00485BC8">
            <w:pPr>
              <w:spacing w:before="120" w:after="120"/>
              <w:rPr>
                <w:sz w:val="20"/>
                <w:szCs w:val="20"/>
              </w:rPr>
            </w:pPr>
            <w:r>
              <w:rPr>
                <w:sz w:val="20"/>
                <w:szCs w:val="20"/>
              </w:rPr>
              <w:t>Mandatory not for vacant property</w:t>
            </w:r>
          </w:p>
        </w:tc>
      </w:tr>
      <w:tr w:rsidR="003B07FA" w14:paraId="517C3174"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26E5F99E" w14:textId="2517DB1C" w:rsidR="003B07FA" w:rsidRDefault="003B07FA">
            <w:pPr>
              <w:spacing w:before="120" w:after="120"/>
              <w:rPr>
                <w:sz w:val="20"/>
                <w:szCs w:val="20"/>
              </w:rPr>
            </w:pPr>
            <w:r>
              <w:rPr>
                <w:sz w:val="20"/>
                <w:szCs w:val="20"/>
              </w:rPr>
              <w:lastRenderedPageBreak/>
              <w:t>13</w:t>
            </w:r>
          </w:p>
        </w:tc>
        <w:tc>
          <w:tcPr>
            <w:tcW w:w="1496" w:type="dxa"/>
            <w:tcBorders>
              <w:top w:val="single" w:sz="4" w:space="0" w:color="91278F"/>
              <w:left w:val="single" w:sz="4" w:space="0" w:color="91278F"/>
              <w:bottom w:val="single" w:sz="4" w:space="0" w:color="91278F"/>
              <w:right w:val="single" w:sz="4" w:space="0" w:color="91278F"/>
            </w:tcBorders>
            <w:hideMark/>
          </w:tcPr>
          <w:p w14:paraId="5FA5E3BC" w14:textId="77777777" w:rsidR="003B07FA" w:rsidRDefault="003B07FA">
            <w:pPr>
              <w:spacing w:before="120" w:after="120"/>
              <w:rPr>
                <w:sz w:val="20"/>
                <w:szCs w:val="20"/>
              </w:rPr>
            </w:pPr>
            <w:proofErr w:type="spellStart"/>
            <w:r>
              <w:rPr>
                <w:sz w:val="20"/>
                <w:szCs w:val="20"/>
              </w:rPr>
              <w:t>GeoY</w:t>
            </w:r>
            <w:proofErr w:type="spellEnd"/>
          </w:p>
        </w:tc>
        <w:tc>
          <w:tcPr>
            <w:tcW w:w="1906" w:type="dxa"/>
            <w:vMerge/>
            <w:tcBorders>
              <w:top w:val="single" w:sz="4" w:space="0" w:color="91278F"/>
              <w:left w:val="single" w:sz="4" w:space="0" w:color="91278F"/>
              <w:bottom w:val="single" w:sz="4" w:space="0" w:color="91278F"/>
              <w:right w:val="single" w:sz="4" w:space="0" w:color="91278F"/>
            </w:tcBorders>
            <w:vAlign w:val="center"/>
            <w:hideMark/>
          </w:tcPr>
          <w:p w14:paraId="7A1E8C1E" w14:textId="77777777" w:rsidR="003B07FA" w:rsidRDefault="003B07FA">
            <w:pPr>
              <w:widowControl/>
              <w:spacing w:before="0" w:after="0"/>
              <w:rPr>
                <w:sz w:val="20"/>
                <w:szCs w:val="20"/>
              </w:rPr>
            </w:pPr>
          </w:p>
        </w:tc>
        <w:tc>
          <w:tcPr>
            <w:tcW w:w="2551" w:type="dxa"/>
            <w:vMerge/>
            <w:tcBorders>
              <w:top w:val="single" w:sz="4" w:space="0" w:color="91278F"/>
              <w:left w:val="single" w:sz="4" w:space="0" w:color="91278F"/>
              <w:bottom w:val="single" w:sz="4" w:space="0" w:color="91278F"/>
              <w:right w:val="single" w:sz="4" w:space="0" w:color="91278F"/>
            </w:tcBorders>
            <w:vAlign w:val="center"/>
            <w:hideMark/>
          </w:tcPr>
          <w:p w14:paraId="00F25F87" w14:textId="77777777" w:rsidR="003B07FA" w:rsidRDefault="003B07FA">
            <w:pPr>
              <w:widowControl/>
              <w:spacing w:before="0" w:after="0"/>
              <w:rPr>
                <w:sz w:val="20"/>
                <w:szCs w:val="20"/>
              </w:rPr>
            </w:pPr>
          </w:p>
        </w:tc>
        <w:tc>
          <w:tcPr>
            <w:tcW w:w="5387" w:type="dxa"/>
            <w:tcBorders>
              <w:top w:val="single" w:sz="4" w:space="0" w:color="91278F"/>
              <w:left w:val="single" w:sz="4" w:space="0" w:color="91278F"/>
              <w:bottom w:val="single" w:sz="4" w:space="0" w:color="91278F"/>
              <w:right w:val="single" w:sz="4" w:space="0" w:color="91278F"/>
            </w:tcBorders>
            <w:hideMark/>
          </w:tcPr>
          <w:p w14:paraId="6D475EA2" w14:textId="77777777" w:rsidR="003B07FA" w:rsidRDefault="003B07FA">
            <w:pPr>
              <w:widowControl/>
              <w:spacing w:before="120" w:after="120"/>
              <w:rPr>
                <w:sz w:val="20"/>
                <w:szCs w:val="20"/>
              </w:rPr>
            </w:pPr>
            <w:r>
              <w:rPr>
                <w:sz w:val="20"/>
                <w:szCs w:val="20"/>
              </w:rPr>
              <w:t>geocoding, usually a centre point of the asset location in</w:t>
            </w:r>
          </w:p>
          <w:p w14:paraId="66066D94" w14:textId="77777777" w:rsidR="003B07FA" w:rsidRDefault="003B07FA" w:rsidP="00AF12DC">
            <w:pPr>
              <w:pStyle w:val="ListParagraph"/>
              <w:numPr>
                <w:ilvl w:val="0"/>
                <w:numId w:val="43"/>
              </w:numPr>
              <w:spacing w:before="120" w:after="120"/>
              <w:rPr>
                <w:sz w:val="20"/>
                <w:szCs w:val="20"/>
              </w:rPr>
            </w:pPr>
            <w:r>
              <w:rPr>
                <w:sz w:val="20"/>
                <w:szCs w:val="20"/>
              </w:rPr>
              <w:t>Latitude in accordance with ISO 6709 Standard Representation for Geographic Point Location by Coordinates or</w:t>
            </w:r>
          </w:p>
          <w:p w14:paraId="1FA6AE65" w14:textId="77777777" w:rsidR="003B07FA" w:rsidRDefault="003B07FA" w:rsidP="00AF12DC">
            <w:pPr>
              <w:pStyle w:val="ListParagraph"/>
              <w:numPr>
                <w:ilvl w:val="0"/>
                <w:numId w:val="43"/>
              </w:numPr>
              <w:spacing w:before="120" w:after="120"/>
              <w:rPr>
                <w:sz w:val="20"/>
                <w:szCs w:val="20"/>
              </w:rPr>
            </w:pPr>
            <w:r>
              <w:rPr>
                <w:sz w:val="20"/>
                <w:szCs w:val="20"/>
              </w:rPr>
              <w:t xml:space="preserve">Northing grid reference according to Ordnance Survey </w:t>
            </w:r>
          </w:p>
        </w:tc>
        <w:tc>
          <w:tcPr>
            <w:tcW w:w="1597" w:type="dxa"/>
            <w:vMerge/>
            <w:tcBorders>
              <w:top w:val="single" w:sz="4" w:space="0" w:color="91278F"/>
              <w:left w:val="single" w:sz="4" w:space="0" w:color="91278F"/>
              <w:bottom w:val="single" w:sz="4" w:space="0" w:color="91278F"/>
              <w:right w:val="single" w:sz="4" w:space="0" w:color="91278F"/>
            </w:tcBorders>
            <w:vAlign w:val="center"/>
            <w:hideMark/>
          </w:tcPr>
          <w:p w14:paraId="587D142F" w14:textId="77777777" w:rsidR="003B07FA" w:rsidRDefault="003B07FA">
            <w:pPr>
              <w:widowControl/>
              <w:spacing w:before="0" w:after="0"/>
              <w:rPr>
                <w:sz w:val="20"/>
                <w:szCs w:val="20"/>
              </w:rPr>
            </w:pPr>
          </w:p>
        </w:tc>
      </w:tr>
      <w:tr w:rsidR="003B07FA" w14:paraId="58612469"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24821BF0" w14:textId="13DBF40A" w:rsidR="003B07FA" w:rsidRDefault="003B07FA" w:rsidP="006C40AD">
            <w:pPr>
              <w:spacing w:before="120" w:after="120"/>
              <w:rPr>
                <w:sz w:val="20"/>
                <w:szCs w:val="20"/>
              </w:rPr>
            </w:pPr>
            <w:r>
              <w:rPr>
                <w:sz w:val="20"/>
                <w:szCs w:val="20"/>
              </w:rPr>
              <w:t>14</w:t>
            </w:r>
          </w:p>
        </w:tc>
        <w:tc>
          <w:tcPr>
            <w:tcW w:w="1496" w:type="dxa"/>
            <w:tcBorders>
              <w:top w:val="single" w:sz="4" w:space="0" w:color="91278F"/>
              <w:left w:val="single" w:sz="4" w:space="0" w:color="91278F"/>
              <w:bottom w:val="single" w:sz="4" w:space="0" w:color="91278F"/>
              <w:right w:val="single" w:sz="4" w:space="0" w:color="91278F"/>
            </w:tcBorders>
            <w:hideMark/>
          </w:tcPr>
          <w:p w14:paraId="2E769623" w14:textId="77777777" w:rsidR="003B07FA" w:rsidRDefault="003B07FA">
            <w:pPr>
              <w:spacing w:before="120" w:after="120"/>
              <w:rPr>
                <w:sz w:val="20"/>
                <w:szCs w:val="20"/>
              </w:rPr>
            </w:pPr>
            <w:proofErr w:type="spellStart"/>
            <w:r>
              <w:rPr>
                <w:sz w:val="20"/>
                <w:szCs w:val="20"/>
              </w:rPr>
              <w:t>GeoPoint</w:t>
            </w:r>
            <w:proofErr w:type="spellEnd"/>
          </w:p>
          <w:p w14:paraId="166A8F4A" w14:textId="77777777" w:rsidR="003B07FA" w:rsidRDefault="003B07FA">
            <w:pPr>
              <w:spacing w:before="120" w:after="120"/>
              <w:rPr>
                <w:sz w:val="20"/>
                <w:szCs w:val="20"/>
              </w:rPr>
            </w:pPr>
            <w:r>
              <w:rPr>
                <w:sz w:val="20"/>
                <w:szCs w:val="20"/>
              </w:rPr>
              <w:t>Licensing URI</w:t>
            </w:r>
          </w:p>
        </w:tc>
        <w:tc>
          <w:tcPr>
            <w:tcW w:w="1906" w:type="dxa"/>
            <w:tcBorders>
              <w:top w:val="single" w:sz="4" w:space="0" w:color="91278F"/>
              <w:left w:val="single" w:sz="4" w:space="0" w:color="91278F"/>
              <w:bottom w:val="single" w:sz="4" w:space="0" w:color="91278F"/>
              <w:right w:val="single" w:sz="4" w:space="0" w:color="91278F"/>
            </w:tcBorders>
          </w:tcPr>
          <w:p w14:paraId="1107C3CE" w14:textId="77777777" w:rsidR="003B07FA" w:rsidRDefault="003B07FA">
            <w:pPr>
              <w:spacing w:before="120" w:after="120"/>
              <w:rPr>
                <w:sz w:val="20"/>
                <w:szCs w:val="20"/>
              </w:rPr>
            </w:pPr>
          </w:p>
        </w:tc>
        <w:tc>
          <w:tcPr>
            <w:tcW w:w="2551" w:type="dxa"/>
            <w:tcBorders>
              <w:top w:val="single" w:sz="4" w:space="0" w:color="91278F"/>
              <w:left w:val="single" w:sz="4" w:space="0" w:color="91278F"/>
              <w:bottom w:val="single" w:sz="4" w:space="0" w:color="91278F"/>
              <w:right w:val="single" w:sz="4" w:space="0" w:color="91278F"/>
            </w:tcBorders>
          </w:tcPr>
          <w:p w14:paraId="71EF78F8" w14:textId="77777777" w:rsidR="003B07FA" w:rsidRDefault="003B07FA">
            <w:pPr>
              <w:spacing w:before="120" w:after="120"/>
              <w:rPr>
                <w:sz w:val="20"/>
                <w:szCs w:val="20"/>
              </w:rPr>
            </w:pPr>
          </w:p>
        </w:tc>
        <w:tc>
          <w:tcPr>
            <w:tcW w:w="5387" w:type="dxa"/>
            <w:tcBorders>
              <w:top w:val="single" w:sz="4" w:space="0" w:color="91278F"/>
              <w:left w:val="single" w:sz="4" w:space="0" w:color="91278F"/>
              <w:bottom w:val="single" w:sz="4" w:space="0" w:color="91278F"/>
              <w:right w:val="single" w:sz="4" w:space="0" w:color="91278F"/>
            </w:tcBorders>
            <w:hideMark/>
          </w:tcPr>
          <w:p w14:paraId="0B00B8B5" w14:textId="7CDF6A59" w:rsidR="003B07FA" w:rsidRDefault="003B07FA">
            <w:pPr>
              <w:spacing w:before="120" w:after="120"/>
              <w:rPr>
                <w:sz w:val="20"/>
                <w:szCs w:val="20"/>
              </w:rPr>
            </w:pPr>
            <w:r>
              <w:rPr>
                <w:sz w:val="20"/>
                <w:szCs w:val="20"/>
              </w:rPr>
              <w:t xml:space="preserve">URL of any page that describes any licensing restrictions on using the northing and easting and UPRN values. Where </w:t>
            </w:r>
            <w:proofErr w:type="spellStart"/>
            <w:r>
              <w:rPr>
                <w:sz w:val="20"/>
                <w:szCs w:val="20"/>
              </w:rPr>
              <w:t>GeoX</w:t>
            </w:r>
            <w:proofErr w:type="spellEnd"/>
            <w:r>
              <w:rPr>
                <w:sz w:val="20"/>
                <w:szCs w:val="20"/>
              </w:rPr>
              <w:t xml:space="preserve"> and </w:t>
            </w:r>
            <w:proofErr w:type="spellStart"/>
            <w:r>
              <w:rPr>
                <w:sz w:val="20"/>
                <w:szCs w:val="20"/>
              </w:rPr>
              <w:t>GeoY</w:t>
            </w:r>
            <w:proofErr w:type="spellEnd"/>
            <w:r>
              <w:rPr>
                <w:sz w:val="20"/>
                <w:szCs w:val="20"/>
              </w:rPr>
              <w:t xml:space="preserve"> field values are derived from Ordnance Survey maps, this field should use the URL </w:t>
            </w:r>
            <w:hyperlink r:id="rId53" w:history="1">
              <w:r>
                <w:rPr>
                  <w:rStyle w:val="Hyperlink"/>
                  <w:sz w:val="20"/>
                  <w:szCs w:val="20"/>
                </w:rPr>
                <w:t>http://www.ordnancesurvey.co.uk/business-and-government/help-and-support/public-sector/guidance/derived-data-exemptions.html</w:t>
              </w:r>
            </w:hyperlink>
            <w:r>
              <w:rPr>
                <w:sz w:val="20"/>
                <w:szCs w:val="20"/>
              </w:rPr>
              <w:t xml:space="preserve"> or the URL of another page that attributes the data to </w:t>
            </w:r>
            <w:r w:rsidR="00485BC8">
              <w:rPr>
                <w:sz w:val="20"/>
                <w:szCs w:val="20"/>
              </w:rPr>
              <w:t>O</w:t>
            </w:r>
            <w:r>
              <w:rPr>
                <w:sz w:val="20"/>
                <w:szCs w:val="20"/>
              </w:rPr>
              <w:t>rdnance Survey.</w:t>
            </w:r>
          </w:p>
        </w:tc>
        <w:tc>
          <w:tcPr>
            <w:tcW w:w="1597" w:type="dxa"/>
            <w:tcBorders>
              <w:top w:val="single" w:sz="4" w:space="0" w:color="91278F"/>
              <w:left w:val="single" w:sz="4" w:space="0" w:color="91278F"/>
              <w:bottom w:val="single" w:sz="4" w:space="0" w:color="91278F"/>
              <w:right w:val="single" w:sz="4" w:space="0" w:color="91278F"/>
            </w:tcBorders>
            <w:hideMark/>
          </w:tcPr>
          <w:p w14:paraId="35BABFE9" w14:textId="77777777" w:rsidR="003B07FA" w:rsidRDefault="003B07FA">
            <w:pPr>
              <w:spacing w:before="120" w:after="120"/>
              <w:rPr>
                <w:sz w:val="20"/>
                <w:szCs w:val="20"/>
              </w:rPr>
            </w:pPr>
            <w:r>
              <w:rPr>
                <w:sz w:val="20"/>
                <w:szCs w:val="20"/>
              </w:rPr>
              <w:t>Optional</w:t>
            </w:r>
          </w:p>
        </w:tc>
      </w:tr>
      <w:tr w:rsidR="003B07FA" w14:paraId="2C8023B8" w14:textId="77777777" w:rsidTr="00AF12DC">
        <w:trPr>
          <w:tblCellSpacing w:w="0" w:type="dxa"/>
        </w:trPr>
        <w:tc>
          <w:tcPr>
            <w:tcW w:w="13798" w:type="dxa"/>
            <w:gridSpan w:val="6"/>
            <w:tcBorders>
              <w:top w:val="single" w:sz="4" w:space="0" w:color="91278F"/>
              <w:left w:val="single" w:sz="4" w:space="0" w:color="91278F"/>
              <w:bottom w:val="single" w:sz="4" w:space="0" w:color="91278F"/>
              <w:right w:val="single" w:sz="4" w:space="0" w:color="91278F"/>
            </w:tcBorders>
            <w:hideMark/>
          </w:tcPr>
          <w:p w14:paraId="21BEB706" w14:textId="77777777" w:rsidR="003B07FA" w:rsidRDefault="003B07FA">
            <w:pPr>
              <w:spacing w:before="120" w:after="120"/>
              <w:rPr>
                <w:b/>
                <w:sz w:val="20"/>
                <w:szCs w:val="20"/>
              </w:rPr>
            </w:pPr>
            <w:r>
              <w:rPr>
                <w:b/>
                <w:sz w:val="20"/>
                <w:szCs w:val="20"/>
              </w:rPr>
              <w:t>Core attribute information</w:t>
            </w:r>
          </w:p>
        </w:tc>
      </w:tr>
      <w:tr w:rsidR="003B07FA" w14:paraId="32207CBB"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4AE708B5" w14:textId="13CCE5E3" w:rsidR="003B07FA" w:rsidRDefault="003B07FA" w:rsidP="006C40AD">
            <w:pPr>
              <w:spacing w:before="120" w:after="120"/>
              <w:rPr>
                <w:sz w:val="20"/>
                <w:szCs w:val="20"/>
              </w:rPr>
            </w:pPr>
            <w:r>
              <w:rPr>
                <w:sz w:val="20"/>
                <w:szCs w:val="20"/>
              </w:rPr>
              <w:t>15</w:t>
            </w:r>
          </w:p>
        </w:tc>
        <w:tc>
          <w:tcPr>
            <w:tcW w:w="1496" w:type="dxa"/>
            <w:tcBorders>
              <w:top w:val="single" w:sz="4" w:space="0" w:color="91278F"/>
              <w:left w:val="single" w:sz="4" w:space="0" w:color="91278F"/>
              <w:bottom w:val="single" w:sz="4" w:space="0" w:color="91278F"/>
              <w:right w:val="single" w:sz="4" w:space="0" w:color="91278F"/>
            </w:tcBorders>
            <w:hideMark/>
          </w:tcPr>
          <w:p w14:paraId="1C45F0CE" w14:textId="21F68E9F" w:rsidR="003B07FA" w:rsidRDefault="003B07FA">
            <w:pPr>
              <w:spacing w:before="120" w:after="120"/>
              <w:rPr>
                <w:sz w:val="20"/>
                <w:szCs w:val="20"/>
              </w:rPr>
            </w:pPr>
            <w:r>
              <w:rPr>
                <w:sz w:val="20"/>
                <w:szCs w:val="20"/>
              </w:rPr>
              <w:t>Tenure</w:t>
            </w:r>
            <w:r w:rsidR="002F0F4E">
              <w:rPr>
                <w:sz w:val="20"/>
                <w:szCs w:val="20"/>
              </w:rPr>
              <w:t xml:space="preserve"> type</w:t>
            </w:r>
          </w:p>
        </w:tc>
        <w:tc>
          <w:tcPr>
            <w:tcW w:w="1906" w:type="dxa"/>
            <w:tcBorders>
              <w:top w:val="single" w:sz="4" w:space="0" w:color="91278F"/>
              <w:left w:val="single" w:sz="4" w:space="0" w:color="91278F"/>
              <w:bottom w:val="single" w:sz="4" w:space="0" w:color="91278F"/>
              <w:right w:val="single" w:sz="4" w:space="0" w:color="91278F"/>
            </w:tcBorders>
            <w:hideMark/>
          </w:tcPr>
          <w:p w14:paraId="4233DBA3" w14:textId="77777777" w:rsidR="003B07FA" w:rsidRDefault="003B07FA">
            <w:pPr>
              <w:spacing w:before="120" w:after="120"/>
              <w:rPr>
                <w:sz w:val="20"/>
                <w:szCs w:val="20"/>
              </w:rPr>
            </w:pPr>
            <w:r>
              <w:rPr>
                <w:sz w:val="20"/>
                <w:szCs w:val="20"/>
              </w:rPr>
              <w:t xml:space="preserve">State if local authority owns the freehold or the leasehold </w:t>
            </w:r>
          </w:p>
        </w:tc>
        <w:tc>
          <w:tcPr>
            <w:tcW w:w="2551" w:type="dxa"/>
            <w:tcBorders>
              <w:top w:val="single" w:sz="4" w:space="0" w:color="91278F"/>
              <w:left w:val="single" w:sz="4" w:space="0" w:color="91278F"/>
              <w:bottom w:val="single" w:sz="4" w:space="0" w:color="91278F"/>
              <w:right w:val="single" w:sz="4" w:space="0" w:color="91278F"/>
            </w:tcBorders>
          </w:tcPr>
          <w:p w14:paraId="5A7DDD05" w14:textId="77777777" w:rsidR="003B07FA" w:rsidRDefault="003B07FA">
            <w:pPr>
              <w:spacing w:before="120" w:after="120"/>
              <w:rPr>
                <w:sz w:val="20"/>
                <w:szCs w:val="20"/>
              </w:rPr>
            </w:pPr>
          </w:p>
        </w:tc>
        <w:tc>
          <w:tcPr>
            <w:tcW w:w="5387" w:type="dxa"/>
            <w:tcBorders>
              <w:top w:val="single" w:sz="4" w:space="0" w:color="91278F"/>
              <w:left w:val="single" w:sz="4" w:space="0" w:color="91278F"/>
              <w:bottom w:val="single" w:sz="4" w:space="0" w:color="91278F"/>
              <w:right w:val="single" w:sz="4" w:space="0" w:color="91278F"/>
            </w:tcBorders>
            <w:hideMark/>
          </w:tcPr>
          <w:p w14:paraId="2994FCBB" w14:textId="77777777" w:rsidR="003B07FA" w:rsidRDefault="003B07FA">
            <w:pPr>
              <w:widowControl/>
              <w:spacing w:before="120" w:after="120"/>
              <w:rPr>
                <w:sz w:val="20"/>
                <w:szCs w:val="20"/>
              </w:rPr>
            </w:pPr>
            <w:r>
              <w:rPr>
                <w:sz w:val="20"/>
                <w:szCs w:val="20"/>
              </w:rPr>
              <w:t>whether the local authority owns the freehold or leased in  the asset,  specify freehold, leasehold or other</w:t>
            </w:r>
          </w:p>
        </w:tc>
        <w:tc>
          <w:tcPr>
            <w:tcW w:w="1597" w:type="dxa"/>
            <w:tcBorders>
              <w:top w:val="single" w:sz="4" w:space="0" w:color="91278F"/>
              <w:left w:val="single" w:sz="4" w:space="0" w:color="91278F"/>
              <w:bottom w:val="single" w:sz="4" w:space="0" w:color="91278F"/>
              <w:right w:val="single" w:sz="4" w:space="0" w:color="91278F"/>
            </w:tcBorders>
            <w:hideMark/>
          </w:tcPr>
          <w:p w14:paraId="53B06BB2" w14:textId="77777777" w:rsidR="003B07FA" w:rsidRDefault="003B07FA">
            <w:pPr>
              <w:spacing w:before="120" w:after="120"/>
              <w:rPr>
                <w:sz w:val="20"/>
                <w:szCs w:val="20"/>
              </w:rPr>
            </w:pPr>
            <w:r>
              <w:rPr>
                <w:sz w:val="20"/>
                <w:szCs w:val="20"/>
              </w:rPr>
              <w:t>Mandatory</w:t>
            </w:r>
          </w:p>
        </w:tc>
      </w:tr>
      <w:tr w:rsidR="003B07FA" w14:paraId="6FB2EFB3"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235DEF72" w14:textId="2E55F8AA" w:rsidR="003B07FA" w:rsidRDefault="003B07FA">
            <w:pPr>
              <w:spacing w:before="120" w:after="120"/>
              <w:rPr>
                <w:sz w:val="20"/>
                <w:szCs w:val="20"/>
              </w:rPr>
            </w:pPr>
            <w:r>
              <w:rPr>
                <w:sz w:val="20"/>
                <w:szCs w:val="20"/>
              </w:rPr>
              <w:t>16</w:t>
            </w:r>
          </w:p>
        </w:tc>
        <w:tc>
          <w:tcPr>
            <w:tcW w:w="1496" w:type="dxa"/>
            <w:tcBorders>
              <w:top w:val="single" w:sz="4" w:space="0" w:color="91278F"/>
              <w:left w:val="single" w:sz="4" w:space="0" w:color="91278F"/>
              <w:bottom w:val="single" w:sz="4" w:space="0" w:color="91278F"/>
              <w:right w:val="single" w:sz="4" w:space="0" w:color="91278F"/>
            </w:tcBorders>
            <w:hideMark/>
          </w:tcPr>
          <w:p w14:paraId="65B7B643" w14:textId="2F8CFD00" w:rsidR="003B07FA" w:rsidRDefault="003B07FA" w:rsidP="002F0F4E">
            <w:pPr>
              <w:spacing w:before="120" w:after="120"/>
              <w:rPr>
                <w:sz w:val="20"/>
                <w:szCs w:val="20"/>
              </w:rPr>
            </w:pPr>
            <w:r>
              <w:rPr>
                <w:sz w:val="20"/>
                <w:szCs w:val="20"/>
              </w:rPr>
              <w:t xml:space="preserve">Tenure </w:t>
            </w:r>
            <w:r w:rsidR="002F0F4E">
              <w:rPr>
                <w:sz w:val="20"/>
                <w:szCs w:val="20"/>
              </w:rPr>
              <w:t>detail</w:t>
            </w:r>
          </w:p>
        </w:tc>
        <w:tc>
          <w:tcPr>
            <w:tcW w:w="1906" w:type="dxa"/>
            <w:tcBorders>
              <w:top w:val="single" w:sz="4" w:space="0" w:color="91278F"/>
              <w:left w:val="single" w:sz="4" w:space="0" w:color="91278F"/>
              <w:bottom w:val="single" w:sz="4" w:space="0" w:color="91278F"/>
              <w:right w:val="single" w:sz="4" w:space="0" w:color="91278F"/>
            </w:tcBorders>
            <w:hideMark/>
          </w:tcPr>
          <w:p w14:paraId="53D81DFA" w14:textId="77777777" w:rsidR="003B07FA" w:rsidRDefault="003B07FA">
            <w:pPr>
              <w:spacing w:before="120" w:after="120"/>
              <w:rPr>
                <w:sz w:val="20"/>
                <w:szCs w:val="20"/>
              </w:rPr>
            </w:pPr>
            <w:r>
              <w:rPr>
                <w:sz w:val="20"/>
                <w:szCs w:val="20"/>
              </w:rPr>
              <w:t>The tenure arrangements for the asset</w:t>
            </w:r>
          </w:p>
        </w:tc>
        <w:tc>
          <w:tcPr>
            <w:tcW w:w="2551" w:type="dxa"/>
            <w:tcBorders>
              <w:top w:val="single" w:sz="4" w:space="0" w:color="91278F"/>
              <w:left w:val="single" w:sz="4" w:space="0" w:color="91278F"/>
              <w:bottom w:val="single" w:sz="4" w:space="0" w:color="91278F"/>
              <w:right w:val="single" w:sz="4" w:space="0" w:color="91278F"/>
            </w:tcBorders>
            <w:hideMark/>
          </w:tcPr>
          <w:p w14:paraId="2502E068" w14:textId="77777777" w:rsidR="003B07FA" w:rsidRDefault="003B07FA">
            <w:pPr>
              <w:spacing w:before="120" w:after="120"/>
              <w:rPr>
                <w:sz w:val="20"/>
                <w:szCs w:val="20"/>
              </w:rPr>
            </w:pPr>
            <w:r>
              <w:rPr>
                <w:sz w:val="20"/>
                <w:szCs w:val="20"/>
              </w:rPr>
              <w:t xml:space="preserve">To aid strategic asset management. </w:t>
            </w:r>
          </w:p>
        </w:tc>
        <w:tc>
          <w:tcPr>
            <w:tcW w:w="5387" w:type="dxa"/>
            <w:tcBorders>
              <w:top w:val="single" w:sz="4" w:space="0" w:color="91278F"/>
              <w:left w:val="single" w:sz="4" w:space="0" w:color="91278F"/>
              <w:bottom w:val="single" w:sz="4" w:space="0" w:color="91278F"/>
              <w:right w:val="single" w:sz="4" w:space="0" w:color="91278F"/>
            </w:tcBorders>
          </w:tcPr>
          <w:p w14:paraId="769B71B9" w14:textId="33316B13" w:rsidR="003B07FA" w:rsidRDefault="003B07FA">
            <w:pPr>
              <w:spacing w:before="120" w:after="120"/>
              <w:rPr>
                <w:sz w:val="20"/>
                <w:szCs w:val="20"/>
              </w:rPr>
            </w:pPr>
            <w:r>
              <w:rPr>
                <w:sz w:val="20"/>
                <w:szCs w:val="20"/>
              </w:rPr>
              <w:t xml:space="preserve">for whichever category applies, the local authority must list all the characteristics that apply from the options given below: </w:t>
            </w:r>
          </w:p>
          <w:p w14:paraId="4466B63A" w14:textId="77777777" w:rsidR="003B07FA" w:rsidRDefault="003B07FA" w:rsidP="00AF12DC">
            <w:pPr>
              <w:pStyle w:val="ListParagraph"/>
              <w:numPr>
                <w:ilvl w:val="0"/>
                <w:numId w:val="44"/>
              </w:numPr>
              <w:tabs>
                <w:tab w:val="left" w:pos="1980"/>
              </w:tabs>
              <w:spacing w:before="120" w:after="120"/>
              <w:rPr>
                <w:sz w:val="20"/>
                <w:szCs w:val="20"/>
              </w:rPr>
            </w:pPr>
            <w:r>
              <w:rPr>
                <w:sz w:val="20"/>
                <w:szCs w:val="20"/>
              </w:rPr>
              <w:t>Owner occupied (by the local authority)</w:t>
            </w:r>
          </w:p>
          <w:p w14:paraId="6E8A9B6F" w14:textId="77777777" w:rsidR="003B07FA" w:rsidRDefault="003B07FA" w:rsidP="00AF12DC">
            <w:pPr>
              <w:pStyle w:val="ListParagraph"/>
              <w:numPr>
                <w:ilvl w:val="0"/>
                <w:numId w:val="44"/>
              </w:numPr>
              <w:tabs>
                <w:tab w:val="left" w:pos="1980"/>
              </w:tabs>
              <w:spacing w:before="120" w:after="120"/>
              <w:rPr>
                <w:sz w:val="20"/>
                <w:szCs w:val="20"/>
              </w:rPr>
            </w:pPr>
            <w:r>
              <w:rPr>
                <w:sz w:val="20"/>
                <w:szCs w:val="20"/>
              </w:rPr>
              <w:t>ground leasehold out</w:t>
            </w:r>
          </w:p>
          <w:p w14:paraId="20A707C0" w14:textId="1F327A4D" w:rsidR="003B07FA" w:rsidRDefault="003B07FA" w:rsidP="00AF12DC">
            <w:pPr>
              <w:pStyle w:val="ListParagraph"/>
              <w:numPr>
                <w:ilvl w:val="0"/>
                <w:numId w:val="44"/>
              </w:numPr>
              <w:tabs>
                <w:tab w:val="left" w:pos="1980"/>
              </w:tabs>
              <w:spacing w:before="120" w:after="120"/>
              <w:rPr>
                <w:sz w:val="20"/>
                <w:szCs w:val="20"/>
              </w:rPr>
            </w:pPr>
            <w:r>
              <w:rPr>
                <w:sz w:val="20"/>
                <w:szCs w:val="20"/>
              </w:rPr>
              <w:t>ground leasehold  in</w:t>
            </w:r>
          </w:p>
          <w:p w14:paraId="101E1F69" w14:textId="77777777" w:rsidR="003B07FA" w:rsidRDefault="003B07FA" w:rsidP="00AF12DC">
            <w:pPr>
              <w:pStyle w:val="ListParagraph"/>
              <w:numPr>
                <w:ilvl w:val="0"/>
                <w:numId w:val="44"/>
              </w:numPr>
              <w:tabs>
                <w:tab w:val="left" w:pos="1980"/>
              </w:tabs>
              <w:spacing w:before="120" w:after="120"/>
              <w:rPr>
                <w:sz w:val="20"/>
                <w:szCs w:val="20"/>
              </w:rPr>
            </w:pPr>
            <w:r>
              <w:rPr>
                <w:sz w:val="20"/>
                <w:szCs w:val="20"/>
              </w:rPr>
              <w:t>leasehold out</w:t>
            </w:r>
          </w:p>
          <w:p w14:paraId="74F261CD" w14:textId="13AA3825" w:rsidR="003B07FA" w:rsidRDefault="003B07FA" w:rsidP="00AF12DC">
            <w:pPr>
              <w:pStyle w:val="ListParagraph"/>
              <w:numPr>
                <w:ilvl w:val="0"/>
                <w:numId w:val="44"/>
              </w:numPr>
              <w:tabs>
                <w:tab w:val="left" w:pos="1980"/>
              </w:tabs>
              <w:spacing w:before="120" w:after="120"/>
              <w:rPr>
                <w:sz w:val="20"/>
                <w:szCs w:val="20"/>
              </w:rPr>
            </w:pPr>
            <w:r>
              <w:rPr>
                <w:sz w:val="20"/>
                <w:szCs w:val="20"/>
              </w:rPr>
              <w:t>leasehold in</w:t>
            </w:r>
          </w:p>
          <w:p w14:paraId="174721FF" w14:textId="77777777" w:rsidR="003B07FA" w:rsidRDefault="003B07FA" w:rsidP="00AF12DC">
            <w:pPr>
              <w:pStyle w:val="ListParagraph"/>
              <w:numPr>
                <w:ilvl w:val="0"/>
                <w:numId w:val="44"/>
              </w:numPr>
              <w:tabs>
                <w:tab w:val="left" w:pos="1980"/>
              </w:tabs>
              <w:spacing w:before="120" w:after="120"/>
              <w:rPr>
                <w:sz w:val="20"/>
                <w:szCs w:val="20"/>
              </w:rPr>
            </w:pPr>
            <w:r>
              <w:rPr>
                <w:sz w:val="20"/>
                <w:szCs w:val="20"/>
              </w:rPr>
              <w:lastRenderedPageBreak/>
              <w:t>sub leasehold out</w:t>
            </w:r>
          </w:p>
          <w:p w14:paraId="5BB873E9" w14:textId="5AF7CB47" w:rsidR="003B07FA" w:rsidRDefault="003B07FA" w:rsidP="00AF12DC">
            <w:pPr>
              <w:pStyle w:val="ListParagraph"/>
              <w:numPr>
                <w:ilvl w:val="0"/>
                <w:numId w:val="44"/>
              </w:numPr>
              <w:tabs>
                <w:tab w:val="left" w:pos="1980"/>
              </w:tabs>
              <w:spacing w:before="120" w:after="120"/>
              <w:rPr>
                <w:sz w:val="20"/>
                <w:szCs w:val="20"/>
              </w:rPr>
            </w:pPr>
            <w:r>
              <w:rPr>
                <w:sz w:val="20"/>
                <w:szCs w:val="20"/>
              </w:rPr>
              <w:t>sub leasehold in</w:t>
            </w:r>
          </w:p>
          <w:p w14:paraId="1EF003AA" w14:textId="77777777" w:rsidR="003B07FA" w:rsidRDefault="003B07FA" w:rsidP="00AF12DC">
            <w:pPr>
              <w:pStyle w:val="ListParagraph"/>
              <w:numPr>
                <w:ilvl w:val="0"/>
                <w:numId w:val="44"/>
              </w:numPr>
              <w:tabs>
                <w:tab w:val="left" w:pos="1980"/>
              </w:tabs>
              <w:spacing w:before="120" w:after="120"/>
              <w:rPr>
                <w:sz w:val="20"/>
                <w:szCs w:val="20"/>
              </w:rPr>
            </w:pPr>
            <w:r>
              <w:rPr>
                <w:sz w:val="20"/>
                <w:szCs w:val="20"/>
              </w:rPr>
              <w:t>licence in</w:t>
            </w:r>
          </w:p>
          <w:p w14:paraId="6F3E488B" w14:textId="050F86C3" w:rsidR="003B07FA" w:rsidRDefault="003B07FA" w:rsidP="00AF12DC">
            <w:pPr>
              <w:pStyle w:val="ListParagraph"/>
              <w:numPr>
                <w:ilvl w:val="0"/>
                <w:numId w:val="44"/>
              </w:numPr>
              <w:tabs>
                <w:tab w:val="left" w:pos="1980"/>
              </w:tabs>
              <w:spacing w:before="120" w:after="120"/>
              <w:rPr>
                <w:sz w:val="20"/>
                <w:szCs w:val="20"/>
              </w:rPr>
            </w:pPr>
            <w:r>
              <w:rPr>
                <w:sz w:val="20"/>
                <w:szCs w:val="20"/>
              </w:rPr>
              <w:t>licence out</w:t>
            </w:r>
          </w:p>
          <w:p w14:paraId="78C943EE" w14:textId="0D949DEC" w:rsidR="003B07FA" w:rsidRDefault="003B07FA" w:rsidP="00AF12DC">
            <w:pPr>
              <w:pStyle w:val="ListParagraph"/>
              <w:numPr>
                <w:ilvl w:val="0"/>
                <w:numId w:val="44"/>
              </w:numPr>
              <w:tabs>
                <w:tab w:val="left" w:pos="1980"/>
              </w:tabs>
              <w:spacing w:before="120" w:after="120"/>
              <w:rPr>
                <w:sz w:val="20"/>
                <w:szCs w:val="20"/>
              </w:rPr>
            </w:pPr>
            <w:r>
              <w:rPr>
                <w:sz w:val="20"/>
                <w:szCs w:val="20"/>
              </w:rPr>
              <w:t>vacant ( applies to building; no need to provide full address details)</w:t>
            </w:r>
          </w:p>
          <w:p w14:paraId="5C4003FC" w14:textId="4ED2C529" w:rsidR="003B07FA" w:rsidRDefault="003B07FA" w:rsidP="00D12EB9">
            <w:pPr>
              <w:pStyle w:val="ListParagraph"/>
              <w:numPr>
                <w:ilvl w:val="0"/>
                <w:numId w:val="45"/>
              </w:numPr>
              <w:tabs>
                <w:tab w:val="left" w:pos="1980"/>
              </w:tabs>
              <w:spacing w:before="120" w:after="120"/>
              <w:rPr>
                <w:sz w:val="20"/>
                <w:szCs w:val="20"/>
              </w:rPr>
            </w:pPr>
            <w:r>
              <w:rPr>
                <w:sz w:val="20"/>
                <w:szCs w:val="20"/>
              </w:rPr>
              <w:t xml:space="preserve">Other: free text description </w:t>
            </w:r>
            <w:proofErr w:type="spellStart"/>
            <w:r>
              <w:rPr>
                <w:sz w:val="20"/>
                <w:szCs w:val="20"/>
              </w:rPr>
              <w:t>eg</w:t>
            </w:r>
            <w:proofErr w:type="spellEnd"/>
            <w:r>
              <w:rPr>
                <w:sz w:val="20"/>
                <w:szCs w:val="20"/>
              </w:rPr>
              <w:t>. rights of way, access etc.</w:t>
            </w:r>
          </w:p>
        </w:tc>
        <w:tc>
          <w:tcPr>
            <w:tcW w:w="1597" w:type="dxa"/>
            <w:tcBorders>
              <w:top w:val="single" w:sz="4" w:space="0" w:color="91278F"/>
              <w:left w:val="single" w:sz="4" w:space="0" w:color="91278F"/>
              <w:bottom w:val="single" w:sz="4" w:space="0" w:color="91278F"/>
              <w:right w:val="single" w:sz="4" w:space="0" w:color="91278F"/>
            </w:tcBorders>
            <w:hideMark/>
          </w:tcPr>
          <w:p w14:paraId="1EE5C493" w14:textId="77777777" w:rsidR="003B07FA" w:rsidRDefault="003B07FA">
            <w:pPr>
              <w:spacing w:before="120" w:after="120"/>
              <w:rPr>
                <w:sz w:val="20"/>
                <w:szCs w:val="20"/>
              </w:rPr>
            </w:pPr>
            <w:r>
              <w:rPr>
                <w:sz w:val="20"/>
                <w:szCs w:val="20"/>
              </w:rPr>
              <w:lastRenderedPageBreak/>
              <w:t>Mandatory</w:t>
            </w:r>
          </w:p>
        </w:tc>
      </w:tr>
      <w:tr w:rsidR="002F0F4E" w14:paraId="13B66A6C"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tcPr>
          <w:p w14:paraId="2495B731" w14:textId="529EBB78" w:rsidR="002F0F4E" w:rsidRDefault="002F0F4E" w:rsidP="006C40AD">
            <w:pPr>
              <w:spacing w:before="120" w:after="120"/>
              <w:rPr>
                <w:sz w:val="20"/>
                <w:szCs w:val="20"/>
              </w:rPr>
            </w:pPr>
            <w:r>
              <w:rPr>
                <w:sz w:val="20"/>
                <w:szCs w:val="20"/>
              </w:rPr>
              <w:lastRenderedPageBreak/>
              <w:t>17</w:t>
            </w:r>
          </w:p>
        </w:tc>
        <w:tc>
          <w:tcPr>
            <w:tcW w:w="1496" w:type="dxa"/>
            <w:tcBorders>
              <w:top w:val="single" w:sz="4" w:space="0" w:color="91278F"/>
              <w:left w:val="single" w:sz="4" w:space="0" w:color="91278F"/>
              <w:bottom w:val="single" w:sz="4" w:space="0" w:color="91278F"/>
              <w:right w:val="single" w:sz="4" w:space="0" w:color="91278F"/>
            </w:tcBorders>
          </w:tcPr>
          <w:p w14:paraId="1EA1A8F8" w14:textId="6A3A11AC" w:rsidR="002F0F4E" w:rsidRDefault="00EF574B">
            <w:pPr>
              <w:spacing w:before="120" w:after="120"/>
              <w:rPr>
                <w:sz w:val="20"/>
                <w:szCs w:val="20"/>
              </w:rPr>
            </w:pPr>
            <w:r>
              <w:rPr>
                <w:sz w:val="20"/>
                <w:szCs w:val="20"/>
              </w:rPr>
              <w:t>Other tenure</w:t>
            </w:r>
          </w:p>
        </w:tc>
        <w:tc>
          <w:tcPr>
            <w:tcW w:w="1906" w:type="dxa"/>
            <w:tcBorders>
              <w:top w:val="single" w:sz="4" w:space="0" w:color="91278F"/>
              <w:left w:val="single" w:sz="4" w:space="0" w:color="91278F"/>
              <w:bottom w:val="single" w:sz="4" w:space="0" w:color="91278F"/>
              <w:right w:val="single" w:sz="4" w:space="0" w:color="91278F"/>
            </w:tcBorders>
          </w:tcPr>
          <w:p w14:paraId="3ADC0796" w14:textId="7979D9A0" w:rsidR="002F0F4E" w:rsidRDefault="002F0F4E">
            <w:pPr>
              <w:spacing w:before="120" w:after="120"/>
              <w:rPr>
                <w:sz w:val="20"/>
                <w:szCs w:val="20"/>
              </w:rPr>
            </w:pPr>
            <w:r>
              <w:rPr>
                <w:sz w:val="20"/>
                <w:szCs w:val="20"/>
              </w:rPr>
              <w:t>Text description of other  tenure type</w:t>
            </w:r>
          </w:p>
        </w:tc>
        <w:tc>
          <w:tcPr>
            <w:tcW w:w="2551" w:type="dxa"/>
            <w:tcBorders>
              <w:top w:val="single" w:sz="4" w:space="0" w:color="91278F"/>
              <w:left w:val="single" w:sz="4" w:space="0" w:color="91278F"/>
              <w:bottom w:val="single" w:sz="4" w:space="0" w:color="91278F"/>
              <w:right w:val="single" w:sz="4" w:space="0" w:color="91278F"/>
            </w:tcBorders>
          </w:tcPr>
          <w:p w14:paraId="261BE900" w14:textId="77777777" w:rsidR="002F0F4E" w:rsidRDefault="002F0F4E">
            <w:pPr>
              <w:spacing w:before="120" w:after="120"/>
              <w:rPr>
                <w:sz w:val="20"/>
                <w:szCs w:val="20"/>
              </w:rPr>
            </w:pPr>
          </w:p>
        </w:tc>
        <w:tc>
          <w:tcPr>
            <w:tcW w:w="5387" w:type="dxa"/>
            <w:tcBorders>
              <w:top w:val="single" w:sz="4" w:space="0" w:color="91278F"/>
              <w:left w:val="single" w:sz="4" w:space="0" w:color="91278F"/>
              <w:bottom w:val="single" w:sz="4" w:space="0" w:color="91278F"/>
              <w:right w:val="single" w:sz="4" w:space="0" w:color="91278F"/>
            </w:tcBorders>
          </w:tcPr>
          <w:p w14:paraId="17C660DF" w14:textId="4BA70188" w:rsidR="002F0F4E" w:rsidRDefault="00EF574B" w:rsidP="00D12EB9">
            <w:pPr>
              <w:autoSpaceDE w:val="0"/>
              <w:autoSpaceDN w:val="0"/>
              <w:adjustRightInd w:val="0"/>
              <w:rPr>
                <w:sz w:val="20"/>
                <w:szCs w:val="20"/>
              </w:rPr>
            </w:pPr>
            <w:proofErr w:type="gramStart"/>
            <w:r>
              <w:rPr>
                <w:sz w:val="20"/>
                <w:szCs w:val="20"/>
              </w:rPr>
              <w:t>free</w:t>
            </w:r>
            <w:proofErr w:type="gramEnd"/>
            <w:r>
              <w:rPr>
                <w:sz w:val="20"/>
                <w:szCs w:val="20"/>
              </w:rPr>
              <w:t xml:space="preserve"> text description </w:t>
            </w:r>
            <w:proofErr w:type="spellStart"/>
            <w:r>
              <w:rPr>
                <w:sz w:val="20"/>
                <w:szCs w:val="20"/>
              </w:rPr>
              <w:t>eg</w:t>
            </w:r>
            <w:proofErr w:type="spellEnd"/>
            <w:r>
              <w:rPr>
                <w:sz w:val="20"/>
                <w:szCs w:val="20"/>
              </w:rPr>
              <w:t>. rights of way, access etc.</w:t>
            </w:r>
          </w:p>
        </w:tc>
        <w:tc>
          <w:tcPr>
            <w:tcW w:w="1597" w:type="dxa"/>
            <w:tcBorders>
              <w:top w:val="single" w:sz="4" w:space="0" w:color="91278F"/>
              <w:left w:val="single" w:sz="4" w:space="0" w:color="91278F"/>
              <w:bottom w:val="single" w:sz="4" w:space="0" w:color="91278F"/>
              <w:right w:val="single" w:sz="4" w:space="0" w:color="91278F"/>
            </w:tcBorders>
          </w:tcPr>
          <w:p w14:paraId="307F0382" w14:textId="2E8ADD9C" w:rsidR="002F0F4E" w:rsidRDefault="002F0F4E">
            <w:pPr>
              <w:spacing w:before="120" w:after="120"/>
              <w:rPr>
                <w:sz w:val="20"/>
                <w:szCs w:val="20"/>
              </w:rPr>
            </w:pPr>
            <w:r>
              <w:rPr>
                <w:sz w:val="20"/>
                <w:szCs w:val="20"/>
              </w:rPr>
              <w:t>Mandatory if other is selected</w:t>
            </w:r>
          </w:p>
        </w:tc>
      </w:tr>
      <w:tr w:rsidR="003B07FA" w14:paraId="55F94BA4"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3EA29DFD" w14:textId="06E29FC6" w:rsidR="003B07FA" w:rsidRDefault="002F0F4E" w:rsidP="002F0F4E">
            <w:pPr>
              <w:spacing w:before="120" w:after="120"/>
              <w:rPr>
                <w:sz w:val="20"/>
                <w:szCs w:val="20"/>
              </w:rPr>
            </w:pPr>
            <w:r>
              <w:rPr>
                <w:sz w:val="20"/>
                <w:szCs w:val="20"/>
              </w:rPr>
              <w:t>18</w:t>
            </w:r>
          </w:p>
        </w:tc>
        <w:tc>
          <w:tcPr>
            <w:tcW w:w="1496" w:type="dxa"/>
            <w:tcBorders>
              <w:top w:val="single" w:sz="4" w:space="0" w:color="91278F"/>
              <w:left w:val="single" w:sz="4" w:space="0" w:color="91278F"/>
              <w:bottom w:val="single" w:sz="4" w:space="0" w:color="91278F"/>
              <w:right w:val="single" w:sz="4" w:space="0" w:color="91278F"/>
            </w:tcBorders>
            <w:hideMark/>
          </w:tcPr>
          <w:p w14:paraId="7F93C567" w14:textId="77777777" w:rsidR="003B07FA" w:rsidRDefault="003B07FA">
            <w:pPr>
              <w:spacing w:before="120" w:after="120"/>
              <w:rPr>
                <w:sz w:val="20"/>
                <w:szCs w:val="20"/>
              </w:rPr>
            </w:pPr>
            <w:r>
              <w:rPr>
                <w:sz w:val="20"/>
                <w:szCs w:val="20"/>
              </w:rPr>
              <w:t>Holding type</w:t>
            </w:r>
          </w:p>
        </w:tc>
        <w:tc>
          <w:tcPr>
            <w:tcW w:w="1906" w:type="dxa"/>
            <w:tcBorders>
              <w:top w:val="single" w:sz="4" w:space="0" w:color="91278F"/>
              <w:left w:val="single" w:sz="4" w:space="0" w:color="91278F"/>
              <w:bottom w:val="single" w:sz="4" w:space="0" w:color="91278F"/>
              <w:right w:val="single" w:sz="4" w:space="0" w:color="91278F"/>
            </w:tcBorders>
            <w:hideMark/>
          </w:tcPr>
          <w:p w14:paraId="63090018" w14:textId="77777777" w:rsidR="003B07FA" w:rsidRDefault="003B07FA">
            <w:pPr>
              <w:spacing w:before="120" w:after="120"/>
              <w:rPr>
                <w:sz w:val="20"/>
                <w:szCs w:val="20"/>
              </w:rPr>
            </w:pPr>
            <w:r>
              <w:rPr>
                <w:sz w:val="20"/>
                <w:szCs w:val="20"/>
              </w:rPr>
              <w:t>Whether land or land with building</w:t>
            </w:r>
          </w:p>
        </w:tc>
        <w:tc>
          <w:tcPr>
            <w:tcW w:w="2551" w:type="dxa"/>
            <w:tcBorders>
              <w:top w:val="single" w:sz="4" w:space="0" w:color="91278F"/>
              <w:left w:val="single" w:sz="4" w:space="0" w:color="91278F"/>
              <w:bottom w:val="single" w:sz="4" w:space="0" w:color="91278F"/>
              <w:right w:val="single" w:sz="4" w:space="0" w:color="91278F"/>
            </w:tcBorders>
            <w:hideMark/>
          </w:tcPr>
          <w:p w14:paraId="6B558656" w14:textId="77777777" w:rsidR="003B07FA" w:rsidRDefault="003B07FA">
            <w:pPr>
              <w:spacing w:before="120" w:after="120"/>
              <w:rPr>
                <w:sz w:val="20"/>
                <w:szCs w:val="20"/>
              </w:rPr>
            </w:pPr>
            <w:r>
              <w:rPr>
                <w:sz w:val="20"/>
                <w:szCs w:val="20"/>
              </w:rPr>
              <w:t>As specified in the Code and to determine if some of the recommended fields such as energy rating is required.</w:t>
            </w:r>
          </w:p>
        </w:tc>
        <w:tc>
          <w:tcPr>
            <w:tcW w:w="5387" w:type="dxa"/>
            <w:tcBorders>
              <w:top w:val="single" w:sz="4" w:space="0" w:color="91278F"/>
              <w:left w:val="single" w:sz="4" w:space="0" w:color="91278F"/>
              <w:bottom w:val="single" w:sz="4" w:space="0" w:color="91278F"/>
              <w:right w:val="single" w:sz="4" w:space="0" w:color="91278F"/>
            </w:tcBorders>
          </w:tcPr>
          <w:p w14:paraId="4B0F877B" w14:textId="444C17C5" w:rsidR="003B07FA" w:rsidRDefault="003B07FA">
            <w:pPr>
              <w:autoSpaceDE w:val="0"/>
              <w:autoSpaceDN w:val="0"/>
              <w:adjustRightInd w:val="0"/>
              <w:rPr>
                <w:sz w:val="20"/>
                <w:szCs w:val="20"/>
              </w:rPr>
            </w:pPr>
            <w:r>
              <w:rPr>
                <w:sz w:val="20"/>
                <w:szCs w:val="20"/>
              </w:rPr>
              <w:t>Encode a drop down for the following: ‘Buildings’, ‘Land’ or ‘Land/Buildings’.</w:t>
            </w:r>
          </w:p>
          <w:p w14:paraId="2DCD4570" w14:textId="77777777" w:rsidR="003B07FA" w:rsidRDefault="003B07FA">
            <w:pPr>
              <w:widowControl/>
              <w:spacing w:before="120" w:after="120"/>
              <w:rPr>
                <w:sz w:val="20"/>
                <w:szCs w:val="20"/>
              </w:rPr>
            </w:pPr>
          </w:p>
        </w:tc>
        <w:tc>
          <w:tcPr>
            <w:tcW w:w="1597" w:type="dxa"/>
            <w:tcBorders>
              <w:top w:val="single" w:sz="4" w:space="0" w:color="91278F"/>
              <w:left w:val="single" w:sz="4" w:space="0" w:color="91278F"/>
              <w:bottom w:val="single" w:sz="4" w:space="0" w:color="91278F"/>
              <w:right w:val="single" w:sz="4" w:space="0" w:color="91278F"/>
            </w:tcBorders>
            <w:hideMark/>
          </w:tcPr>
          <w:p w14:paraId="36EDA5AA" w14:textId="77777777" w:rsidR="003B07FA" w:rsidRDefault="003B07FA">
            <w:pPr>
              <w:spacing w:before="120" w:after="120"/>
              <w:rPr>
                <w:sz w:val="20"/>
                <w:szCs w:val="20"/>
              </w:rPr>
            </w:pPr>
            <w:r>
              <w:rPr>
                <w:sz w:val="20"/>
                <w:szCs w:val="20"/>
              </w:rPr>
              <w:t>Mandatory</w:t>
            </w:r>
          </w:p>
        </w:tc>
      </w:tr>
      <w:tr w:rsidR="003B07FA" w14:paraId="07323FBB" w14:textId="77777777" w:rsidTr="00AF12DC">
        <w:trPr>
          <w:tblCellSpacing w:w="0" w:type="dxa"/>
        </w:trPr>
        <w:tc>
          <w:tcPr>
            <w:tcW w:w="13798" w:type="dxa"/>
            <w:gridSpan w:val="6"/>
            <w:tcBorders>
              <w:top w:val="single" w:sz="4" w:space="0" w:color="91278F"/>
              <w:left w:val="single" w:sz="4" w:space="0" w:color="91278F"/>
              <w:bottom w:val="single" w:sz="4" w:space="0" w:color="91278F"/>
              <w:right w:val="single" w:sz="4" w:space="0" w:color="91278F"/>
            </w:tcBorders>
            <w:hideMark/>
          </w:tcPr>
          <w:p w14:paraId="57D7A719" w14:textId="77777777" w:rsidR="003B07FA" w:rsidRDefault="003B07FA">
            <w:pPr>
              <w:spacing w:before="120" w:after="120"/>
              <w:rPr>
                <w:sz w:val="20"/>
                <w:szCs w:val="20"/>
              </w:rPr>
            </w:pPr>
            <w:r>
              <w:rPr>
                <w:b/>
                <w:sz w:val="20"/>
                <w:szCs w:val="20"/>
              </w:rPr>
              <w:t xml:space="preserve">Additional recommended information </w:t>
            </w:r>
          </w:p>
        </w:tc>
      </w:tr>
      <w:tr w:rsidR="003B07FA" w14:paraId="4A97C012"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2DC38DA6" w14:textId="3F18154B" w:rsidR="003B07FA" w:rsidRDefault="002F0F4E" w:rsidP="002F0F4E">
            <w:pPr>
              <w:spacing w:before="120" w:after="120"/>
              <w:rPr>
                <w:sz w:val="20"/>
                <w:szCs w:val="20"/>
              </w:rPr>
            </w:pPr>
            <w:r>
              <w:rPr>
                <w:sz w:val="20"/>
                <w:szCs w:val="20"/>
              </w:rPr>
              <w:t>19</w:t>
            </w:r>
          </w:p>
        </w:tc>
        <w:tc>
          <w:tcPr>
            <w:tcW w:w="1496" w:type="dxa"/>
            <w:tcBorders>
              <w:top w:val="single" w:sz="4" w:space="0" w:color="91278F"/>
              <w:left w:val="single" w:sz="4" w:space="0" w:color="91278F"/>
              <w:bottom w:val="single" w:sz="4" w:space="0" w:color="91278F"/>
              <w:right w:val="single" w:sz="4" w:space="0" w:color="91278F"/>
            </w:tcBorders>
            <w:hideMark/>
          </w:tcPr>
          <w:p w14:paraId="421DF34B" w14:textId="645064F8" w:rsidR="003B07FA" w:rsidRDefault="003B07FA">
            <w:pPr>
              <w:spacing w:before="120" w:after="120"/>
              <w:rPr>
                <w:sz w:val="20"/>
                <w:szCs w:val="20"/>
              </w:rPr>
            </w:pPr>
            <w:r>
              <w:rPr>
                <w:sz w:val="20"/>
                <w:szCs w:val="20"/>
              </w:rPr>
              <w:t>Size</w:t>
            </w:r>
            <w:r w:rsidR="002F0F4E">
              <w:rPr>
                <w:sz w:val="20"/>
                <w:szCs w:val="20"/>
              </w:rPr>
              <w:t xml:space="preserve"> building</w:t>
            </w:r>
          </w:p>
        </w:tc>
        <w:tc>
          <w:tcPr>
            <w:tcW w:w="1906" w:type="dxa"/>
            <w:tcBorders>
              <w:top w:val="single" w:sz="4" w:space="0" w:color="91278F"/>
              <w:left w:val="single" w:sz="4" w:space="0" w:color="91278F"/>
              <w:bottom w:val="single" w:sz="4" w:space="0" w:color="91278F"/>
              <w:right w:val="single" w:sz="4" w:space="0" w:color="91278F"/>
            </w:tcBorders>
            <w:hideMark/>
          </w:tcPr>
          <w:p w14:paraId="120B63DC" w14:textId="5DE85988" w:rsidR="003B07FA" w:rsidRDefault="003B07FA">
            <w:pPr>
              <w:spacing w:before="120" w:after="120"/>
              <w:rPr>
                <w:sz w:val="20"/>
                <w:szCs w:val="20"/>
              </w:rPr>
            </w:pPr>
            <w:r>
              <w:rPr>
                <w:sz w:val="20"/>
                <w:szCs w:val="20"/>
              </w:rPr>
              <w:t xml:space="preserve">The area of the </w:t>
            </w:r>
            <w:r w:rsidR="002F0F4E">
              <w:rPr>
                <w:sz w:val="20"/>
                <w:szCs w:val="20"/>
              </w:rPr>
              <w:t xml:space="preserve">building </w:t>
            </w:r>
            <w:r>
              <w:rPr>
                <w:sz w:val="20"/>
                <w:szCs w:val="20"/>
              </w:rPr>
              <w:t>asset</w:t>
            </w:r>
          </w:p>
        </w:tc>
        <w:tc>
          <w:tcPr>
            <w:tcW w:w="2551" w:type="dxa"/>
            <w:tcBorders>
              <w:top w:val="single" w:sz="4" w:space="0" w:color="91278F"/>
              <w:left w:val="single" w:sz="4" w:space="0" w:color="91278F"/>
              <w:bottom w:val="single" w:sz="4" w:space="0" w:color="91278F"/>
              <w:right w:val="single" w:sz="4" w:space="0" w:color="91278F"/>
            </w:tcBorders>
            <w:hideMark/>
          </w:tcPr>
          <w:p w14:paraId="5A0299B4" w14:textId="77777777" w:rsidR="003B07FA" w:rsidRDefault="003B07FA">
            <w:pPr>
              <w:spacing w:before="120" w:after="120"/>
              <w:rPr>
                <w:sz w:val="20"/>
                <w:szCs w:val="20"/>
              </w:rPr>
            </w:pPr>
            <w:r>
              <w:rPr>
                <w:sz w:val="20"/>
                <w:szCs w:val="20"/>
              </w:rPr>
              <w:t xml:space="preserve">To aid strategic asset management  </w:t>
            </w:r>
          </w:p>
        </w:tc>
        <w:tc>
          <w:tcPr>
            <w:tcW w:w="5387" w:type="dxa"/>
            <w:tcBorders>
              <w:top w:val="single" w:sz="4" w:space="0" w:color="91278F"/>
              <w:left w:val="single" w:sz="4" w:space="0" w:color="91278F"/>
              <w:bottom w:val="single" w:sz="4" w:space="0" w:color="91278F"/>
              <w:right w:val="single" w:sz="4" w:space="0" w:color="91278F"/>
            </w:tcBorders>
            <w:hideMark/>
          </w:tcPr>
          <w:p w14:paraId="30CF83BB" w14:textId="19F5B816" w:rsidR="003B07FA" w:rsidRDefault="003B07FA" w:rsidP="002F0F4E">
            <w:pPr>
              <w:widowControl/>
              <w:spacing w:before="120" w:after="120"/>
              <w:rPr>
                <w:sz w:val="20"/>
                <w:szCs w:val="20"/>
              </w:rPr>
            </w:pPr>
            <w:r>
              <w:rPr>
                <w:sz w:val="20"/>
                <w:szCs w:val="20"/>
              </w:rPr>
              <w:t>Measured in Gross Internal Area (m</w:t>
            </w:r>
            <w:r>
              <w:rPr>
                <w:sz w:val="20"/>
                <w:szCs w:val="20"/>
                <w:vertAlign w:val="superscript"/>
              </w:rPr>
              <w:t>2</w:t>
            </w:r>
            <w:r>
              <w:rPr>
                <w:sz w:val="20"/>
                <w:szCs w:val="20"/>
              </w:rPr>
              <w:t>) for buildings in accordance with the Royal Institution of Chartered Surveyors Code of Measuring Practice. The Gross Internal Area is the area of a building measured to the internal face of the perimeter walls at each floor level. Local authorities using Net Internal Area (m</w:t>
            </w:r>
            <w:r>
              <w:rPr>
                <w:sz w:val="20"/>
                <w:szCs w:val="20"/>
                <w:vertAlign w:val="superscript"/>
              </w:rPr>
              <w:t>2</w:t>
            </w:r>
            <w:r>
              <w:rPr>
                <w:sz w:val="20"/>
                <w:szCs w:val="20"/>
              </w:rPr>
              <w:t xml:space="preserve">) should convert measurements </w:t>
            </w:r>
            <w:r>
              <w:rPr>
                <w:sz w:val="20"/>
                <w:szCs w:val="20"/>
              </w:rPr>
              <w:lastRenderedPageBreak/>
              <w:t>to Gross Internal Area using appropriate conversion factors</w:t>
            </w:r>
            <w:r>
              <w:rPr>
                <w:rStyle w:val="FootnoteReference"/>
                <w:sz w:val="20"/>
                <w:szCs w:val="20"/>
              </w:rPr>
              <w:footnoteReference w:id="20"/>
            </w:r>
            <w:r>
              <w:rPr>
                <w:sz w:val="20"/>
                <w:szCs w:val="20"/>
              </w:rPr>
              <w:t xml:space="preserve"> and state the conversion factor used.</w:t>
            </w:r>
          </w:p>
        </w:tc>
        <w:tc>
          <w:tcPr>
            <w:tcW w:w="1597" w:type="dxa"/>
            <w:tcBorders>
              <w:top w:val="single" w:sz="4" w:space="0" w:color="91278F"/>
              <w:left w:val="single" w:sz="4" w:space="0" w:color="91278F"/>
              <w:bottom w:val="single" w:sz="4" w:space="0" w:color="91278F"/>
              <w:right w:val="single" w:sz="4" w:space="0" w:color="91278F"/>
            </w:tcBorders>
            <w:hideMark/>
          </w:tcPr>
          <w:p w14:paraId="23FD61A5" w14:textId="77777777" w:rsidR="003B07FA" w:rsidRDefault="003B07FA">
            <w:pPr>
              <w:spacing w:before="120" w:after="120"/>
              <w:rPr>
                <w:sz w:val="20"/>
                <w:szCs w:val="20"/>
              </w:rPr>
            </w:pPr>
            <w:r>
              <w:rPr>
                <w:sz w:val="20"/>
                <w:szCs w:val="20"/>
              </w:rPr>
              <w:lastRenderedPageBreak/>
              <w:t>Recommended</w:t>
            </w:r>
          </w:p>
        </w:tc>
      </w:tr>
      <w:tr w:rsidR="002F0F4E" w14:paraId="18D5FCD0" w14:textId="77777777" w:rsidTr="00593F13">
        <w:trPr>
          <w:tblCellSpacing w:w="0" w:type="dxa"/>
        </w:trPr>
        <w:tc>
          <w:tcPr>
            <w:tcW w:w="861" w:type="dxa"/>
            <w:tcBorders>
              <w:top w:val="single" w:sz="4" w:space="0" w:color="91278F"/>
              <w:left w:val="single" w:sz="4" w:space="0" w:color="91278F"/>
              <w:bottom w:val="single" w:sz="4" w:space="0" w:color="91278F"/>
              <w:right w:val="single" w:sz="4" w:space="0" w:color="91278F"/>
            </w:tcBorders>
          </w:tcPr>
          <w:p w14:paraId="018C80F1" w14:textId="58DE9F4D" w:rsidR="002F0F4E" w:rsidRDefault="002F0F4E" w:rsidP="006C40AD">
            <w:pPr>
              <w:spacing w:before="120" w:after="120"/>
              <w:rPr>
                <w:sz w:val="20"/>
                <w:szCs w:val="20"/>
              </w:rPr>
            </w:pPr>
            <w:r>
              <w:rPr>
                <w:sz w:val="20"/>
                <w:szCs w:val="20"/>
              </w:rPr>
              <w:lastRenderedPageBreak/>
              <w:t>20</w:t>
            </w:r>
          </w:p>
        </w:tc>
        <w:tc>
          <w:tcPr>
            <w:tcW w:w="1496" w:type="dxa"/>
            <w:tcBorders>
              <w:top w:val="single" w:sz="4" w:space="0" w:color="91278F"/>
              <w:left w:val="single" w:sz="4" w:space="0" w:color="91278F"/>
              <w:bottom w:val="single" w:sz="4" w:space="0" w:color="91278F"/>
              <w:right w:val="single" w:sz="4" w:space="0" w:color="91278F"/>
            </w:tcBorders>
          </w:tcPr>
          <w:p w14:paraId="063B3FC2" w14:textId="7B3E6647" w:rsidR="002F0F4E" w:rsidRDefault="002F0F4E">
            <w:pPr>
              <w:spacing w:before="120" w:after="120"/>
              <w:rPr>
                <w:sz w:val="20"/>
                <w:szCs w:val="20"/>
              </w:rPr>
            </w:pPr>
            <w:r>
              <w:rPr>
                <w:sz w:val="20"/>
                <w:szCs w:val="20"/>
              </w:rPr>
              <w:t>Size land</w:t>
            </w:r>
          </w:p>
        </w:tc>
        <w:tc>
          <w:tcPr>
            <w:tcW w:w="1906" w:type="dxa"/>
            <w:tcBorders>
              <w:top w:val="single" w:sz="4" w:space="0" w:color="91278F"/>
              <w:left w:val="single" w:sz="4" w:space="0" w:color="91278F"/>
              <w:bottom w:val="single" w:sz="4" w:space="0" w:color="91278F"/>
              <w:right w:val="single" w:sz="4" w:space="0" w:color="91278F"/>
            </w:tcBorders>
          </w:tcPr>
          <w:p w14:paraId="2A09B907" w14:textId="0FCDDF0C" w:rsidR="002F0F4E" w:rsidRDefault="002F0F4E" w:rsidP="006C40AD">
            <w:pPr>
              <w:spacing w:before="120" w:after="120"/>
              <w:rPr>
                <w:sz w:val="20"/>
                <w:szCs w:val="20"/>
              </w:rPr>
            </w:pPr>
            <w:r>
              <w:rPr>
                <w:sz w:val="20"/>
                <w:szCs w:val="20"/>
              </w:rPr>
              <w:t>The area of the land asset</w:t>
            </w:r>
          </w:p>
        </w:tc>
        <w:tc>
          <w:tcPr>
            <w:tcW w:w="2551" w:type="dxa"/>
            <w:tcBorders>
              <w:top w:val="single" w:sz="4" w:space="0" w:color="91278F"/>
              <w:left w:val="single" w:sz="4" w:space="0" w:color="91278F"/>
              <w:bottom w:val="single" w:sz="4" w:space="0" w:color="91278F"/>
              <w:right w:val="single" w:sz="4" w:space="0" w:color="91278F"/>
            </w:tcBorders>
          </w:tcPr>
          <w:p w14:paraId="520C0A11" w14:textId="47E28A40" w:rsidR="002F0F4E" w:rsidRDefault="002F0F4E">
            <w:pPr>
              <w:spacing w:before="120" w:after="120"/>
              <w:rPr>
                <w:sz w:val="20"/>
                <w:szCs w:val="20"/>
              </w:rPr>
            </w:pPr>
            <w:r>
              <w:rPr>
                <w:sz w:val="20"/>
                <w:szCs w:val="20"/>
              </w:rPr>
              <w:t xml:space="preserve">To aid strategic asset management  </w:t>
            </w:r>
          </w:p>
        </w:tc>
        <w:tc>
          <w:tcPr>
            <w:tcW w:w="5387" w:type="dxa"/>
            <w:tcBorders>
              <w:top w:val="single" w:sz="4" w:space="0" w:color="91278F"/>
              <w:left w:val="single" w:sz="4" w:space="0" w:color="91278F"/>
              <w:bottom w:val="single" w:sz="4" w:space="0" w:color="91278F"/>
              <w:right w:val="single" w:sz="4" w:space="0" w:color="91278F"/>
            </w:tcBorders>
          </w:tcPr>
          <w:p w14:paraId="32EB2025" w14:textId="280C2959" w:rsidR="002F0F4E" w:rsidRDefault="002F0F4E" w:rsidP="00D12EB9">
            <w:pPr>
              <w:widowControl/>
              <w:tabs>
                <w:tab w:val="left" w:pos="-720"/>
              </w:tabs>
              <w:suppressAutoHyphens/>
              <w:spacing w:before="120" w:after="120"/>
              <w:rPr>
                <w:sz w:val="20"/>
                <w:szCs w:val="20"/>
              </w:rPr>
            </w:pPr>
            <w:r>
              <w:rPr>
                <w:sz w:val="20"/>
                <w:szCs w:val="20"/>
              </w:rPr>
              <w:t>Measured in hectares for land, in accordance with the Royal Institution of Chartered Surveyors Code of Measuring Practice.</w:t>
            </w:r>
          </w:p>
        </w:tc>
        <w:tc>
          <w:tcPr>
            <w:tcW w:w="1597" w:type="dxa"/>
            <w:tcBorders>
              <w:top w:val="single" w:sz="4" w:space="0" w:color="91278F"/>
              <w:left w:val="single" w:sz="4" w:space="0" w:color="91278F"/>
              <w:bottom w:val="single" w:sz="4" w:space="0" w:color="91278F"/>
              <w:right w:val="single" w:sz="4" w:space="0" w:color="91278F"/>
            </w:tcBorders>
          </w:tcPr>
          <w:p w14:paraId="013CE97C" w14:textId="70641450" w:rsidR="002F0F4E" w:rsidRDefault="002F0F4E">
            <w:pPr>
              <w:spacing w:before="120" w:after="120"/>
              <w:rPr>
                <w:sz w:val="20"/>
                <w:szCs w:val="20"/>
              </w:rPr>
            </w:pPr>
            <w:r>
              <w:rPr>
                <w:sz w:val="20"/>
                <w:szCs w:val="20"/>
              </w:rPr>
              <w:t>Recommended</w:t>
            </w:r>
          </w:p>
        </w:tc>
      </w:tr>
      <w:tr w:rsidR="003B07FA" w14:paraId="5B2A63F5" w14:textId="77777777" w:rsidTr="00593F13">
        <w:trPr>
          <w:tblCellSpacing w:w="0" w:type="dxa"/>
        </w:trPr>
        <w:tc>
          <w:tcPr>
            <w:tcW w:w="861" w:type="dxa"/>
            <w:tcBorders>
              <w:top w:val="single" w:sz="4" w:space="0" w:color="91278F"/>
              <w:left w:val="single" w:sz="4" w:space="0" w:color="91278F"/>
              <w:bottom w:val="single" w:sz="4" w:space="0" w:color="91278F"/>
              <w:right w:val="single" w:sz="4" w:space="0" w:color="91278F"/>
            </w:tcBorders>
          </w:tcPr>
          <w:p w14:paraId="3AB0572B" w14:textId="02A3F5AB" w:rsidR="003B07FA" w:rsidRDefault="002F0F4E" w:rsidP="006C40AD">
            <w:pPr>
              <w:spacing w:before="120" w:after="120"/>
              <w:rPr>
                <w:sz w:val="20"/>
                <w:szCs w:val="20"/>
              </w:rPr>
            </w:pPr>
            <w:r>
              <w:rPr>
                <w:sz w:val="20"/>
                <w:szCs w:val="20"/>
              </w:rPr>
              <w:t>21</w:t>
            </w:r>
          </w:p>
        </w:tc>
        <w:tc>
          <w:tcPr>
            <w:tcW w:w="1496" w:type="dxa"/>
            <w:tcBorders>
              <w:top w:val="single" w:sz="4" w:space="0" w:color="91278F"/>
              <w:left w:val="single" w:sz="4" w:space="0" w:color="91278F"/>
              <w:bottom w:val="single" w:sz="4" w:space="0" w:color="91278F"/>
              <w:right w:val="single" w:sz="4" w:space="0" w:color="91278F"/>
            </w:tcBorders>
          </w:tcPr>
          <w:p w14:paraId="1A0CE44A" w14:textId="6E947F10" w:rsidR="003B07FA" w:rsidRDefault="003B07FA">
            <w:pPr>
              <w:spacing w:before="120" w:after="120"/>
              <w:rPr>
                <w:sz w:val="20"/>
                <w:szCs w:val="20"/>
              </w:rPr>
            </w:pPr>
            <w:r>
              <w:rPr>
                <w:sz w:val="20"/>
                <w:szCs w:val="20"/>
              </w:rPr>
              <w:t>Services function label</w:t>
            </w:r>
          </w:p>
        </w:tc>
        <w:tc>
          <w:tcPr>
            <w:tcW w:w="1906" w:type="dxa"/>
            <w:tcBorders>
              <w:top w:val="single" w:sz="4" w:space="0" w:color="91278F"/>
              <w:left w:val="single" w:sz="4" w:space="0" w:color="91278F"/>
              <w:bottom w:val="single" w:sz="4" w:space="0" w:color="91278F"/>
              <w:right w:val="single" w:sz="4" w:space="0" w:color="91278F"/>
            </w:tcBorders>
          </w:tcPr>
          <w:p w14:paraId="7B9EB249" w14:textId="51DB869E" w:rsidR="003B07FA" w:rsidRDefault="003B07FA" w:rsidP="006C40AD">
            <w:pPr>
              <w:spacing w:before="120" w:after="120"/>
              <w:rPr>
                <w:sz w:val="20"/>
                <w:szCs w:val="20"/>
              </w:rPr>
            </w:pPr>
            <w:r>
              <w:rPr>
                <w:sz w:val="20"/>
                <w:szCs w:val="20"/>
              </w:rPr>
              <w:t>Name of  the current service functions offered according to esd functions list</w:t>
            </w:r>
          </w:p>
        </w:tc>
        <w:tc>
          <w:tcPr>
            <w:tcW w:w="2551" w:type="dxa"/>
            <w:tcBorders>
              <w:top w:val="single" w:sz="4" w:space="0" w:color="91278F"/>
              <w:left w:val="single" w:sz="4" w:space="0" w:color="91278F"/>
              <w:bottom w:val="single" w:sz="4" w:space="0" w:color="91278F"/>
              <w:right w:val="single" w:sz="4" w:space="0" w:color="91278F"/>
            </w:tcBorders>
          </w:tcPr>
          <w:p w14:paraId="122A9EB2" w14:textId="6DC83456" w:rsidR="003B07FA" w:rsidRDefault="003B07FA">
            <w:pPr>
              <w:spacing w:before="120" w:after="120"/>
              <w:rPr>
                <w:sz w:val="20"/>
                <w:szCs w:val="20"/>
              </w:rPr>
            </w:pPr>
            <w:r>
              <w:rPr>
                <w:sz w:val="20"/>
                <w:szCs w:val="20"/>
              </w:rPr>
              <w:t>To aid strategic asset management</w:t>
            </w:r>
          </w:p>
        </w:tc>
        <w:tc>
          <w:tcPr>
            <w:tcW w:w="5387" w:type="dxa"/>
            <w:tcBorders>
              <w:top w:val="single" w:sz="4" w:space="0" w:color="91278F"/>
              <w:left w:val="single" w:sz="4" w:space="0" w:color="91278F"/>
              <w:bottom w:val="single" w:sz="4" w:space="0" w:color="91278F"/>
              <w:right w:val="single" w:sz="4" w:space="0" w:color="91278F"/>
            </w:tcBorders>
          </w:tcPr>
          <w:p w14:paraId="0816D607" w14:textId="59560BDA" w:rsidR="003B07FA" w:rsidRDefault="003B07FA">
            <w:pPr>
              <w:widowControl/>
              <w:tabs>
                <w:tab w:val="left" w:pos="-720"/>
              </w:tabs>
              <w:suppressAutoHyphens/>
              <w:spacing w:before="120" w:after="120"/>
              <w:rPr>
                <w:sz w:val="20"/>
                <w:szCs w:val="20"/>
              </w:rPr>
            </w:pPr>
            <w:r>
              <w:rPr>
                <w:sz w:val="20"/>
                <w:szCs w:val="20"/>
              </w:rPr>
              <w:t>services offered from the asset using the functions listed from the Effective Services Delivery government function list</w:t>
            </w:r>
            <w:hyperlink r:id="rId54" w:history="1">
              <w:r>
                <w:rPr>
                  <w:rStyle w:val="Hyperlink"/>
                  <w:color w:val="000000"/>
                  <w:sz w:val="20"/>
                  <w:szCs w:val="20"/>
                </w:rPr>
                <w:t xml:space="preserve"> </w:t>
              </w:r>
              <w:r>
                <w:rPr>
                  <w:rStyle w:val="Hyperlink"/>
                  <w:color w:val="1155CC"/>
                  <w:sz w:val="20"/>
                  <w:szCs w:val="20"/>
                </w:rPr>
                <w:t>http://id.esd.org.uk/list/functions</w:t>
              </w:r>
            </w:hyperlink>
            <w:r>
              <w:rPr>
                <w:sz w:val="20"/>
                <w:szCs w:val="20"/>
              </w:rPr>
              <w:t xml:space="preserve">  (listing up to five main functions)</w:t>
            </w:r>
          </w:p>
        </w:tc>
        <w:tc>
          <w:tcPr>
            <w:tcW w:w="1597" w:type="dxa"/>
            <w:tcBorders>
              <w:top w:val="single" w:sz="4" w:space="0" w:color="91278F"/>
              <w:left w:val="single" w:sz="4" w:space="0" w:color="91278F"/>
              <w:bottom w:val="single" w:sz="4" w:space="0" w:color="91278F"/>
              <w:right w:val="single" w:sz="4" w:space="0" w:color="91278F"/>
            </w:tcBorders>
          </w:tcPr>
          <w:p w14:paraId="6F1D8955" w14:textId="55118814" w:rsidR="003B07FA" w:rsidRDefault="003B07FA">
            <w:pPr>
              <w:spacing w:before="120" w:after="120"/>
              <w:rPr>
                <w:sz w:val="20"/>
                <w:szCs w:val="20"/>
              </w:rPr>
            </w:pPr>
            <w:r>
              <w:rPr>
                <w:sz w:val="20"/>
                <w:szCs w:val="20"/>
              </w:rPr>
              <w:t>Recommended</w:t>
            </w:r>
          </w:p>
        </w:tc>
      </w:tr>
      <w:tr w:rsidR="003B07FA" w14:paraId="349599BF"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tcPr>
          <w:p w14:paraId="112A4CD5" w14:textId="67145425" w:rsidR="003B07FA" w:rsidRDefault="002F0F4E" w:rsidP="00D12EB9">
            <w:pPr>
              <w:spacing w:before="120" w:after="120"/>
              <w:rPr>
                <w:sz w:val="20"/>
                <w:szCs w:val="20"/>
              </w:rPr>
            </w:pPr>
            <w:r>
              <w:rPr>
                <w:sz w:val="20"/>
                <w:szCs w:val="20"/>
              </w:rPr>
              <w:t>22</w:t>
            </w:r>
          </w:p>
        </w:tc>
        <w:tc>
          <w:tcPr>
            <w:tcW w:w="1496" w:type="dxa"/>
            <w:tcBorders>
              <w:top w:val="single" w:sz="4" w:space="0" w:color="91278F"/>
              <w:left w:val="single" w:sz="4" w:space="0" w:color="91278F"/>
              <w:bottom w:val="single" w:sz="4" w:space="0" w:color="91278F"/>
              <w:right w:val="single" w:sz="4" w:space="0" w:color="91278F"/>
            </w:tcBorders>
          </w:tcPr>
          <w:p w14:paraId="1ED24546" w14:textId="25A218BD" w:rsidR="003B07FA" w:rsidRDefault="003B07FA">
            <w:pPr>
              <w:spacing w:before="120" w:after="120"/>
              <w:rPr>
                <w:sz w:val="20"/>
                <w:szCs w:val="20"/>
              </w:rPr>
            </w:pPr>
            <w:r>
              <w:rPr>
                <w:sz w:val="20"/>
                <w:szCs w:val="20"/>
              </w:rPr>
              <w:t>Service function code</w:t>
            </w:r>
          </w:p>
        </w:tc>
        <w:tc>
          <w:tcPr>
            <w:tcW w:w="1906" w:type="dxa"/>
            <w:tcBorders>
              <w:top w:val="single" w:sz="4" w:space="0" w:color="91278F"/>
              <w:left w:val="single" w:sz="4" w:space="0" w:color="91278F"/>
              <w:bottom w:val="single" w:sz="4" w:space="0" w:color="91278F"/>
              <w:right w:val="single" w:sz="4" w:space="0" w:color="91278F"/>
            </w:tcBorders>
          </w:tcPr>
          <w:p w14:paraId="03B84342" w14:textId="569BC2EE" w:rsidR="003B07FA" w:rsidRDefault="003B07FA">
            <w:pPr>
              <w:spacing w:before="120" w:after="120"/>
              <w:rPr>
                <w:sz w:val="20"/>
                <w:szCs w:val="20"/>
              </w:rPr>
            </w:pPr>
            <w:r>
              <w:rPr>
                <w:sz w:val="20"/>
                <w:szCs w:val="20"/>
              </w:rPr>
              <w:t>URI of the current service functions offered according to esd functions list</w:t>
            </w:r>
          </w:p>
        </w:tc>
        <w:tc>
          <w:tcPr>
            <w:tcW w:w="2551" w:type="dxa"/>
            <w:tcBorders>
              <w:top w:val="single" w:sz="4" w:space="0" w:color="91278F"/>
              <w:left w:val="single" w:sz="4" w:space="0" w:color="91278F"/>
              <w:bottom w:val="single" w:sz="4" w:space="0" w:color="91278F"/>
              <w:right w:val="single" w:sz="4" w:space="0" w:color="91278F"/>
            </w:tcBorders>
          </w:tcPr>
          <w:p w14:paraId="4EF8F0A0" w14:textId="30920E1C" w:rsidR="003B07FA" w:rsidRDefault="003B07FA">
            <w:pPr>
              <w:spacing w:before="120" w:after="120"/>
              <w:rPr>
                <w:sz w:val="20"/>
                <w:szCs w:val="20"/>
              </w:rPr>
            </w:pPr>
            <w:r>
              <w:rPr>
                <w:sz w:val="20"/>
                <w:szCs w:val="20"/>
              </w:rPr>
              <w:t>To enable linking of service function with other data</w:t>
            </w:r>
          </w:p>
        </w:tc>
        <w:tc>
          <w:tcPr>
            <w:tcW w:w="5387" w:type="dxa"/>
            <w:tcBorders>
              <w:top w:val="single" w:sz="4" w:space="0" w:color="91278F"/>
              <w:left w:val="single" w:sz="4" w:space="0" w:color="91278F"/>
              <w:bottom w:val="single" w:sz="4" w:space="0" w:color="91278F"/>
              <w:right w:val="single" w:sz="4" w:space="0" w:color="91278F"/>
            </w:tcBorders>
          </w:tcPr>
          <w:p w14:paraId="3F340610" w14:textId="6E34265B" w:rsidR="003B07FA" w:rsidRDefault="003B07FA">
            <w:pPr>
              <w:widowControl/>
              <w:tabs>
                <w:tab w:val="left" w:pos="-720"/>
              </w:tabs>
              <w:suppressAutoHyphens/>
              <w:spacing w:before="120" w:after="120"/>
              <w:rPr>
                <w:sz w:val="20"/>
                <w:szCs w:val="20"/>
              </w:rPr>
            </w:pPr>
            <w:r>
              <w:rPr>
                <w:sz w:val="20"/>
                <w:szCs w:val="20"/>
              </w:rPr>
              <w:t>Unique identifier to refer to the services offered from the asset using the functions listed from the Effective Services Delivery government function list</w:t>
            </w:r>
            <w:hyperlink r:id="rId55" w:history="1">
              <w:r>
                <w:rPr>
                  <w:rStyle w:val="Hyperlink"/>
                  <w:color w:val="000000"/>
                  <w:sz w:val="20"/>
                  <w:szCs w:val="20"/>
                </w:rPr>
                <w:t xml:space="preserve"> </w:t>
              </w:r>
              <w:r>
                <w:rPr>
                  <w:rStyle w:val="Hyperlink"/>
                  <w:color w:val="1155CC"/>
                  <w:sz w:val="20"/>
                  <w:szCs w:val="20"/>
                </w:rPr>
                <w:t>http://id.esd.org.uk/list/functions</w:t>
              </w:r>
            </w:hyperlink>
            <w:r>
              <w:rPr>
                <w:sz w:val="20"/>
                <w:szCs w:val="20"/>
              </w:rPr>
              <w:t xml:space="preserve">  (listing up to five main functions)</w:t>
            </w:r>
          </w:p>
        </w:tc>
        <w:tc>
          <w:tcPr>
            <w:tcW w:w="1597" w:type="dxa"/>
            <w:tcBorders>
              <w:top w:val="single" w:sz="4" w:space="0" w:color="91278F"/>
              <w:left w:val="single" w:sz="4" w:space="0" w:color="91278F"/>
              <w:bottom w:val="single" w:sz="4" w:space="0" w:color="91278F"/>
              <w:right w:val="single" w:sz="4" w:space="0" w:color="91278F"/>
            </w:tcBorders>
          </w:tcPr>
          <w:p w14:paraId="49D968C8" w14:textId="230F1AD1" w:rsidR="003B07FA" w:rsidRDefault="003B07FA">
            <w:pPr>
              <w:spacing w:before="120" w:after="120"/>
              <w:rPr>
                <w:sz w:val="20"/>
                <w:szCs w:val="20"/>
              </w:rPr>
            </w:pPr>
            <w:r>
              <w:rPr>
                <w:sz w:val="20"/>
                <w:szCs w:val="20"/>
              </w:rPr>
              <w:t>Optional unless label is not available</w:t>
            </w:r>
          </w:p>
        </w:tc>
      </w:tr>
      <w:tr w:rsidR="003B07FA" w14:paraId="56F20CB4"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0449A55E" w14:textId="1C9E57F6" w:rsidR="003B07FA" w:rsidRDefault="003B07FA" w:rsidP="00593F13">
            <w:pPr>
              <w:spacing w:before="120" w:after="120"/>
              <w:rPr>
                <w:sz w:val="20"/>
                <w:szCs w:val="20"/>
              </w:rPr>
            </w:pPr>
            <w:r>
              <w:rPr>
                <w:sz w:val="20"/>
                <w:szCs w:val="20"/>
              </w:rPr>
              <w:t>23</w:t>
            </w:r>
          </w:p>
        </w:tc>
        <w:tc>
          <w:tcPr>
            <w:tcW w:w="1496" w:type="dxa"/>
            <w:tcBorders>
              <w:top w:val="single" w:sz="4" w:space="0" w:color="91278F"/>
              <w:left w:val="single" w:sz="4" w:space="0" w:color="91278F"/>
              <w:bottom w:val="single" w:sz="4" w:space="0" w:color="91278F"/>
              <w:right w:val="single" w:sz="4" w:space="0" w:color="91278F"/>
            </w:tcBorders>
            <w:hideMark/>
          </w:tcPr>
          <w:p w14:paraId="1859C830" w14:textId="77777777" w:rsidR="003B07FA" w:rsidRDefault="003B07FA">
            <w:pPr>
              <w:spacing w:before="120" w:after="120"/>
              <w:rPr>
                <w:sz w:val="20"/>
                <w:szCs w:val="20"/>
              </w:rPr>
            </w:pPr>
            <w:r>
              <w:rPr>
                <w:sz w:val="20"/>
                <w:szCs w:val="20"/>
              </w:rPr>
              <w:t>Purpose</w:t>
            </w:r>
          </w:p>
        </w:tc>
        <w:tc>
          <w:tcPr>
            <w:tcW w:w="1906" w:type="dxa"/>
            <w:tcBorders>
              <w:top w:val="single" w:sz="4" w:space="0" w:color="91278F"/>
              <w:left w:val="single" w:sz="4" w:space="0" w:color="91278F"/>
              <w:bottom w:val="single" w:sz="4" w:space="0" w:color="91278F"/>
              <w:right w:val="single" w:sz="4" w:space="0" w:color="91278F"/>
            </w:tcBorders>
            <w:hideMark/>
          </w:tcPr>
          <w:p w14:paraId="4761A664" w14:textId="77777777" w:rsidR="003B07FA" w:rsidRDefault="003B07FA">
            <w:pPr>
              <w:spacing w:before="120" w:after="120"/>
              <w:rPr>
                <w:sz w:val="20"/>
                <w:szCs w:val="20"/>
              </w:rPr>
            </w:pPr>
            <w:r>
              <w:rPr>
                <w:sz w:val="20"/>
                <w:szCs w:val="20"/>
              </w:rPr>
              <w:t>State the reasons for holding asset</w:t>
            </w:r>
          </w:p>
        </w:tc>
        <w:tc>
          <w:tcPr>
            <w:tcW w:w="2551" w:type="dxa"/>
            <w:tcBorders>
              <w:top w:val="single" w:sz="4" w:space="0" w:color="91278F"/>
              <w:left w:val="single" w:sz="4" w:space="0" w:color="91278F"/>
              <w:bottom w:val="single" w:sz="4" w:space="0" w:color="91278F"/>
              <w:right w:val="single" w:sz="4" w:space="0" w:color="91278F"/>
            </w:tcBorders>
            <w:hideMark/>
          </w:tcPr>
          <w:p w14:paraId="083912B6" w14:textId="77777777" w:rsidR="003B07FA" w:rsidRDefault="003B07FA">
            <w:pPr>
              <w:spacing w:before="120" w:after="120"/>
              <w:rPr>
                <w:sz w:val="20"/>
                <w:szCs w:val="20"/>
              </w:rPr>
            </w:pPr>
            <w:r>
              <w:rPr>
                <w:sz w:val="20"/>
                <w:szCs w:val="20"/>
              </w:rPr>
              <w:t xml:space="preserve">To aid strategic asset management  </w:t>
            </w:r>
          </w:p>
        </w:tc>
        <w:tc>
          <w:tcPr>
            <w:tcW w:w="5387" w:type="dxa"/>
            <w:tcBorders>
              <w:top w:val="single" w:sz="4" w:space="0" w:color="91278F"/>
              <w:left w:val="single" w:sz="4" w:space="0" w:color="91278F"/>
              <w:bottom w:val="single" w:sz="4" w:space="0" w:color="91278F"/>
              <w:right w:val="single" w:sz="4" w:space="0" w:color="91278F"/>
            </w:tcBorders>
            <w:hideMark/>
          </w:tcPr>
          <w:p w14:paraId="108F956E" w14:textId="210C1D66" w:rsidR="003B07FA" w:rsidRDefault="003B07FA">
            <w:pPr>
              <w:widowControl/>
              <w:tabs>
                <w:tab w:val="left" w:pos="-720"/>
              </w:tabs>
              <w:suppressAutoHyphens/>
              <w:spacing w:before="120" w:after="120"/>
              <w:rPr>
                <w:sz w:val="20"/>
                <w:szCs w:val="20"/>
              </w:rPr>
            </w:pPr>
            <w:r>
              <w:rPr>
                <w:sz w:val="20"/>
                <w:szCs w:val="20"/>
              </w:rPr>
              <w:t>Encoded drop down list  with reason for holding asset such as, (if more than one applies separate by “/”)</w:t>
            </w:r>
          </w:p>
          <w:p w14:paraId="6F64511C" w14:textId="77777777" w:rsidR="003B07FA" w:rsidRDefault="003B07FA" w:rsidP="00AF12DC">
            <w:pPr>
              <w:pStyle w:val="ListParagraph"/>
              <w:numPr>
                <w:ilvl w:val="0"/>
                <w:numId w:val="46"/>
              </w:numPr>
              <w:tabs>
                <w:tab w:val="left" w:pos="-720"/>
              </w:tabs>
              <w:suppressAutoHyphens/>
              <w:spacing w:before="120" w:after="120"/>
              <w:rPr>
                <w:sz w:val="20"/>
                <w:szCs w:val="20"/>
              </w:rPr>
            </w:pPr>
            <w:r>
              <w:rPr>
                <w:sz w:val="20"/>
                <w:szCs w:val="20"/>
              </w:rPr>
              <w:t xml:space="preserve">occupied by the local authority </w:t>
            </w:r>
          </w:p>
          <w:p w14:paraId="76888931" w14:textId="77777777" w:rsidR="003B07FA" w:rsidRDefault="003B07FA" w:rsidP="00AF12DC">
            <w:pPr>
              <w:pStyle w:val="ListParagraph"/>
              <w:numPr>
                <w:ilvl w:val="0"/>
                <w:numId w:val="46"/>
              </w:numPr>
              <w:tabs>
                <w:tab w:val="left" w:pos="-720"/>
              </w:tabs>
              <w:suppressAutoHyphens/>
              <w:spacing w:before="120" w:after="120"/>
              <w:rPr>
                <w:sz w:val="20"/>
                <w:szCs w:val="20"/>
              </w:rPr>
            </w:pPr>
            <w:r>
              <w:rPr>
                <w:sz w:val="20"/>
                <w:szCs w:val="20"/>
              </w:rPr>
              <w:t xml:space="preserve">providing a service on the authority’s behalf, </w:t>
            </w:r>
          </w:p>
          <w:p w14:paraId="6F041DE6" w14:textId="77777777" w:rsidR="003B07FA" w:rsidRDefault="003B07FA" w:rsidP="00AF12DC">
            <w:pPr>
              <w:pStyle w:val="ListParagraph"/>
              <w:numPr>
                <w:ilvl w:val="0"/>
                <w:numId w:val="46"/>
              </w:numPr>
              <w:tabs>
                <w:tab w:val="left" w:pos="-720"/>
              </w:tabs>
              <w:suppressAutoHyphens/>
              <w:spacing w:before="120" w:after="120"/>
              <w:rPr>
                <w:sz w:val="20"/>
                <w:szCs w:val="20"/>
              </w:rPr>
            </w:pPr>
            <w:r>
              <w:rPr>
                <w:sz w:val="20"/>
                <w:szCs w:val="20"/>
              </w:rPr>
              <w:t xml:space="preserve">investment property, </w:t>
            </w:r>
          </w:p>
          <w:p w14:paraId="0BFBFF90" w14:textId="77777777" w:rsidR="003B07FA" w:rsidRDefault="003B07FA" w:rsidP="00AF12DC">
            <w:pPr>
              <w:pStyle w:val="ListParagraph"/>
              <w:numPr>
                <w:ilvl w:val="0"/>
                <w:numId w:val="46"/>
              </w:numPr>
              <w:tabs>
                <w:tab w:val="left" w:pos="-720"/>
              </w:tabs>
              <w:suppressAutoHyphens/>
              <w:spacing w:before="120" w:after="120"/>
              <w:rPr>
                <w:sz w:val="20"/>
                <w:szCs w:val="20"/>
              </w:rPr>
            </w:pPr>
            <w:r>
              <w:rPr>
                <w:sz w:val="20"/>
                <w:szCs w:val="20"/>
              </w:rPr>
              <w:t>supports economic development (</w:t>
            </w:r>
            <w:proofErr w:type="spellStart"/>
            <w:r>
              <w:rPr>
                <w:sz w:val="20"/>
                <w:szCs w:val="20"/>
              </w:rPr>
              <w:t>eg</w:t>
            </w:r>
            <w:proofErr w:type="spellEnd"/>
            <w:r>
              <w:rPr>
                <w:sz w:val="20"/>
                <w:szCs w:val="20"/>
              </w:rPr>
              <w:t xml:space="preserve">. provision of small businesses or incubator space), </w:t>
            </w:r>
          </w:p>
          <w:p w14:paraId="5D87E64B" w14:textId="77777777" w:rsidR="003B07FA" w:rsidRDefault="003B07FA" w:rsidP="00AF12DC">
            <w:pPr>
              <w:pStyle w:val="ListParagraph"/>
              <w:numPr>
                <w:ilvl w:val="0"/>
                <w:numId w:val="46"/>
              </w:numPr>
              <w:tabs>
                <w:tab w:val="left" w:pos="-720"/>
              </w:tabs>
              <w:suppressAutoHyphens/>
              <w:spacing w:before="120" w:after="120"/>
              <w:rPr>
                <w:sz w:val="20"/>
                <w:szCs w:val="20"/>
              </w:rPr>
            </w:pPr>
            <w:r>
              <w:rPr>
                <w:sz w:val="20"/>
                <w:szCs w:val="20"/>
              </w:rPr>
              <w:lastRenderedPageBreak/>
              <w:t xml:space="preserve">surplus to the authority’s requirements, </w:t>
            </w:r>
          </w:p>
          <w:p w14:paraId="419AA0D0" w14:textId="77777777" w:rsidR="003B07FA" w:rsidRDefault="003B07FA" w:rsidP="00AF12DC">
            <w:pPr>
              <w:pStyle w:val="ListParagraph"/>
              <w:numPr>
                <w:ilvl w:val="0"/>
                <w:numId w:val="46"/>
              </w:numPr>
              <w:tabs>
                <w:tab w:val="left" w:pos="-720"/>
              </w:tabs>
              <w:suppressAutoHyphens/>
              <w:spacing w:before="120" w:after="120"/>
              <w:rPr>
                <w:sz w:val="20"/>
                <w:szCs w:val="20"/>
              </w:rPr>
            </w:pPr>
            <w:r>
              <w:rPr>
                <w:sz w:val="20"/>
                <w:szCs w:val="20"/>
              </w:rPr>
              <w:t xml:space="preserve">awaiting development, </w:t>
            </w:r>
          </w:p>
          <w:p w14:paraId="64183609" w14:textId="77777777" w:rsidR="003B07FA" w:rsidRDefault="003B07FA" w:rsidP="00AF12DC">
            <w:pPr>
              <w:pStyle w:val="ListParagraph"/>
              <w:numPr>
                <w:ilvl w:val="0"/>
                <w:numId w:val="46"/>
              </w:numPr>
              <w:tabs>
                <w:tab w:val="left" w:pos="-720"/>
              </w:tabs>
              <w:suppressAutoHyphens/>
              <w:spacing w:before="120" w:after="120"/>
              <w:rPr>
                <w:sz w:val="20"/>
                <w:szCs w:val="20"/>
              </w:rPr>
            </w:pPr>
            <w:r>
              <w:rPr>
                <w:sz w:val="20"/>
                <w:szCs w:val="20"/>
              </w:rPr>
              <w:t xml:space="preserve">under construction, </w:t>
            </w:r>
          </w:p>
          <w:p w14:paraId="0FDDD562" w14:textId="77777777" w:rsidR="003B07FA" w:rsidRDefault="003B07FA" w:rsidP="00AF12DC">
            <w:pPr>
              <w:pStyle w:val="ListParagraph"/>
              <w:numPr>
                <w:ilvl w:val="0"/>
                <w:numId w:val="46"/>
              </w:numPr>
              <w:tabs>
                <w:tab w:val="left" w:pos="-720"/>
              </w:tabs>
              <w:suppressAutoHyphens/>
              <w:spacing w:before="120" w:after="120"/>
              <w:rPr>
                <w:sz w:val="20"/>
                <w:szCs w:val="20"/>
              </w:rPr>
            </w:pPr>
            <w:r>
              <w:rPr>
                <w:sz w:val="20"/>
                <w:szCs w:val="20"/>
              </w:rPr>
              <w:t>infrastructure</w:t>
            </w:r>
          </w:p>
          <w:p w14:paraId="0D139176" w14:textId="77777777" w:rsidR="003B07FA" w:rsidRDefault="003B07FA" w:rsidP="00AF12DC">
            <w:pPr>
              <w:pStyle w:val="ListParagraph"/>
              <w:numPr>
                <w:ilvl w:val="0"/>
                <w:numId w:val="46"/>
              </w:numPr>
              <w:tabs>
                <w:tab w:val="left" w:pos="-720"/>
              </w:tabs>
              <w:suppressAutoHyphens/>
              <w:spacing w:before="120" w:after="120"/>
              <w:rPr>
                <w:sz w:val="20"/>
                <w:szCs w:val="20"/>
              </w:rPr>
            </w:pPr>
            <w:r>
              <w:rPr>
                <w:sz w:val="20"/>
                <w:szCs w:val="20"/>
              </w:rPr>
              <w:t>community asset</w:t>
            </w:r>
          </w:p>
          <w:p w14:paraId="4C4FC979" w14:textId="42C0072D" w:rsidR="009F3EF7" w:rsidRDefault="009F3EF7" w:rsidP="00AF12DC">
            <w:pPr>
              <w:pStyle w:val="ListParagraph"/>
              <w:numPr>
                <w:ilvl w:val="0"/>
                <w:numId w:val="46"/>
              </w:numPr>
              <w:tabs>
                <w:tab w:val="left" w:pos="-720"/>
              </w:tabs>
              <w:suppressAutoHyphens/>
              <w:spacing w:before="120" w:after="120"/>
              <w:rPr>
                <w:sz w:val="20"/>
                <w:szCs w:val="20"/>
              </w:rPr>
            </w:pPr>
            <w:r>
              <w:rPr>
                <w:sz w:val="20"/>
                <w:szCs w:val="20"/>
              </w:rPr>
              <w:t>potential asset of community value</w:t>
            </w:r>
          </w:p>
        </w:tc>
        <w:tc>
          <w:tcPr>
            <w:tcW w:w="1597" w:type="dxa"/>
            <w:tcBorders>
              <w:top w:val="single" w:sz="4" w:space="0" w:color="91278F"/>
              <w:left w:val="single" w:sz="4" w:space="0" w:color="91278F"/>
              <w:bottom w:val="single" w:sz="4" w:space="0" w:color="91278F"/>
              <w:right w:val="single" w:sz="4" w:space="0" w:color="91278F"/>
            </w:tcBorders>
            <w:hideMark/>
          </w:tcPr>
          <w:p w14:paraId="2BF0FBA1" w14:textId="77777777" w:rsidR="003B07FA" w:rsidRDefault="003B07FA">
            <w:pPr>
              <w:spacing w:before="120" w:after="120"/>
              <w:rPr>
                <w:sz w:val="20"/>
                <w:szCs w:val="20"/>
              </w:rPr>
            </w:pPr>
            <w:r>
              <w:rPr>
                <w:sz w:val="20"/>
                <w:szCs w:val="20"/>
              </w:rPr>
              <w:lastRenderedPageBreak/>
              <w:t>Recommended</w:t>
            </w:r>
          </w:p>
        </w:tc>
      </w:tr>
      <w:tr w:rsidR="003B07FA" w14:paraId="62874515"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4D8DFCC9" w14:textId="01A1330A" w:rsidR="003B07FA" w:rsidRDefault="003B07FA" w:rsidP="00593F13">
            <w:pPr>
              <w:spacing w:before="120" w:after="120"/>
              <w:rPr>
                <w:sz w:val="20"/>
                <w:szCs w:val="20"/>
              </w:rPr>
            </w:pPr>
            <w:r>
              <w:rPr>
                <w:sz w:val="20"/>
                <w:szCs w:val="20"/>
              </w:rPr>
              <w:lastRenderedPageBreak/>
              <w:t>24</w:t>
            </w:r>
          </w:p>
        </w:tc>
        <w:tc>
          <w:tcPr>
            <w:tcW w:w="1496" w:type="dxa"/>
            <w:tcBorders>
              <w:top w:val="single" w:sz="4" w:space="0" w:color="91278F"/>
              <w:left w:val="single" w:sz="4" w:space="0" w:color="91278F"/>
              <w:bottom w:val="single" w:sz="4" w:space="0" w:color="91278F"/>
              <w:right w:val="single" w:sz="4" w:space="0" w:color="91278F"/>
            </w:tcBorders>
            <w:hideMark/>
          </w:tcPr>
          <w:p w14:paraId="5B277951" w14:textId="77777777" w:rsidR="003B07FA" w:rsidRDefault="003B07FA">
            <w:pPr>
              <w:spacing w:before="120" w:after="120"/>
              <w:rPr>
                <w:sz w:val="20"/>
                <w:szCs w:val="20"/>
              </w:rPr>
            </w:pPr>
            <w:r>
              <w:rPr>
                <w:sz w:val="20"/>
                <w:szCs w:val="20"/>
              </w:rPr>
              <w:t>Total building operation (revenue) costs</w:t>
            </w:r>
          </w:p>
        </w:tc>
        <w:tc>
          <w:tcPr>
            <w:tcW w:w="1906" w:type="dxa"/>
            <w:tcBorders>
              <w:top w:val="single" w:sz="4" w:space="0" w:color="91278F"/>
              <w:left w:val="single" w:sz="4" w:space="0" w:color="91278F"/>
              <w:bottom w:val="single" w:sz="4" w:space="0" w:color="91278F"/>
              <w:right w:val="single" w:sz="4" w:space="0" w:color="91278F"/>
            </w:tcBorders>
            <w:hideMark/>
          </w:tcPr>
          <w:p w14:paraId="14661183" w14:textId="77777777" w:rsidR="003B07FA" w:rsidRDefault="003B07FA">
            <w:pPr>
              <w:spacing w:before="120" w:after="120"/>
              <w:rPr>
                <w:sz w:val="20"/>
                <w:szCs w:val="20"/>
              </w:rPr>
            </w:pPr>
            <w:r>
              <w:rPr>
                <w:sz w:val="20"/>
                <w:szCs w:val="20"/>
              </w:rPr>
              <w:t xml:space="preserve">Total building operation (revenue) costs.  </w:t>
            </w:r>
          </w:p>
        </w:tc>
        <w:tc>
          <w:tcPr>
            <w:tcW w:w="2551" w:type="dxa"/>
            <w:tcBorders>
              <w:top w:val="single" w:sz="4" w:space="0" w:color="91278F"/>
              <w:left w:val="single" w:sz="4" w:space="0" w:color="91278F"/>
              <w:bottom w:val="single" w:sz="4" w:space="0" w:color="91278F"/>
              <w:right w:val="single" w:sz="4" w:space="0" w:color="91278F"/>
            </w:tcBorders>
            <w:hideMark/>
          </w:tcPr>
          <w:p w14:paraId="2ABA9673" w14:textId="77777777" w:rsidR="003B07FA" w:rsidRDefault="003B07FA">
            <w:pPr>
              <w:spacing w:before="120" w:after="120"/>
              <w:rPr>
                <w:sz w:val="20"/>
                <w:szCs w:val="20"/>
              </w:rPr>
            </w:pPr>
            <w:r>
              <w:rPr>
                <w:sz w:val="20"/>
                <w:szCs w:val="20"/>
              </w:rPr>
              <w:t>To aid strategic asset management</w:t>
            </w:r>
          </w:p>
        </w:tc>
        <w:tc>
          <w:tcPr>
            <w:tcW w:w="5387" w:type="dxa"/>
            <w:tcBorders>
              <w:top w:val="single" w:sz="4" w:space="0" w:color="91278F"/>
              <w:left w:val="single" w:sz="4" w:space="0" w:color="91278F"/>
              <w:bottom w:val="single" w:sz="4" w:space="0" w:color="91278F"/>
              <w:right w:val="single" w:sz="4" w:space="0" w:color="91278F"/>
            </w:tcBorders>
            <w:hideMark/>
          </w:tcPr>
          <w:p w14:paraId="532A74AC" w14:textId="77777777" w:rsidR="003B07FA" w:rsidRDefault="003B07FA">
            <w:pPr>
              <w:spacing w:before="120" w:after="120"/>
              <w:rPr>
                <w:sz w:val="20"/>
                <w:szCs w:val="20"/>
              </w:rPr>
            </w:pPr>
            <w:r>
              <w:rPr>
                <w:sz w:val="20"/>
                <w:szCs w:val="20"/>
              </w:rPr>
              <w:t xml:space="preserve">total building operation (revenue) costs as defined in  the Corporate value for money indicators for public services at </w:t>
            </w:r>
            <w:hyperlink r:id="rId56" w:history="1">
              <w:r>
                <w:rPr>
                  <w:rStyle w:val="Hyperlink"/>
                  <w:sz w:val="20"/>
                  <w:szCs w:val="20"/>
                </w:rPr>
                <w:t>http://www.cipfa.org/services/benchmarking/vfm-indicators/estates-management</w:t>
              </w:r>
            </w:hyperlink>
            <w:r>
              <w:rPr>
                <w:sz w:val="20"/>
                <w:szCs w:val="20"/>
              </w:rPr>
              <w:t xml:space="preserve"> </w:t>
            </w:r>
          </w:p>
        </w:tc>
        <w:tc>
          <w:tcPr>
            <w:tcW w:w="1597" w:type="dxa"/>
            <w:tcBorders>
              <w:top w:val="single" w:sz="4" w:space="0" w:color="91278F"/>
              <w:left w:val="single" w:sz="4" w:space="0" w:color="91278F"/>
              <w:bottom w:val="single" w:sz="4" w:space="0" w:color="91278F"/>
              <w:right w:val="single" w:sz="4" w:space="0" w:color="91278F"/>
            </w:tcBorders>
            <w:hideMark/>
          </w:tcPr>
          <w:p w14:paraId="1ECABB7C" w14:textId="77777777" w:rsidR="003B07FA" w:rsidRDefault="003B07FA">
            <w:pPr>
              <w:spacing w:before="120" w:after="120"/>
              <w:rPr>
                <w:sz w:val="20"/>
                <w:szCs w:val="20"/>
              </w:rPr>
            </w:pPr>
            <w:r>
              <w:rPr>
                <w:sz w:val="20"/>
                <w:szCs w:val="20"/>
              </w:rPr>
              <w:t>Recommended</w:t>
            </w:r>
          </w:p>
        </w:tc>
      </w:tr>
      <w:tr w:rsidR="003B07FA" w14:paraId="0183E718"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7A7229F1" w14:textId="634E26F8" w:rsidR="003B07FA" w:rsidRDefault="003B07FA" w:rsidP="00593F13">
            <w:pPr>
              <w:spacing w:before="120" w:after="120"/>
              <w:rPr>
                <w:sz w:val="20"/>
                <w:szCs w:val="20"/>
              </w:rPr>
            </w:pPr>
            <w:r>
              <w:rPr>
                <w:sz w:val="20"/>
                <w:szCs w:val="20"/>
              </w:rPr>
              <w:t>25</w:t>
            </w:r>
          </w:p>
        </w:tc>
        <w:tc>
          <w:tcPr>
            <w:tcW w:w="1496" w:type="dxa"/>
            <w:tcBorders>
              <w:top w:val="single" w:sz="4" w:space="0" w:color="91278F"/>
              <w:left w:val="single" w:sz="4" w:space="0" w:color="91278F"/>
              <w:bottom w:val="single" w:sz="4" w:space="0" w:color="91278F"/>
              <w:right w:val="single" w:sz="4" w:space="0" w:color="91278F"/>
            </w:tcBorders>
            <w:hideMark/>
          </w:tcPr>
          <w:p w14:paraId="08BFF14C" w14:textId="484ED3C1" w:rsidR="003B07FA" w:rsidRDefault="003B07FA" w:rsidP="00CF5082">
            <w:pPr>
              <w:spacing w:before="120" w:after="120"/>
              <w:rPr>
                <w:sz w:val="20"/>
                <w:szCs w:val="20"/>
              </w:rPr>
            </w:pPr>
            <w:r>
              <w:rPr>
                <w:sz w:val="20"/>
                <w:szCs w:val="20"/>
              </w:rPr>
              <w:t>Required maintenance</w:t>
            </w:r>
          </w:p>
        </w:tc>
        <w:tc>
          <w:tcPr>
            <w:tcW w:w="1906" w:type="dxa"/>
            <w:tcBorders>
              <w:top w:val="single" w:sz="4" w:space="0" w:color="91278F"/>
              <w:left w:val="single" w:sz="4" w:space="0" w:color="91278F"/>
              <w:bottom w:val="single" w:sz="4" w:space="0" w:color="91278F"/>
              <w:right w:val="single" w:sz="4" w:space="0" w:color="91278F"/>
            </w:tcBorders>
            <w:hideMark/>
          </w:tcPr>
          <w:p w14:paraId="4698B611" w14:textId="77777777" w:rsidR="003B07FA" w:rsidRDefault="003B07FA">
            <w:pPr>
              <w:spacing w:before="120" w:after="120"/>
              <w:rPr>
                <w:sz w:val="20"/>
                <w:szCs w:val="20"/>
              </w:rPr>
            </w:pPr>
            <w:r>
              <w:rPr>
                <w:sz w:val="20"/>
                <w:szCs w:val="20"/>
              </w:rPr>
              <w:t>Cost of bringing the asset up to a fit for purpose condition</w:t>
            </w:r>
          </w:p>
        </w:tc>
        <w:tc>
          <w:tcPr>
            <w:tcW w:w="2551" w:type="dxa"/>
            <w:tcBorders>
              <w:top w:val="single" w:sz="4" w:space="0" w:color="91278F"/>
              <w:left w:val="single" w:sz="4" w:space="0" w:color="91278F"/>
              <w:bottom w:val="single" w:sz="4" w:space="0" w:color="91278F"/>
              <w:right w:val="single" w:sz="4" w:space="0" w:color="91278F"/>
            </w:tcBorders>
            <w:hideMark/>
          </w:tcPr>
          <w:p w14:paraId="6B8D92A0" w14:textId="77777777" w:rsidR="003B07FA" w:rsidRDefault="003B07FA">
            <w:pPr>
              <w:spacing w:before="120" w:after="120"/>
              <w:rPr>
                <w:sz w:val="20"/>
                <w:szCs w:val="20"/>
              </w:rPr>
            </w:pPr>
            <w:r>
              <w:rPr>
                <w:sz w:val="20"/>
                <w:szCs w:val="20"/>
              </w:rPr>
              <w:t>To identify those assets in poor condition or which have significant maintenance liabilities</w:t>
            </w:r>
          </w:p>
        </w:tc>
        <w:tc>
          <w:tcPr>
            <w:tcW w:w="5387" w:type="dxa"/>
            <w:tcBorders>
              <w:top w:val="single" w:sz="4" w:space="0" w:color="91278F"/>
              <w:left w:val="single" w:sz="4" w:space="0" w:color="91278F"/>
              <w:bottom w:val="single" w:sz="4" w:space="0" w:color="91278F"/>
              <w:right w:val="single" w:sz="4" w:space="0" w:color="91278F"/>
            </w:tcBorders>
            <w:hideMark/>
          </w:tcPr>
          <w:p w14:paraId="313EE5E8" w14:textId="77777777" w:rsidR="003B07FA" w:rsidRDefault="003B07FA">
            <w:pPr>
              <w:widowControl/>
              <w:tabs>
                <w:tab w:val="left" w:pos="-720"/>
              </w:tabs>
              <w:suppressAutoHyphens/>
              <w:spacing w:before="120" w:after="120"/>
              <w:rPr>
                <w:sz w:val="20"/>
                <w:szCs w:val="20"/>
              </w:rPr>
            </w:pPr>
            <w:proofErr w:type="gramStart"/>
            <w:r>
              <w:rPr>
                <w:sz w:val="20"/>
                <w:szCs w:val="20"/>
              </w:rPr>
              <w:t>required</w:t>
            </w:r>
            <w:proofErr w:type="gramEnd"/>
            <w:r>
              <w:rPr>
                <w:sz w:val="20"/>
                <w:szCs w:val="20"/>
              </w:rPr>
              <w:t xml:space="preserve"> maintenance - the cost to bring the property from its present state up to the state reasonably required by the authority to deliver the service and/or to meet statutory or contract obligations and maintain it at the standard. This should exclude improvement projects but include works necessary to comply with new legislation (</w:t>
            </w:r>
            <w:proofErr w:type="spellStart"/>
            <w:r>
              <w:rPr>
                <w:sz w:val="20"/>
                <w:szCs w:val="20"/>
              </w:rPr>
              <w:t>eg</w:t>
            </w:r>
            <w:proofErr w:type="spellEnd"/>
            <w:r>
              <w:rPr>
                <w:sz w:val="20"/>
                <w:szCs w:val="20"/>
              </w:rPr>
              <w:t>. asbestos and legionella)</w:t>
            </w:r>
          </w:p>
        </w:tc>
        <w:tc>
          <w:tcPr>
            <w:tcW w:w="1597" w:type="dxa"/>
            <w:tcBorders>
              <w:top w:val="single" w:sz="4" w:space="0" w:color="91278F"/>
              <w:left w:val="single" w:sz="4" w:space="0" w:color="91278F"/>
              <w:bottom w:val="single" w:sz="4" w:space="0" w:color="91278F"/>
              <w:right w:val="single" w:sz="4" w:space="0" w:color="91278F"/>
            </w:tcBorders>
            <w:hideMark/>
          </w:tcPr>
          <w:p w14:paraId="5506D0C5" w14:textId="77777777" w:rsidR="003B07FA" w:rsidRDefault="003B07FA">
            <w:pPr>
              <w:spacing w:before="120" w:after="120"/>
              <w:rPr>
                <w:sz w:val="20"/>
                <w:szCs w:val="20"/>
              </w:rPr>
            </w:pPr>
            <w:r>
              <w:rPr>
                <w:sz w:val="20"/>
                <w:szCs w:val="20"/>
              </w:rPr>
              <w:t>Recommended</w:t>
            </w:r>
          </w:p>
        </w:tc>
      </w:tr>
      <w:tr w:rsidR="003B07FA" w14:paraId="6364641F"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3C4528CF" w14:textId="72970193" w:rsidR="003B07FA" w:rsidRDefault="003B07FA" w:rsidP="00593F13">
            <w:pPr>
              <w:spacing w:before="120" w:after="120"/>
              <w:rPr>
                <w:sz w:val="20"/>
                <w:szCs w:val="20"/>
              </w:rPr>
            </w:pPr>
            <w:r>
              <w:rPr>
                <w:sz w:val="20"/>
                <w:szCs w:val="20"/>
              </w:rPr>
              <w:t>26</w:t>
            </w:r>
          </w:p>
        </w:tc>
        <w:tc>
          <w:tcPr>
            <w:tcW w:w="1496" w:type="dxa"/>
            <w:tcBorders>
              <w:top w:val="single" w:sz="4" w:space="0" w:color="91278F"/>
              <w:left w:val="single" w:sz="4" w:space="0" w:color="91278F"/>
              <w:bottom w:val="single" w:sz="4" w:space="0" w:color="91278F"/>
              <w:right w:val="single" w:sz="4" w:space="0" w:color="91278F"/>
            </w:tcBorders>
            <w:hideMark/>
          </w:tcPr>
          <w:p w14:paraId="443B63AB" w14:textId="11691CC4" w:rsidR="003B07FA" w:rsidRDefault="003B07FA" w:rsidP="00CF5082">
            <w:pPr>
              <w:spacing w:before="120" w:after="120"/>
              <w:rPr>
                <w:sz w:val="20"/>
                <w:szCs w:val="20"/>
              </w:rPr>
            </w:pPr>
            <w:r>
              <w:rPr>
                <w:sz w:val="20"/>
                <w:szCs w:val="20"/>
              </w:rPr>
              <w:t>Functional suitability rating</w:t>
            </w:r>
          </w:p>
        </w:tc>
        <w:tc>
          <w:tcPr>
            <w:tcW w:w="1906" w:type="dxa"/>
            <w:tcBorders>
              <w:top w:val="single" w:sz="4" w:space="0" w:color="91278F"/>
              <w:left w:val="single" w:sz="4" w:space="0" w:color="91278F"/>
              <w:bottom w:val="single" w:sz="4" w:space="0" w:color="91278F"/>
              <w:right w:val="single" w:sz="4" w:space="0" w:color="91278F"/>
            </w:tcBorders>
            <w:hideMark/>
          </w:tcPr>
          <w:p w14:paraId="356B6D97" w14:textId="72323E7F" w:rsidR="003B07FA" w:rsidRDefault="003B07FA">
            <w:pPr>
              <w:spacing w:before="120" w:after="120"/>
              <w:rPr>
                <w:sz w:val="20"/>
                <w:szCs w:val="20"/>
              </w:rPr>
            </w:pPr>
            <w:r>
              <w:rPr>
                <w:sz w:val="20"/>
                <w:szCs w:val="20"/>
              </w:rPr>
              <w:t xml:space="preserve">A measure of the fitness for purpose of the asset to deliver its function, </w:t>
            </w:r>
            <w:proofErr w:type="spellStart"/>
            <w:r>
              <w:rPr>
                <w:sz w:val="20"/>
                <w:szCs w:val="20"/>
              </w:rPr>
              <w:t>eg</w:t>
            </w:r>
            <w:proofErr w:type="spellEnd"/>
            <w:r>
              <w:rPr>
                <w:sz w:val="20"/>
                <w:szCs w:val="20"/>
              </w:rPr>
              <w:t>. accessibility, layout etc.</w:t>
            </w:r>
          </w:p>
        </w:tc>
        <w:tc>
          <w:tcPr>
            <w:tcW w:w="2551" w:type="dxa"/>
            <w:tcBorders>
              <w:top w:val="single" w:sz="4" w:space="0" w:color="91278F"/>
              <w:left w:val="single" w:sz="4" w:space="0" w:color="91278F"/>
              <w:bottom w:val="single" w:sz="4" w:space="0" w:color="91278F"/>
              <w:right w:val="single" w:sz="4" w:space="0" w:color="91278F"/>
            </w:tcBorders>
            <w:hideMark/>
          </w:tcPr>
          <w:p w14:paraId="755804DB" w14:textId="7C73FD85" w:rsidR="003B07FA" w:rsidRDefault="003B07FA" w:rsidP="00CF5082">
            <w:pPr>
              <w:spacing w:before="120" w:after="120"/>
              <w:rPr>
                <w:sz w:val="20"/>
                <w:szCs w:val="20"/>
              </w:rPr>
            </w:pPr>
            <w:r>
              <w:rPr>
                <w:sz w:val="20"/>
                <w:szCs w:val="20"/>
              </w:rPr>
              <w:t xml:space="preserve">To identify assets which are suited to their purpose </w:t>
            </w:r>
          </w:p>
        </w:tc>
        <w:tc>
          <w:tcPr>
            <w:tcW w:w="5387" w:type="dxa"/>
            <w:tcBorders>
              <w:top w:val="single" w:sz="4" w:space="0" w:color="91278F"/>
              <w:left w:val="single" w:sz="4" w:space="0" w:color="91278F"/>
              <w:bottom w:val="single" w:sz="4" w:space="0" w:color="91278F"/>
              <w:right w:val="single" w:sz="4" w:space="0" w:color="91278F"/>
            </w:tcBorders>
            <w:hideMark/>
          </w:tcPr>
          <w:p w14:paraId="4CBF3EF1" w14:textId="77777777" w:rsidR="003B07FA" w:rsidRDefault="003B07FA">
            <w:pPr>
              <w:widowControl/>
              <w:tabs>
                <w:tab w:val="left" w:pos="-720"/>
              </w:tabs>
              <w:suppressAutoHyphens/>
              <w:spacing w:before="120" w:after="120"/>
              <w:rPr>
                <w:sz w:val="20"/>
                <w:szCs w:val="20"/>
              </w:rPr>
            </w:pPr>
            <w:r>
              <w:rPr>
                <w:sz w:val="20"/>
                <w:szCs w:val="20"/>
              </w:rPr>
              <w:t>functional suitability rating using the scale:</w:t>
            </w:r>
          </w:p>
          <w:p w14:paraId="5FDE8747" w14:textId="77777777" w:rsidR="003B07FA" w:rsidRDefault="003B07FA" w:rsidP="00AF12DC">
            <w:pPr>
              <w:widowControl/>
              <w:numPr>
                <w:ilvl w:val="0"/>
                <w:numId w:val="47"/>
              </w:numPr>
              <w:tabs>
                <w:tab w:val="left" w:pos="-720"/>
              </w:tabs>
              <w:suppressAutoHyphens/>
              <w:spacing w:before="120" w:after="120"/>
              <w:ind w:left="720"/>
              <w:rPr>
                <w:sz w:val="20"/>
                <w:szCs w:val="20"/>
              </w:rPr>
            </w:pPr>
            <w:r>
              <w:rPr>
                <w:sz w:val="20"/>
                <w:szCs w:val="20"/>
              </w:rPr>
              <w:t>good – performing well and operating efficiently (supports the needs of staff and the delivery of services)</w:t>
            </w:r>
          </w:p>
          <w:p w14:paraId="76F8A5ED" w14:textId="77777777" w:rsidR="003B07FA" w:rsidRDefault="003B07FA" w:rsidP="00AF12DC">
            <w:pPr>
              <w:widowControl/>
              <w:numPr>
                <w:ilvl w:val="0"/>
                <w:numId w:val="47"/>
              </w:numPr>
              <w:tabs>
                <w:tab w:val="left" w:pos="-720"/>
              </w:tabs>
              <w:suppressAutoHyphens/>
              <w:spacing w:before="120" w:after="120"/>
              <w:ind w:left="720"/>
              <w:rPr>
                <w:sz w:val="20"/>
                <w:szCs w:val="20"/>
              </w:rPr>
            </w:pPr>
            <w:r>
              <w:rPr>
                <w:sz w:val="20"/>
                <w:szCs w:val="20"/>
              </w:rPr>
              <w:t>satisfactory – performing well but with minor problems (generally supports the needs of staff and the delivery of services)</w:t>
            </w:r>
          </w:p>
          <w:p w14:paraId="3C026DF5" w14:textId="77777777" w:rsidR="003B07FA" w:rsidRDefault="003B07FA" w:rsidP="00AF12DC">
            <w:pPr>
              <w:widowControl/>
              <w:numPr>
                <w:ilvl w:val="0"/>
                <w:numId w:val="47"/>
              </w:numPr>
              <w:tabs>
                <w:tab w:val="left" w:pos="-720"/>
              </w:tabs>
              <w:suppressAutoHyphens/>
              <w:spacing w:before="120" w:after="120"/>
              <w:ind w:left="720"/>
              <w:rPr>
                <w:sz w:val="20"/>
                <w:szCs w:val="20"/>
              </w:rPr>
            </w:pPr>
            <w:r>
              <w:rPr>
                <w:sz w:val="20"/>
                <w:szCs w:val="20"/>
              </w:rPr>
              <w:t xml:space="preserve">poor – showing major problems and/or not operating optimally (impedes the performance off staff and/or </w:t>
            </w:r>
            <w:r>
              <w:rPr>
                <w:sz w:val="20"/>
                <w:szCs w:val="20"/>
              </w:rPr>
              <w:lastRenderedPageBreak/>
              <w:t>the delivery of services)</w:t>
            </w:r>
          </w:p>
          <w:p w14:paraId="44412965" w14:textId="77777777" w:rsidR="003B07FA" w:rsidRDefault="003B07FA" w:rsidP="00AF12DC">
            <w:pPr>
              <w:widowControl/>
              <w:numPr>
                <w:ilvl w:val="0"/>
                <w:numId w:val="47"/>
              </w:numPr>
              <w:tabs>
                <w:tab w:val="left" w:pos="-720"/>
              </w:tabs>
              <w:suppressAutoHyphens/>
              <w:spacing w:before="120" w:after="120"/>
              <w:ind w:left="720"/>
              <w:rPr>
                <w:sz w:val="20"/>
                <w:szCs w:val="20"/>
              </w:rPr>
            </w:pPr>
            <w:r>
              <w:rPr>
                <w:sz w:val="20"/>
                <w:szCs w:val="20"/>
              </w:rPr>
              <w:t>unsuitable – does not support or actually impedes the delivery of services</w:t>
            </w:r>
          </w:p>
        </w:tc>
        <w:tc>
          <w:tcPr>
            <w:tcW w:w="1597" w:type="dxa"/>
            <w:tcBorders>
              <w:top w:val="single" w:sz="4" w:space="0" w:color="91278F"/>
              <w:left w:val="single" w:sz="4" w:space="0" w:color="91278F"/>
              <w:bottom w:val="single" w:sz="4" w:space="0" w:color="91278F"/>
              <w:right w:val="single" w:sz="4" w:space="0" w:color="91278F"/>
            </w:tcBorders>
            <w:hideMark/>
          </w:tcPr>
          <w:p w14:paraId="12DDD5EB" w14:textId="77777777" w:rsidR="003B07FA" w:rsidRDefault="003B07FA">
            <w:pPr>
              <w:spacing w:before="120" w:after="120"/>
              <w:rPr>
                <w:sz w:val="20"/>
                <w:szCs w:val="20"/>
              </w:rPr>
            </w:pPr>
            <w:r>
              <w:rPr>
                <w:sz w:val="20"/>
                <w:szCs w:val="20"/>
              </w:rPr>
              <w:lastRenderedPageBreak/>
              <w:t>Recommended</w:t>
            </w:r>
          </w:p>
        </w:tc>
      </w:tr>
      <w:tr w:rsidR="003B07FA" w14:paraId="0E6DB6AD"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1D61EB9B" w14:textId="5A4EC16C" w:rsidR="003B07FA" w:rsidRDefault="003B07FA" w:rsidP="00593F13">
            <w:pPr>
              <w:spacing w:before="120" w:after="120"/>
              <w:rPr>
                <w:sz w:val="20"/>
                <w:szCs w:val="20"/>
              </w:rPr>
            </w:pPr>
            <w:r>
              <w:rPr>
                <w:sz w:val="20"/>
                <w:szCs w:val="20"/>
              </w:rPr>
              <w:lastRenderedPageBreak/>
              <w:t>27</w:t>
            </w:r>
          </w:p>
        </w:tc>
        <w:tc>
          <w:tcPr>
            <w:tcW w:w="1496" w:type="dxa"/>
            <w:tcBorders>
              <w:top w:val="single" w:sz="4" w:space="0" w:color="91278F"/>
              <w:left w:val="single" w:sz="4" w:space="0" w:color="91278F"/>
              <w:bottom w:val="single" w:sz="4" w:space="0" w:color="91278F"/>
              <w:right w:val="single" w:sz="4" w:space="0" w:color="91278F"/>
            </w:tcBorders>
            <w:hideMark/>
          </w:tcPr>
          <w:p w14:paraId="509853D4" w14:textId="57A19260" w:rsidR="003B07FA" w:rsidRDefault="003B07FA" w:rsidP="00CF5082">
            <w:pPr>
              <w:spacing w:before="120" w:after="120"/>
              <w:rPr>
                <w:sz w:val="20"/>
                <w:szCs w:val="20"/>
              </w:rPr>
            </w:pPr>
            <w:r>
              <w:rPr>
                <w:sz w:val="20"/>
                <w:szCs w:val="20"/>
              </w:rPr>
              <w:t>Energy performance rating</w:t>
            </w:r>
          </w:p>
        </w:tc>
        <w:tc>
          <w:tcPr>
            <w:tcW w:w="1906" w:type="dxa"/>
            <w:tcBorders>
              <w:top w:val="single" w:sz="4" w:space="0" w:color="91278F"/>
              <w:left w:val="single" w:sz="4" w:space="0" w:color="91278F"/>
              <w:bottom w:val="single" w:sz="4" w:space="0" w:color="91278F"/>
              <w:right w:val="single" w:sz="4" w:space="0" w:color="91278F"/>
            </w:tcBorders>
            <w:hideMark/>
          </w:tcPr>
          <w:p w14:paraId="7ED4C088" w14:textId="47BA3F63" w:rsidR="003B07FA" w:rsidRDefault="003B07FA" w:rsidP="00CF5082">
            <w:pPr>
              <w:spacing w:before="120" w:after="120"/>
              <w:rPr>
                <w:sz w:val="20"/>
                <w:szCs w:val="20"/>
              </w:rPr>
            </w:pPr>
            <w:r>
              <w:rPr>
                <w:sz w:val="20"/>
                <w:szCs w:val="20"/>
              </w:rPr>
              <w:t>Energy performance rating</w:t>
            </w:r>
          </w:p>
        </w:tc>
        <w:tc>
          <w:tcPr>
            <w:tcW w:w="2551" w:type="dxa"/>
            <w:tcBorders>
              <w:top w:val="single" w:sz="4" w:space="0" w:color="91278F"/>
              <w:left w:val="single" w:sz="4" w:space="0" w:color="91278F"/>
              <w:bottom w:val="single" w:sz="4" w:space="0" w:color="91278F"/>
              <w:right w:val="single" w:sz="4" w:space="0" w:color="91278F"/>
            </w:tcBorders>
            <w:hideMark/>
          </w:tcPr>
          <w:p w14:paraId="42EB1D6A" w14:textId="77777777" w:rsidR="003B07FA" w:rsidRDefault="003B07FA">
            <w:pPr>
              <w:spacing w:before="120" w:after="120"/>
              <w:rPr>
                <w:sz w:val="20"/>
                <w:szCs w:val="20"/>
              </w:rPr>
            </w:pPr>
            <w:r>
              <w:rPr>
                <w:sz w:val="20"/>
                <w:szCs w:val="20"/>
              </w:rPr>
              <w:t>To enable you to improve the energy footprint of your estate</w:t>
            </w:r>
          </w:p>
        </w:tc>
        <w:tc>
          <w:tcPr>
            <w:tcW w:w="5387" w:type="dxa"/>
            <w:tcBorders>
              <w:top w:val="single" w:sz="4" w:space="0" w:color="91278F"/>
              <w:left w:val="single" w:sz="4" w:space="0" w:color="91278F"/>
              <w:bottom w:val="single" w:sz="4" w:space="0" w:color="91278F"/>
              <w:right w:val="single" w:sz="4" w:space="0" w:color="91278F"/>
            </w:tcBorders>
            <w:hideMark/>
          </w:tcPr>
          <w:p w14:paraId="279EAD46" w14:textId="3DADDA08" w:rsidR="003B07FA" w:rsidRDefault="003B07FA" w:rsidP="005557ED">
            <w:pPr>
              <w:spacing w:before="120" w:after="120"/>
              <w:rPr>
                <w:sz w:val="20"/>
                <w:szCs w:val="20"/>
              </w:rPr>
            </w:pPr>
            <w:r>
              <w:rPr>
                <w:sz w:val="20"/>
                <w:szCs w:val="20"/>
              </w:rPr>
              <w:t>Select A+/A/B/C/D/E/F/G based on the Display Energy Certificate under the Energy Performance of Buildings (Certificates and Inspections) (England and Wales) Regulations 2007.</w:t>
            </w:r>
          </w:p>
          <w:p w14:paraId="7841D259" w14:textId="55DD58A6" w:rsidR="003B07FA" w:rsidRDefault="003B07FA">
            <w:pPr>
              <w:spacing w:before="120" w:after="120"/>
              <w:rPr>
                <w:sz w:val="20"/>
                <w:szCs w:val="20"/>
              </w:rPr>
            </w:pPr>
          </w:p>
        </w:tc>
        <w:tc>
          <w:tcPr>
            <w:tcW w:w="1597" w:type="dxa"/>
            <w:tcBorders>
              <w:top w:val="single" w:sz="4" w:space="0" w:color="91278F"/>
              <w:left w:val="single" w:sz="4" w:space="0" w:color="91278F"/>
              <w:bottom w:val="single" w:sz="4" w:space="0" w:color="91278F"/>
              <w:right w:val="single" w:sz="4" w:space="0" w:color="91278F"/>
            </w:tcBorders>
            <w:hideMark/>
          </w:tcPr>
          <w:p w14:paraId="102FA230" w14:textId="77777777" w:rsidR="003B07FA" w:rsidRDefault="003B07FA">
            <w:pPr>
              <w:spacing w:before="120" w:after="120"/>
              <w:rPr>
                <w:sz w:val="20"/>
                <w:szCs w:val="20"/>
              </w:rPr>
            </w:pPr>
            <w:r>
              <w:rPr>
                <w:sz w:val="20"/>
                <w:szCs w:val="20"/>
              </w:rPr>
              <w:t>Recommended</w:t>
            </w:r>
          </w:p>
        </w:tc>
      </w:tr>
      <w:tr w:rsidR="003B07FA" w14:paraId="151EBF10"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2205B6E8" w14:textId="4E9AE034" w:rsidR="003B07FA" w:rsidRDefault="003B07FA" w:rsidP="00593F13">
            <w:pPr>
              <w:spacing w:before="120" w:after="120"/>
              <w:rPr>
                <w:sz w:val="20"/>
                <w:szCs w:val="20"/>
              </w:rPr>
            </w:pPr>
            <w:r>
              <w:rPr>
                <w:sz w:val="20"/>
                <w:szCs w:val="20"/>
              </w:rPr>
              <w:t>28</w:t>
            </w:r>
          </w:p>
        </w:tc>
        <w:tc>
          <w:tcPr>
            <w:tcW w:w="1496" w:type="dxa"/>
            <w:tcBorders>
              <w:top w:val="single" w:sz="4" w:space="0" w:color="91278F"/>
              <w:left w:val="single" w:sz="4" w:space="0" w:color="91278F"/>
              <w:bottom w:val="single" w:sz="4" w:space="0" w:color="91278F"/>
              <w:right w:val="single" w:sz="4" w:space="0" w:color="91278F"/>
            </w:tcBorders>
            <w:hideMark/>
          </w:tcPr>
          <w:p w14:paraId="5046B4A0" w14:textId="77777777" w:rsidR="003B07FA" w:rsidRDefault="003B07FA">
            <w:pPr>
              <w:spacing w:before="120" w:after="120"/>
              <w:rPr>
                <w:sz w:val="20"/>
                <w:szCs w:val="20"/>
              </w:rPr>
            </w:pPr>
            <w:r>
              <w:rPr>
                <w:sz w:val="20"/>
                <w:szCs w:val="20"/>
              </w:rPr>
              <w:t>Land registry title number</w:t>
            </w:r>
          </w:p>
        </w:tc>
        <w:tc>
          <w:tcPr>
            <w:tcW w:w="1906" w:type="dxa"/>
            <w:tcBorders>
              <w:top w:val="single" w:sz="4" w:space="0" w:color="91278F"/>
              <w:left w:val="single" w:sz="4" w:space="0" w:color="91278F"/>
              <w:bottom w:val="single" w:sz="4" w:space="0" w:color="91278F"/>
              <w:right w:val="single" w:sz="4" w:space="0" w:color="91278F"/>
            </w:tcBorders>
            <w:hideMark/>
          </w:tcPr>
          <w:p w14:paraId="438C4FDE" w14:textId="77777777" w:rsidR="003B07FA" w:rsidRDefault="003B07FA">
            <w:pPr>
              <w:spacing w:before="120" w:after="120"/>
              <w:rPr>
                <w:sz w:val="20"/>
                <w:szCs w:val="20"/>
              </w:rPr>
            </w:pPr>
            <w:r>
              <w:rPr>
                <w:sz w:val="20"/>
                <w:szCs w:val="20"/>
              </w:rPr>
              <w:t>Land registry title number</w:t>
            </w:r>
          </w:p>
        </w:tc>
        <w:tc>
          <w:tcPr>
            <w:tcW w:w="2551" w:type="dxa"/>
            <w:tcBorders>
              <w:top w:val="single" w:sz="4" w:space="0" w:color="91278F"/>
              <w:left w:val="single" w:sz="4" w:space="0" w:color="91278F"/>
              <w:bottom w:val="single" w:sz="4" w:space="0" w:color="91278F"/>
              <w:right w:val="single" w:sz="4" w:space="0" w:color="91278F"/>
            </w:tcBorders>
            <w:hideMark/>
          </w:tcPr>
          <w:p w14:paraId="78E0C725" w14:textId="77777777" w:rsidR="003B07FA" w:rsidRDefault="003B07FA">
            <w:pPr>
              <w:spacing w:before="120" w:after="120"/>
              <w:rPr>
                <w:sz w:val="20"/>
                <w:szCs w:val="20"/>
              </w:rPr>
            </w:pPr>
            <w:r>
              <w:rPr>
                <w:sz w:val="20"/>
                <w:szCs w:val="20"/>
              </w:rPr>
              <w:t>To enable linking to further ownership information</w:t>
            </w:r>
          </w:p>
        </w:tc>
        <w:tc>
          <w:tcPr>
            <w:tcW w:w="5387" w:type="dxa"/>
            <w:tcBorders>
              <w:top w:val="single" w:sz="4" w:space="0" w:color="91278F"/>
              <w:left w:val="single" w:sz="4" w:space="0" w:color="91278F"/>
              <w:bottom w:val="single" w:sz="4" w:space="0" w:color="91278F"/>
              <w:right w:val="single" w:sz="4" w:space="0" w:color="91278F"/>
            </w:tcBorders>
            <w:hideMark/>
          </w:tcPr>
          <w:p w14:paraId="6244CBED" w14:textId="77777777" w:rsidR="003B07FA" w:rsidRDefault="003B07FA">
            <w:pPr>
              <w:spacing w:before="120" w:after="120"/>
              <w:rPr>
                <w:sz w:val="20"/>
                <w:szCs w:val="20"/>
              </w:rPr>
            </w:pPr>
            <w:r>
              <w:rPr>
                <w:sz w:val="20"/>
                <w:szCs w:val="20"/>
              </w:rPr>
              <w:t>The land registry title ref can only be provided if the land is registered.</w:t>
            </w:r>
          </w:p>
        </w:tc>
        <w:tc>
          <w:tcPr>
            <w:tcW w:w="1597" w:type="dxa"/>
            <w:tcBorders>
              <w:top w:val="single" w:sz="4" w:space="0" w:color="91278F"/>
              <w:left w:val="single" w:sz="4" w:space="0" w:color="91278F"/>
              <w:bottom w:val="single" w:sz="4" w:space="0" w:color="91278F"/>
              <w:right w:val="single" w:sz="4" w:space="0" w:color="91278F"/>
            </w:tcBorders>
            <w:hideMark/>
          </w:tcPr>
          <w:p w14:paraId="04503C1C" w14:textId="77777777" w:rsidR="003B07FA" w:rsidRDefault="003B07FA">
            <w:pPr>
              <w:spacing w:before="120" w:after="120"/>
              <w:rPr>
                <w:sz w:val="20"/>
                <w:szCs w:val="20"/>
              </w:rPr>
            </w:pPr>
            <w:r>
              <w:rPr>
                <w:sz w:val="20"/>
                <w:szCs w:val="20"/>
              </w:rPr>
              <w:t>Optional</w:t>
            </w:r>
          </w:p>
        </w:tc>
      </w:tr>
      <w:tr w:rsidR="003B07FA" w14:paraId="768EF346" w14:textId="77777777" w:rsidTr="00AF12DC">
        <w:trPr>
          <w:tblCellSpacing w:w="0" w:type="dxa"/>
        </w:trPr>
        <w:tc>
          <w:tcPr>
            <w:tcW w:w="861" w:type="dxa"/>
            <w:tcBorders>
              <w:top w:val="single" w:sz="4" w:space="0" w:color="91278F"/>
              <w:left w:val="single" w:sz="4" w:space="0" w:color="91278F"/>
              <w:bottom w:val="single" w:sz="4" w:space="0" w:color="91278F"/>
              <w:right w:val="single" w:sz="4" w:space="0" w:color="91278F"/>
            </w:tcBorders>
            <w:hideMark/>
          </w:tcPr>
          <w:p w14:paraId="579487D3" w14:textId="32DA5602" w:rsidR="003B07FA" w:rsidRDefault="003B07FA" w:rsidP="00593F13">
            <w:pPr>
              <w:spacing w:before="120" w:after="120"/>
              <w:rPr>
                <w:sz w:val="20"/>
                <w:szCs w:val="20"/>
              </w:rPr>
            </w:pPr>
            <w:r>
              <w:rPr>
                <w:sz w:val="20"/>
                <w:szCs w:val="20"/>
              </w:rPr>
              <w:t>29</w:t>
            </w:r>
          </w:p>
        </w:tc>
        <w:tc>
          <w:tcPr>
            <w:tcW w:w="1496" w:type="dxa"/>
            <w:tcBorders>
              <w:top w:val="single" w:sz="4" w:space="0" w:color="91278F"/>
              <w:left w:val="single" w:sz="4" w:space="0" w:color="91278F"/>
              <w:bottom w:val="single" w:sz="4" w:space="0" w:color="91278F"/>
              <w:right w:val="single" w:sz="4" w:space="0" w:color="91278F"/>
            </w:tcBorders>
            <w:hideMark/>
          </w:tcPr>
          <w:p w14:paraId="782BA0A3" w14:textId="77777777" w:rsidR="003B07FA" w:rsidRDefault="003B07FA">
            <w:pPr>
              <w:spacing w:before="120" w:after="120"/>
              <w:rPr>
                <w:sz w:val="20"/>
                <w:szCs w:val="20"/>
              </w:rPr>
            </w:pPr>
            <w:r>
              <w:rPr>
                <w:sz w:val="20"/>
                <w:szCs w:val="20"/>
              </w:rPr>
              <w:t>INSPIRE URL</w:t>
            </w:r>
          </w:p>
        </w:tc>
        <w:tc>
          <w:tcPr>
            <w:tcW w:w="1906" w:type="dxa"/>
            <w:tcBorders>
              <w:top w:val="single" w:sz="4" w:space="0" w:color="91278F"/>
              <w:left w:val="single" w:sz="4" w:space="0" w:color="91278F"/>
              <w:bottom w:val="single" w:sz="4" w:space="0" w:color="91278F"/>
              <w:right w:val="single" w:sz="4" w:space="0" w:color="91278F"/>
            </w:tcBorders>
            <w:hideMark/>
          </w:tcPr>
          <w:p w14:paraId="3CBE7823" w14:textId="77777777" w:rsidR="003B07FA" w:rsidRDefault="003B07FA">
            <w:pPr>
              <w:spacing w:before="120" w:after="120"/>
              <w:rPr>
                <w:sz w:val="20"/>
                <w:szCs w:val="20"/>
              </w:rPr>
            </w:pPr>
            <w:r>
              <w:rPr>
                <w:sz w:val="20"/>
                <w:szCs w:val="20"/>
              </w:rPr>
              <w:t>Provide URL for INSPIRE view service of the data</w:t>
            </w:r>
          </w:p>
        </w:tc>
        <w:tc>
          <w:tcPr>
            <w:tcW w:w="2551" w:type="dxa"/>
            <w:tcBorders>
              <w:top w:val="single" w:sz="4" w:space="0" w:color="91278F"/>
              <w:left w:val="single" w:sz="4" w:space="0" w:color="91278F"/>
              <w:bottom w:val="single" w:sz="4" w:space="0" w:color="91278F"/>
              <w:right w:val="single" w:sz="4" w:space="0" w:color="91278F"/>
            </w:tcBorders>
            <w:hideMark/>
          </w:tcPr>
          <w:p w14:paraId="7213B858" w14:textId="77777777" w:rsidR="003B07FA" w:rsidRDefault="003B07FA">
            <w:pPr>
              <w:spacing w:before="120" w:after="120"/>
              <w:rPr>
                <w:sz w:val="20"/>
                <w:szCs w:val="20"/>
              </w:rPr>
            </w:pPr>
            <w:r>
              <w:rPr>
                <w:sz w:val="20"/>
                <w:szCs w:val="20"/>
              </w:rPr>
              <w:t>Visualises the data on a map</w:t>
            </w:r>
          </w:p>
        </w:tc>
        <w:tc>
          <w:tcPr>
            <w:tcW w:w="5387" w:type="dxa"/>
            <w:tcBorders>
              <w:top w:val="single" w:sz="4" w:space="0" w:color="91278F"/>
              <w:left w:val="single" w:sz="4" w:space="0" w:color="91278F"/>
              <w:bottom w:val="single" w:sz="4" w:space="0" w:color="91278F"/>
              <w:right w:val="single" w:sz="4" w:space="0" w:color="91278F"/>
            </w:tcBorders>
            <w:hideMark/>
          </w:tcPr>
          <w:p w14:paraId="7993FBCE" w14:textId="77777777" w:rsidR="003B07FA" w:rsidRDefault="003B07FA">
            <w:pPr>
              <w:spacing w:before="120" w:after="120"/>
              <w:rPr>
                <w:sz w:val="20"/>
                <w:szCs w:val="20"/>
              </w:rPr>
            </w:pPr>
            <w:r>
              <w:rPr>
                <w:sz w:val="20"/>
                <w:szCs w:val="20"/>
              </w:rPr>
              <w:t>Publishing the land asset information through view services is a requirement of the INSPIRE regulation. Provide a URL to the service as published on data.gov.uk</w:t>
            </w:r>
          </w:p>
        </w:tc>
        <w:tc>
          <w:tcPr>
            <w:tcW w:w="1597" w:type="dxa"/>
            <w:tcBorders>
              <w:top w:val="single" w:sz="4" w:space="0" w:color="91278F"/>
              <w:left w:val="single" w:sz="4" w:space="0" w:color="91278F"/>
              <w:bottom w:val="single" w:sz="4" w:space="0" w:color="91278F"/>
              <w:right w:val="single" w:sz="4" w:space="0" w:color="91278F"/>
            </w:tcBorders>
            <w:hideMark/>
          </w:tcPr>
          <w:p w14:paraId="3D300725" w14:textId="77777777" w:rsidR="003B07FA" w:rsidRDefault="003B07FA">
            <w:pPr>
              <w:spacing w:before="120" w:after="120"/>
              <w:rPr>
                <w:sz w:val="20"/>
                <w:szCs w:val="20"/>
              </w:rPr>
            </w:pPr>
            <w:r>
              <w:rPr>
                <w:sz w:val="20"/>
                <w:szCs w:val="20"/>
              </w:rPr>
              <w:t>Optional</w:t>
            </w:r>
          </w:p>
        </w:tc>
      </w:tr>
      <w:bookmarkEnd w:id="25"/>
    </w:tbl>
    <w:p w14:paraId="0A3F8553" w14:textId="77777777" w:rsidR="00113E54" w:rsidRDefault="00113E54">
      <w:pPr>
        <w:widowControl/>
        <w:spacing w:before="0" w:after="0"/>
        <w:rPr>
          <w:sz w:val="24"/>
          <w:szCs w:val="24"/>
        </w:rPr>
      </w:pPr>
    </w:p>
    <w:p w14:paraId="41EA6DCF" w14:textId="598381ED" w:rsidR="00113E54" w:rsidRDefault="00113E54">
      <w:pPr>
        <w:widowControl/>
        <w:spacing w:before="0" w:after="0"/>
        <w:rPr>
          <w:sz w:val="24"/>
          <w:szCs w:val="24"/>
        </w:rPr>
      </w:pPr>
      <w:r>
        <w:rPr>
          <w:sz w:val="24"/>
          <w:szCs w:val="24"/>
        </w:rPr>
        <w:br w:type="page"/>
      </w:r>
    </w:p>
    <w:p w14:paraId="251C583C" w14:textId="233D91BF" w:rsidR="00113E54" w:rsidRDefault="00113E54" w:rsidP="00117654">
      <w:pPr>
        <w:pStyle w:val="Heading2"/>
      </w:pPr>
      <w:bookmarkStart w:id="26" w:name="_Toc421280179"/>
      <w:r>
        <w:lastRenderedPageBreak/>
        <w:t>Social Housing Asset Value</w:t>
      </w:r>
      <w:r w:rsidR="002F0FF2">
        <w:t xml:space="preserve"> Template</w:t>
      </w:r>
      <w:bookmarkEnd w:id="26"/>
    </w:p>
    <w:tbl>
      <w:tblPr>
        <w:tblStyle w:val="TableGrid"/>
        <w:tblW w:w="0" w:type="auto"/>
        <w:tblLook w:val="04A0" w:firstRow="1" w:lastRow="0" w:firstColumn="1" w:lastColumn="0" w:noHBand="0" w:noVBand="1"/>
      </w:tblPr>
      <w:tblGrid>
        <w:gridCol w:w="1403"/>
        <w:gridCol w:w="1566"/>
        <w:gridCol w:w="1586"/>
        <w:gridCol w:w="1371"/>
        <w:gridCol w:w="1304"/>
        <w:gridCol w:w="1357"/>
        <w:gridCol w:w="1305"/>
        <w:gridCol w:w="1358"/>
        <w:gridCol w:w="1372"/>
        <w:gridCol w:w="1372"/>
      </w:tblGrid>
      <w:tr w:rsidR="00113E54" w14:paraId="18B29B67" w14:textId="77777777" w:rsidTr="00114674">
        <w:tc>
          <w:tcPr>
            <w:tcW w:w="1101" w:type="dxa"/>
          </w:tcPr>
          <w:p w14:paraId="16DF05D2" w14:textId="54EA5297" w:rsidR="00113E54" w:rsidRDefault="00852EB8" w:rsidP="00114674">
            <w:pPr>
              <w:pStyle w:val="Default"/>
              <w:rPr>
                <w:sz w:val="22"/>
                <w:szCs w:val="22"/>
              </w:rPr>
            </w:pPr>
            <w:r>
              <w:rPr>
                <w:sz w:val="22"/>
                <w:szCs w:val="22"/>
              </w:rPr>
              <w:t xml:space="preserve">The </w:t>
            </w:r>
            <w:r>
              <w:t>following</w:t>
            </w:r>
            <w:r>
              <w:rPr>
                <w:sz w:val="22"/>
                <w:szCs w:val="22"/>
              </w:rPr>
              <w:t xml:space="preserve"> template displays the fields that must, should or could be used (as appropriate) when publishing</w:t>
            </w:r>
            <w:r>
              <w:t xml:space="preserve"> social housing asset value. If the number of occupied dwellings per intervening band is </w:t>
            </w:r>
            <w:r>
              <w:lastRenderedPageBreak/>
              <w:t>below 10, the values should be combined with the next lower band.</w:t>
            </w:r>
            <w:r w:rsidRPr="008E2538" w:rsidDel="00852EB8">
              <w:rPr>
                <w:b/>
              </w:rPr>
              <w:t xml:space="preserve"> </w:t>
            </w:r>
            <w:r w:rsidR="00113E54">
              <w:rPr>
                <w:b/>
                <w:bCs/>
                <w:sz w:val="22"/>
                <w:szCs w:val="22"/>
              </w:rPr>
              <w:t xml:space="preserve">Postal Sector </w:t>
            </w:r>
          </w:p>
        </w:tc>
        <w:tc>
          <w:tcPr>
            <w:tcW w:w="1587" w:type="dxa"/>
          </w:tcPr>
          <w:p w14:paraId="04EF03D0" w14:textId="77777777" w:rsidR="00113E54" w:rsidRDefault="00113E54" w:rsidP="00114674">
            <w:pPr>
              <w:pStyle w:val="Default"/>
              <w:rPr>
                <w:sz w:val="22"/>
                <w:szCs w:val="22"/>
              </w:rPr>
            </w:pPr>
            <w:r>
              <w:rPr>
                <w:b/>
                <w:bCs/>
                <w:sz w:val="22"/>
                <w:szCs w:val="22"/>
              </w:rPr>
              <w:lastRenderedPageBreak/>
              <w:t xml:space="preserve">Valuation Band Range </w:t>
            </w:r>
          </w:p>
        </w:tc>
        <w:tc>
          <w:tcPr>
            <w:tcW w:w="1611" w:type="dxa"/>
          </w:tcPr>
          <w:p w14:paraId="6071F0B7" w14:textId="77777777" w:rsidR="00113E54" w:rsidRDefault="00113E54" w:rsidP="00114674">
            <w:pPr>
              <w:pStyle w:val="Default"/>
              <w:rPr>
                <w:sz w:val="22"/>
                <w:szCs w:val="22"/>
              </w:rPr>
            </w:pPr>
            <w:r>
              <w:rPr>
                <w:b/>
                <w:bCs/>
                <w:sz w:val="22"/>
                <w:szCs w:val="22"/>
              </w:rPr>
              <w:t xml:space="preserve">Intervening bands </w:t>
            </w:r>
          </w:p>
        </w:tc>
        <w:tc>
          <w:tcPr>
            <w:tcW w:w="7047" w:type="dxa"/>
            <w:gridSpan w:val="5"/>
          </w:tcPr>
          <w:p w14:paraId="0E2C987D" w14:textId="77777777" w:rsidR="00113E54" w:rsidRDefault="00113E54" w:rsidP="00114674">
            <w:pPr>
              <w:pStyle w:val="Default"/>
              <w:rPr>
                <w:sz w:val="22"/>
                <w:szCs w:val="22"/>
              </w:rPr>
            </w:pPr>
            <w:r>
              <w:rPr>
                <w:b/>
                <w:bCs/>
                <w:sz w:val="22"/>
                <w:szCs w:val="22"/>
              </w:rPr>
              <w:t xml:space="preserve">Dwellings value </w:t>
            </w:r>
          </w:p>
        </w:tc>
        <w:tc>
          <w:tcPr>
            <w:tcW w:w="2828" w:type="dxa"/>
            <w:gridSpan w:val="2"/>
          </w:tcPr>
          <w:p w14:paraId="5FE2BE7D" w14:textId="77777777" w:rsidR="00113E54" w:rsidRDefault="00113E54" w:rsidP="00114674">
            <w:pPr>
              <w:pStyle w:val="Default"/>
              <w:rPr>
                <w:sz w:val="22"/>
                <w:szCs w:val="22"/>
              </w:rPr>
            </w:pPr>
            <w:r>
              <w:rPr>
                <w:b/>
                <w:bCs/>
                <w:sz w:val="22"/>
                <w:szCs w:val="22"/>
              </w:rPr>
              <w:t xml:space="preserve">Tenure status </w:t>
            </w:r>
          </w:p>
        </w:tc>
      </w:tr>
      <w:tr w:rsidR="00113E54" w14:paraId="439E9020" w14:textId="77777777" w:rsidTr="00114674">
        <w:tc>
          <w:tcPr>
            <w:tcW w:w="1101" w:type="dxa"/>
          </w:tcPr>
          <w:p w14:paraId="170077AA" w14:textId="77777777" w:rsidR="00113E54" w:rsidRDefault="00113E54" w:rsidP="00114674"/>
        </w:tc>
        <w:tc>
          <w:tcPr>
            <w:tcW w:w="1587" w:type="dxa"/>
          </w:tcPr>
          <w:p w14:paraId="07FB85E9" w14:textId="77777777" w:rsidR="00113E54" w:rsidRDefault="00113E54" w:rsidP="00114674"/>
        </w:tc>
        <w:tc>
          <w:tcPr>
            <w:tcW w:w="1611" w:type="dxa"/>
          </w:tcPr>
          <w:p w14:paraId="574CE441" w14:textId="77777777" w:rsidR="00113E54" w:rsidRDefault="00113E54" w:rsidP="00114674"/>
        </w:tc>
        <w:tc>
          <w:tcPr>
            <w:tcW w:w="1413" w:type="dxa"/>
          </w:tcPr>
          <w:p w14:paraId="3BDD7CB0" w14:textId="77777777" w:rsidR="00113E54" w:rsidRDefault="00113E54" w:rsidP="00114674">
            <w:pPr>
              <w:pStyle w:val="Default"/>
              <w:rPr>
                <w:sz w:val="22"/>
                <w:szCs w:val="22"/>
              </w:rPr>
            </w:pPr>
            <w:r>
              <w:rPr>
                <w:sz w:val="22"/>
                <w:szCs w:val="22"/>
              </w:rPr>
              <w:t xml:space="preserve">Total number social housing dwellings </w:t>
            </w:r>
          </w:p>
        </w:tc>
        <w:tc>
          <w:tcPr>
            <w:tcW w:w="2816" w:type="dxa"/>
            <w:gridSpan w:val="2"/>
          </w:tcPr>
          <w:p w14:paraId="3B053511" w14:textId="77777777" w:rsidR="00113E54" w:rsidRDefault="00113E54" w:rsidP="00114674">
            <w:pPr>
              <w:pStyle w:val="Default"/>
              <w:rPr>
                <w:sz w:val="22"/>
                <w:szCs w:val="22"/>
              </w:rPr>
            </w:pPr>
            <w:r>
              <w:rPr>
                <w:b/>
                <w:bCs/>
                <w:sz w:val="22"/>
                <w:szCs w:val="22"/>
              </w:rPr>
              <w:t xml:space="preserve">EUV-SH </w:t>
            </w:r>
          </w:p>
          <w:p w14:paraId="51D1B1CE" w14:textId="77777777" w:rsidR="00113E54" w:rsidRDefault="00113E54" w:rsidP="00114674">
            <w:pPr>
              <w:pStyle w:val="Default"/>
              <w:rPr>
                <w:sz w:val="22"/>
                <w:szCs w:val="22"/>
              </w:rPr>
            </w:pPr>
            <w:r>
              <w:rPr>
                <w:b/>
                <w:bCs/>
                <w:sz w:val="22"/>
                <w:szCs w:val="22"/>
              </w:rPr>
              <w:t xml:space="preserve">Values </w:t>
            </w:r>
          </w:p>
        </w:tc>
        <w:tc>
          <w:tcPr>
            <w:tcW w:w="2818" w:type="dxa"/>
            <w:gridSpan w:val="2"/>
          </w:tcPr>
          <w:p w14:paraId="749F0380" w14:textId="77777777" w:rsidR="00113E54" w:rsidRDefault="00113E54" w:rsidP="00114674">
            <w:pPr>
              <w:pStyle w:val="Default"/>
              <w:rPr>
                <w:sz w:val="22"/>
                <w:szCs w:val="22"/>
              </w:rPr>
            </w:pPr>
            <w:r>
              <w:rPr>
                <w:b/>
                <w:bCs/>
                <w:sz w:val="22"/>
                <w:szCs w:val="22"/>
              </w:rPr>
              <w:t xml:space="preserve">Market </w:t>
            </w:r>
          </w:p>
          <w:p w14:paraId="13563346" w14:textId="77777777" w:rsidR="00113E54" w:rsidRDefault="00113E54" w:rsidP="00114674">
            <w:pPr>
              <w:pStyle w:val="Default"/>
              <w:rPr>
                <w:sz w:val="22"/>
                <w:szCs w:val="22"/>
              </w:rPr>
            </w:pPr>
            <w:r>
              <w:rPr>
                <w:b/>
                <w:bCs/>
                <w:sz w:val="22"/>
                <w:szCs w:val="22"/>
              </w:rPr>
              <w:t xml:space="preserve">Values </w:t>
            </w:r>
          </w:p>
        </w:tc>
        <w:tc>
          <w:tcPr>
            <w:tcW w:w="1414" w:type="dxa"/>
          </w:tcPr>
          <w:p w14:paraId="6CF9BBF3" w14:textId="77777777" w:rsidR="00113E54" w:rsidRDefault="00113E54" w:rsidP="00114674">
            <w:pPr>
              <w:pStyle w:val="Default"/>
              <w:rPr>
                <w:sz w:val="22"/>
                <w:szCs w:val="22"/>
              </w:rPr>
            </w:pPr>
            <w:r>
              <w:rPr>
                <w:sz w:val="22"/>
                <w:szCs w:val="22"/>
              </w:rPr>
              <w:t xml:space="preserve">% occupied dwellings </w:t>
            </w:r>
          </w:p>
        </w:tc>
        <w:tc>
          <w:tcPr>
            <w:tcW w:w="1414" w:type="dxa"/>
          </w:tcPr>
          <w:p w14:paraId="43AC49F8" w14:textId="77777777" w:rsidR="00113E54" w:rsidRDefault="00113E54" w:rsidP="00114674">
            <w:pPr>
              <w:pStyle w:val="Default"/>
              <w:rPr>
                <w:sz w:val="22"/>
                <w:szCs w:val="22"/>
              </w:rPr>
            </w:pPr>
            <w:r>
              <w:rPr>
                <w:sz w:val="22"/>
                <w:szCs w:val="22"/>
              </w:rPr>
              <w:t xml:space="preserve">% vacant dwellings </w:t>
            </w:r>
          </w:p>
        </w:tc>
      </w:tr>
      <w:tr w:rsidR="00113E54" w14:paraId="6443E959" w14:textId="77777777" w:rsidTr="00114674">
        <w:tc>
          <w:tcPr>
            <w:tcW w:w="1101" w:type="dxa"/>
          </w:tcPr>
          <w:p w14:paraId="350BFE15" w14:textId="77777777" w:rsidR="00113E54" w:rsidRDefault="00113E54" w:rsidP="00114674"/>
        </w:tc>
        <w:tc>
          <w:tcPr>
            <w:tcW w:w="1587" w:type="dxa"/>
          </w:tcPr>
          <w:p w14:paraId="281F3908" w14:textId="77777777" w:rsidR="00113E54" w:rsidRDefault="00113E54" w:rsidP="00114674"/>
        </w:tc>
        <w:tc>
          <w:tcPr>
            <w:tcW w:w="1611" w:type="dxa"/>
          </w:tcPr>
          <w:p w14:paraId="50DBB3BC" w14:textId="77777777" w:rsidR="00113E54" w:rsidRDefault="00113E54" w:rsidP="00114674"/>
        </w:tc>
        <w:tc>
          <w:tcPr>
            <w:tcW w:w="1413" w:type="dxa"/>
          </w:tcPr>
          <w:p w14:paraId="178B063F" w14:textId="77777777" w:rsidR="00113E54" w:rsidRDefault="00113E54" w:rsidP="00114674"/>
        </w:tc>
        <w:tc>
          <w:tcPr>
            <w:tcW w:w="1405" w:type="dxa"/>
          </w:tcPr>
          <w:p w14:paraId="4B7B5549" w14:textId="77777777" w:rsidR="00113E54" w:rsidRDefault="00113E54" w:rsidP="00114674">
            <w:pPr>
              <w:pStyle w:val="Default"/>
              <w:rPr>
                <w:sz w:val="22"/>
                <w:szCs w:val="22"/>
              </w:rPr>
            </w:pPr>
            <w:r>
              <w:rPr>
                <w:sz w:val="22"/>
                <w:szCs w:val="22"/>
              </w:rPr>
              <w:t xml:space="preserve">Total </w:t>
            </w:r>
          </w:p>
        </w:tc>
        <w:tc>
          <w:tcPr>
            <w:tcW w:w="1411" w:type="dxa"/>
          </w:tcPr>
          <w:p w14:paraId="5583A66A" w14:textId="77777777" w:rsidR="00113E54" w:rsidRDefault="00113E54" w:rsidP="00114674">
            <w:pPr>
              <w:pStyle w:val="Default"/>
              <w:rPr>
                <w:sz w:val="22"/>
                <w:szCs w:val="22"/>
              </w:rPr>
            </w:pPr>
            <w:r>
              <w:rPr>
                <w:sz w:val="22"/>
                <w:szCs w:val="22"/>
              </w:rPr>
              <w:t xml:space="preserve">Average </w:t>
            </w:r>
          </w:p>
        </w:tc>
        <w:tc>
          <w:tcPr>
            <w:tcW w:w="1406" w:type="dxa"/>
          </w:tcPr>
          <w:p w14:paraId="369402A1" w14:textId="77777777" w:rsidR="00113E54" w:rsidRDefault="00113E54" w:rsidP="00114674">
            <w:pPr>
              <w:pStyle w:val="Default"/>
              <w:rPr>
                <w:sz w:val="22"/>
                <w:szCs w:val="22"/>
              </w:rPr>
            </w:pPr>
            <w:r>
              <w:rPr>
                <w:sz w:val="22"/>
                <w:szCs w:val="22"/>
              </w:rPr>
              <w:t xml:space="preserve">Total </w:t>
            </w:r>
          </w:p>
        </w:tc>
        <w:tc>
          <w:tcPr>
            <w:tcW w:w="1412" w:type="dxa"/>
          </w:tcPr>
          <w:p w14:paraId="6735B753" w14:textId="77777777" w:rsidR="00113E54" w:rsidRDefault="00113E54" w:rsidP="00114674">
            <w:pPr>
              <w:pStyle w:val="Default"/>
              <w:rPr>
                <w:sz w:val="22"/>
                <w:szCs w:val="22"/>
              </w:rPr>
            </w:pPr>
            <w:r>
              <w:rPr>
                <w:sz w:val="22"/>
                <w:szCs w:val="22"/>
              </w:rPr>
              <w:t xml:space="preserve">Average </w:t>
            </w:r>
          </w:p>
        </w:tc>
        <w:tc>
          <w:tcPr>
            <w:tcW w:w="1414" w:type="dxa"/>
          </w:tcPr>
          <w:p w14:paraId="12C6C704" w14:textId="77777777" w:rsidR="00113E54" w:rsidRDefault="00113E54" w:rsidP="00114674"/>
        </w:tc>
        <w:tc>
          <w:tcPr>
            <w:tcW w:w="1414" w:type="dxa"/>
          </w:tcPr>
          <w:p w14:paraId="6ECDB273" w14:textId="77777777" w:rsidR="00113E54" w:rsidRDefault="00113E54" w:rsidP="00114674"/>
        </w:tc>
      </w:tr>
      <w:tr w:rsidR="00113E54" w14:paraId="06758CE9" w14:textId="77777777" w:rsidTr="00114674">
        <w:tc>
          <w:tcPr>
            <w:tcW w:w="1101" w:type="dxa"/>
          </w:tcPr>
          <w:p w14:paraId="1C5BFA0A" w14:textId="77777777" w:rsidR="00113E54" w:rsidRDefault="00113E54" w:rsidP="00114674">
            <w:pPr>
              <w:pStyle w:val="Default"/>
              <w:rPr>
                <w:sz w:val="22"/>
                <w:szCs w:val="22"/>
              </w:rPr>
            </w:pPr>
            <w:r>
              <w:rPr>
                <w:sz w:val="22"/>
                <w:szCs w:val="22"/>
              </w:rPr>
              <w:t xml:space="preserve">PO1 1** </w:t>
            </w:r>
          </w:p>
        </w:tc>
        <w:tc>
          <w:tcPr>
            <w:tcW w:w="1587" w:type="dxa"/>
          </w:tcPr>
          <w:p w14:paraId="0F940B08" w14:textId="77777777" w:rsidR="00113E54" w:rsidRDefault="00113E54" w:rsidP="00114674">
            <w:pPr>
              <w:pStyle w:val="Default"/>
              <w:rPr>
                <w:sz w:val="22"/>
                <w:szCs w:val="22"/>
              </w:rPr>
            </w:pPr>
            <w:r>
              <w:rPr>
                <w:sz w:val="22"/>
                <w:szCs w:val="22"/>
              </w:rPr>
              <w:t xml:space="preserve">&lt;£50,000 - £99,999 </w:t>
            </w:r>
          </w:p>
        </w:tc>
        <w:tc>
          <w:tcPr>
            <w:tcW w:w="1611" w:type="dxa"/>
          </w:tcPr>
          <w:p w14:paraId="3D77EAA1" w14:textId="77777777" w:rsidR="00113E54" w:rsidRDefault="00113E54" w:rsidP="00114674">
            <w:pPr>
              <w:pStyle w:val="Default"/>
              <w:rPr>
                <w:sz w:val="22"/>
                <w:szCs w:val="22"/>
              </w:rPr>
            </w:pPr>
            <w:r>
              <w:rPr>
                <w:sz w:val="22"/>
                <w:szCs w:val="22"/>
              </w:rPr>
              <w:t xml:space="preserve">&lt;£50,000 </w:t>
            </w:r>
          </w:p>
        </w:tc>
        <w:tc>
          <w:tcPr>
            <w:tcW w:w="1413" w:type="dxa"/>
          </w:tcPr>
          <w:p w14:paraId="3C70E939" w14:textId="77777777" w:rsidR="00113E54" w:rsidRDefault="00113E54" w:rsidP="00114674"/>
        </w:tc>
        <w:tc>
          <w:tcPr>
            <w:tcW w:w="1405" w:type="dxa"/>
          </w:tcPr>
          <w:p w14:paraId="52AFF52A" w14:textId="77777777" w:rsidR="00113E54" w:rsidRDefault="00113E54" w:rsidP="00114674"/>
        </w:tc>
        <w:tc>
          <w:tcPr>
            <w:tcW w:w="1411" w:type="dxa"/>
          </w:tcPr>
          <w:p w14:paraId="435D34B5" w14:textId="77777777" w:rsidR="00113E54" w:rsidRDefault="00113E54" w:rsidP="00114674"/>
        </w:tc>
        <w:tc>
          <w:tcPr>
            <w:tcW w:w="1406" w:type="dxa"/>
          </w:tcPr>
          <w:p w14:paraId="69BBE588" w14:textId="77777777" w:rsidR="00113E54" w:rsidRDefault="00113E54" w:rsidP="00114674"/>
        </w:tc>
        <w:tc>
          <w:tcPr>
            <w:tcW w:w="1412" w:type="dxa"/>
          </w:tcPr>
          <w:p w14:paraId="6861942E" w14:textId="77777777" w:rsidR="00113E54" w:rsidRDefault="00113E54" w:rsidP="00114674"/>
        </w:tc>
        <w:tc>
          <w:tcPr>
            <w:tcW w:w="1414" w:type="dxa"/>
          </w:tcPr>
          <w:p w14:paraId="027E99A2" w14:textId="77777777" w:rsidR="00113E54" w:rsidRDefault="00113E54" w:rsidP="00114674"/>
        </w:tc>
        <w:tc>
          <w:tcPr>
            <w:tcW w:w="1414" w:type="dxa"/>
          </w:tcPr>
          <w:p w14:paraId="4DD88510" w14:textId="77777777" w:rsidR="00113E54" w:rsidRDefault="00113E54" w:rsidP="00114674"/>
        </w:tc>
      </w:tr>
      <w:tr w:rsidR="00113E54" w14:paraId="14FC4E6B" w14:textId="77777777" w:rsidTr="00114674">
        <w:tc>
          <w:tcPr>
            <w:tcW w:w="1101" w:type="dxa"/>
          </w:tcPr>
          <w:p w14:paraId="66AB85CF" w14:textId="77777777" w:rsidR="00113E54" w:rsidRDefault="00113E54" w:rsidP="00114674"/>
        </w:tc>
        <w:tc>
          <w:tcPr>
            <w:tcW w:w="1587" w:type="dxa"/>
          </w:tcPr>
          <w:p w14:paraId="5D3934C2" w14:textId="77777777" w:rsidR="00113E54" w:rsidRDefault="00113E54" w:rsidP="00114674"/>
        </w:tc>
        <w:tc>
          <w:tcPr>
            <w:tcW w:w="1611" w:type="dxa"/>
          </w:tcPr>
          <w:p w14:paraId="76A9D927" w14:textId="77777777" w:rsidR="00113E54" w:rsidRDefault="00113E54" w:rsidP="00114674">
            <w:pPr>
              <w:pStyle w:val="Default"/>
              <w:rPr>
                <w:sz w:val="22"/>
                <w:szCs w:val="22"/>
              </w:rPr>
            </w:pPr>
            <w:r>
              <w:rPr>
                <w:sz w:val="22"/>
                <w:szCs w:val="22"/>
              </w:rPr>
              <w:t xml:space="preserve">£50,000 - £59,999 </w:t>
            </w:r>
          </w:p>
        </w:tc>
        <w:tc>
          <w:tcPr>
            <w:tcW w:w="1413" w:type="dxa"/>
          </w:tcPr>
          <w:p w14:paraId="6CFCB5D6" w14:textId="77777777" w:rsidR="00113E54" w:rsidRDefault="00113E54" w:rsidP="00114674"/>
        </w:tc>
        <w:tc>
          <w:tcPr>
            <w:tcW w:w="1405" w:type="dxa"/>
          </w:tcPr>
          <w:p w14:paraId="35D8B892" w14:textId="77777777" w:rsidR="00113E54" w:rsidRDefault="00113E54" w:rsidP="00114674"/>
        </w:tc>
        <w:tc>
          <w:tcPr>
            <w:tcW w:w="1411" w:type="dxa"/>
          </w:tcPr>
          <w:p w14:paraId="562D8D2F" w14:textId="77777777" w:rsidR="00113E54" w:rsidRDefault="00113E54" w:rsidP="00114674"/>
        </w:tc>
        <w:tc>
          <w:tcPr>
            <w:tcW w:w="1406" w:type="dxa"/>
          </w:tcPr>
          <w:p w14:paraId="2C8E1D3E" w14:textId="77777777" w:rsidR="00113E54" w:rsidRDefault="00113E54" w:rsidP="00114674"/>
        </w:tc>
        <w:tc>
          <w:tcPr>
            <w:tcW w:w="1412" w:type="dxa"/>
          </w:tcPr>
          <w:p w14:paraId="63048CD7" w14:textId="77777777" w:rsidR="00113E54" w:rsidRDefault="00113E54" w:rsidP="00114674"/>
        </w:tc>
        <w:tc>
          <w:tcPr>
            <w:tcW w:w="1414" w:type="dxa"/>
          </w:tcPr>
          <w:p w14:paraId="409C1296" w14:textId="77777777" w:rsidR="00113E54" w:rsidRDefault="00113E54" w:rsidP="00114674"/>
        </w:tc>
        <w:tc>
          <w:tcPr>
            <w:tcW w:w="1414" w:type="dxa"/>
          </w:tcPr>
          <w:p w14:paraId="3E81CF59" w14:textId="77777777" w:rsidR="00113E54" w:rsidRDefault="00113E54" w:rsidP="00114674"/>
        </w:tc>
      </w:tr>
      <w:tr w:rsidR="00113E54" w14:paraId="7DF86FD3" w14:textId="77777777" w:rsidTr="00114674">
        <w:tc>
          <w:tcPr>
            <w:tcW w:w="1101" w:type="dxa"/>
          </w:tcPr>
          <w:p w14:paraId="2E59247B" w14:textId="77777777" w:rsidR="00113E54" w:rsidRDefault="00113E54" w:rsidP="00114674"/>
        </w:tc>
        <w:tc>
          <w:tcPr>
            <w:tcW w:w="1587" w:type="dxa"/>
          </w:tcPr>
          <w:p w14:paraId="2CD952B5" w14:textId="77777777" w:rsidR="00113E54" w:rsidRDefault="00113E54" w:rsidP="00114674"/>
        </w:tc>
        <w:tc>
          <w:tcPr>
            <w:tcW w:w="1611" w:type="dxa"/>
          </w:tcPr>
          <w:p w14:paraId="2846C34C" w14:textId="77777777" w:rsidR="00113E54" w:rsidRDefault="00113E54" w:rsidP="00114674">
            <w:pPr>
              <w:pStyle w:val="Default"/>
              <w:rPr>
                <w:sz w:val="22"/>
                <w:szCs w:val="22"/>
              </w:rPr>
            </w:pPr>
            <w:r>
              <w:rPr>
                <w:sz w:val="22"/>
                <w:szCs w:val="22"/>
              </w:rPr>
              <w:t xml:space="preserve">£60,000 - £69,999 </w:t>
            </w:r>
          </w:p>
        </w:tc>
        <w:tc>
          <w:tcPr>
            <w:tcW w:w="1413" w:type="dxa"/>
          </w:tcPr>
          <w:p w14:paraId="3DBEF069" w14:textId="77777777" w:rsidR="00113E54" w:rsidRDefault="00113E54" w:rsidP="00114674"/>
        </w:tc>
        <w:tc>
          <w:tcPr>
            <w:tcW w:w="1405" w:type="dxa"/>
          </w:tcPr>
          <w:p w14:paraId="6119AFA7" w14:textId="77777777" w:rsidR="00113E54" w:rsidRDefault="00113E54" w:rsidP="00114674"/>
        </w:tc>
        <w:tc>
          <w:tcPr>
            <w:tcW w:w="1411" w:type="dxa"/>
          </w:tcPr>
          <w:p w14:paraId="31748CC2" w14:textId="77777777" w:rsidR="00113E54" w:rsidRDefault="00113E54" w:rsidP="00114674"/>
        </w:tc>
        <w:tc>
          <w:tcPr>
            <w:tcW w:w="1406" w:type="dxa"/>
          </w:tcPr>
          <w:p w14:paraId="5F48C850" w14:textId="77777777" w:rsidR="00113E54" w:rsidRDefault="00113E54" w:rsidP="00114674"/>
        </w:tc>
        <w:tc>
          <w:tcPr>
            <w:tcW w:w="1412" w:type="dxa"/>
          </w:tcPr>
          <w:p w14:paraId="06399D1A" w14:textId="77777777" w:rsidR="00113E54" w:rsidRDefault="00113E54" w:rsidP="00114674"/>
        </w:tc>
        <w:tc>
          <w:tcPr>
            <w:tcW w:w="1414" w:type="dxa"/>
          </w:tcPr>
          <w:p w14:paraId="6B4CA178" w14:textId="77777777" w:rsidR="00113E54" w:rsidRDefault="00113E54" w:rsidP="00114674"/>
        </w:tc>
        <w:tc>
          <w:tcPr>
            <w:tcW w:w="1414" w:type="dxa"/>
          </w:tcPr>
          <w:p w14:paraId="75DB6D2E" w14:textId="77777777" w:rsidR="00113E54" w:rsidRDefault="00113E54" w:rsidP="00114674"/>
        </w:tc>
      </w:tr>
      <w:tr w:rsidR="00113E54" w14:paraId="6D319BE5" w14:textId="77777777" w:rsidTr="00114674">
        <w:tc>
          <w:tcPr>
            <w:tcW w:w="1101" w:type="dxa"/>
          </w:tcPr>
          <w:p w14:paraId="3EE6E411" w14:textId="77777777" w:rsidR="00113E54" w:rsidRDefault="00113E54" w:rsidP="00114674"/>
        </w:tc>
        <w:tc>
          <w:tcPr>
            <w:tcW w:w="1587" w:type="dxa"/>
          </w:tcPr>
          <w:p w14:paraId="3AC8481A" w14:textId="77777777" w:rsidR="00113E54" w:rsidRDefault="00113E54" w:rsidP="00114674"/>
        </w:tc>
        <w:tc>
          <w:tcPr>
            <w:tcW w:w="1611" w:type="dxa"/>
          </w:tcPr>
          <w:p w14:paraId="3082E4D0" w14:textId="77777777" w:rsidR="00113E54" w:rsidRDefault="00113E54" w:rsidP="00114674">
            <w:pPr>
              <w:pStyle w:val="Default"/>
              <w:rPr>
                <w:sz w:val="22"/>
                <w:szCs w:val="22"/>
              </w:rPr>
            </w:pPr>
            <w:r>
              <w:rPr>
                <w:sz w:val="22"/>
                <w:szCs w:val="22"/>
              </w:rPr>
              <w:t xml:space="preserve">£70,000 - £79,999 </w:t>
            </w:r>
          </w:p>
        </w:tc>
        <w:tc>
          <w:tcPr>
            <w:tcW w:w="1413" w:type="dxa"/>
          </w:tcPr>
          <w:p w14:paraId="2890D176" w14:textId="77777777" w:rsidR="00113E54" w:rsidRDefault="00113E54" w:rsidP="00114674"/>
        </w:tc>
        <w:tc>
          <w:tcPr>
            <w:tcW w:w="1405" w:type="dxa"/>
          </w:tcPr>
          <w:p w14:paraId="56C063CC" w14:textId="77777777" w:rsidR="00113E54" w:rsidRDefault="00113E54" w:rsidP="00114674"/>
        </w:tc>
        <w:tc>
          <w:tcPr>
            <w:tcW w:w="1411" w:type="dxa"/>
          </w:tcPr>
          <w:p w14:paraId="2DC17156" w14:textId="77777777" w:rsidR="00113E54" w:rsidRDefault="00113E54" w:rsidP="00114674"/>
        </w:tc>
        <w:tc>
          <w:tcPr>
            <w:tcW w:w="1406" w:type="dxa"/>
          </w:tcPr>
          <w:p w14:paraId="7125BD1E" w14:textId="77777777" w:rsidR="00113E54" w:rsidRDefault="00113E54" w:rsidP="00114674"/>
        </w:tc>
        <w:tc>
          <w:tcPr>
            <w:tcW w:w="1412" w:type="dxa"/>
          </w:tcPr>
          <w:p w14:paraId="4FD50FAC" w14:textId="77777777" w:rsidR="00113E54" w:rsidRDefault="00113E54" w:rsidP="00114674"/>
        </w:tc>
        <w:tc>
          <w:tcPr>
            <w:tcW w:w="1414" w:type="dxa"/>
          </w:tcPr>
          <w:p w14:paraId="3BC7295A" w14:textId="77777777" w:rsidR="00113E54" w:rsidRDefault="00113E54" w:rsidP="00114674"/>
        </w:tc>
        <w:tc>
          <w:tcPr>
            <w:tcW w:w="1414" w:type="dxa"/>
          </w:tcPr>
          <w:p w14:paraId="628A42CD" w14:textId="77777777" w:rsidR="00113E54" w:rsidRDefault="00113E54" w:rsidP="00114674"/>
        </w:tc>
      </w:tr>
      <w:tr w:rsidR="00113E54" w14:paraId="1DC60FB4" w14:textId="77777777" w:rsidTr="00114674">
        <w:tc>
          <w:tcPr>
            <w:tcW w:w="1101" w:type="dxa"/>
          </w:tcPr>
          <w:p w14:paraId="23368FD6" w14:textId="77777777" w:rsidR="00113E54" w:rsidRDefault="00113E54" w:rsidP="00114674"/>
        </w:tc>
        <w:tc>
          <w:tcPr>
            <w:tcW w:w="1587" w:type="dxa"/>
          </w:tcPr>
          <w:p w14:paraId="7F38D117" w14:textId="77777777" w:rsidR="00113E54" w:rsidRDefault="00113E54" w:rsidP="00114674"/>
        </w:tc>
        <w:tc>
          <w:tcPr>
            <w:tcW w:w="1611" w:type="dxa"/>
          </w:tcPr>
          <w:p w14:paraId="41BA6314" w14:textId="77777777" w:rsidR="00113E54" w:rsidRDefault="00113E54" w:rsidP="00114674">
            <w:pPr>
              <w:pStyle w:val="Default"/>
              <w:rPr>
                <w:sz w:val="22"/>
                <w:szCs w:val="22"/>
              </w:rPr>
            </w:pPr>
            <w:r>
              <w:rPr>
                <w:sz w:val="22"/>
                <w:szCs w:val="22"/>
              </w:rPr>
              <w:t xml:space="preserve">£80,000 - £89,999 </w:t>
            </w:r>
          </w:p>
        </w:tc>
        <w:tc>
          <w:tcPr>
            <w:tcW w:w="1413" w:type="dxa"/>
          </w:tcPr>
          <w:p w14:paraId="2677DCB2" w14:textId="77777777" w:rsidR="00113E54" w:rsidRDefault="00113E54" w:rsidP="00114674"/>
        </w:tc>
        <w:tc>
          <w:tcPr>
            <w:tcW w:w="1405" w:type="dxa"/>
          </w:tcPr>
          <w:p w14:paraId="5F5A57C1" w14:textId="77777777" w:rsidR="00113E54" w:rsidRDefault="00113E54" w:rsidP="00114674"/>
        </w:tc>
        <w:tc>
          <w:tcPr>
            <w:tcW w:w="1411" w:type="dxa"/>
          </w:tcPr>
          <w:p w14:paraId="27E55EB5" w14:textId="77777777" w:rsidR="00113E54" w:rsidRDefault="00113E54" w:rsidP="00114674"/>
        </w:tc>
        <w:tc>
          <w:tcPr>
            <w:tcW w:w="1406" w:type="dxa"/>
          </w:tcPr>
          <w:p w14:paraId="256F0632" w14:textId="77777777" w:rsidR="00113E54" w:rsidRDefault="00113E54" w:rsidP="00114674"/>
        </w:tc>
        <w:tc>
          <w:tcPr>
            <w:tcW w:w="1412" w:type="dxa"/>
          </w:tcPr>
          <w:p w14:paraId="2F4D67BC" w14:textId="77777777" w:rsidR="00113E54" w:rsidRDefault="00113E54" w:rsidP="00114674"/>
        </w:tc>
        <w:tc>
          <w:tcPr>
            <w:tcW w:w="1414" w:type="dxa"/>
          </w:tcPr>
          <w:p w14:paraId="47915A48" w14:textId="77777777" w:rsidR="00113E54" w:rsidRDefault="00113E54" w:rsidP="00114674"/>
        </w:tc>
        <w:tc>
          <w:tcPr>
            <w:tcW w:w="1414" w:type="dxa"/>
          </w:tcPr>
          <w:p w14:paraId="2E4164D5" w14:textId="77777777" w:rsidR="00113E54" w:rsidRDefault="00113E54" w:rsidP="00114674"/>
        </w:tc>
      </w:tr>
      <w:tr w:rsidR="00113E54" w14:paraId="666D0926" w14:textId="77777777" w:rsidTr="00114674">
        <w:tc>
          <w:tcPr>
            <w:tcW w:w="1101" w:type="dxa"/>
          </w:tcPr>
          <w:p w14:paraId="52553B70" w14:textId="77777777" w:rsidR="00113E54" w:rsidRDefault="00113E54" w:rsidP="00114674"/>
        </w:tc>
        <w:tc>
          <w:tcPr>
            <w:tcW w:w="1587" w:type="dxa"/>
          </w:tcPr>
          <w:p w14:paraId="2AD629BB" w14:textId="77777777" w:rsidR="00113E54" w:rsidRDefault="00113E54" w:rsidP="00114674"/>
        </w:tc>
        <w:tc>
          <w:tcPr>
            <w:tcW w:w="1611" w:type="dxa"/>
          </w:tcPr>
          <w:p w14:paraId="750BAFF1" w14:textId="77777777" w:rsidR="00113E54" w:rsidRDefault="00113E54" w:rsidP="00114674">
            <w:pPr>
              <w:pStyle w:val="Default"/>
              <w:rPr>
                <w:sz w:val="22"/>
                <w:szCs w:val="22"/>
              </w:rPr>
            </w:pPr>
            <w:r>
              <w:rPr>
                <w:sz w:val="22"/>
                <w:szCs w:val="22"/>
              </w:rPr>
              <w:t xml:space="preserve">£90,000 - £99,999 </w:t>
            </w:r>
          </w:p>
        </w:tc>
        <w:tc>
          <w:tcPr>
            <w:tcW w:w="1413" w:type="dxa"/>
          </w:tcPr>
          <w:p w14:paraId="5C69958D" w14:textId="77777777" w:rsidR="00113E54" w:rsidRDefault="00113E54" w:rsidP="00114674"/>
        </w:tc>
        <w:tc>
          <w:tcPr>
            <w:tcW w:w="1405" w:type="dxa"/>
          </w:tcPr>
          <w:p w14:paraId="599B3CBB" w14:textId="77777777" w:rsidR="00113E54" w:rsidRDefault="00113E54" w:rsidP="00114674"/>
        </w:tc>
        <w:tc>
          <w:tcPr>
            <w:tcW w:w="1411" w:type="dxa"/>
          </w:tcPr>
          <w:p w14:paraId="3375AB19" w14:textId="77777777" w:rsidR="00113E54" w:rsidRDefault="00113E54" w:rsidP="00114674"/>
        </w:tc>
        <w:tc>
          <w:tcPr>
            <w:tcW w:w="1406" w:type="dxa"/>
          </w:tcPr>
          <w:p w14:paraId="4431BDC4" w14:textId="77777777" w:rsidR="00113E54" w:rsidRDefault="00113E54" w:rsidP="00114674"/>
        </w:tc>
        <w:tc>
          <w:tcPr>
            <w:tcW w:w="1412" w:type="dxa"/>
          </w:tcPr>
          <w:p w14:paraId="4349E052" w14:textId="77777777" w:rsidR="00113E54" w:rsidRDefault="00113E54" w:rsidP="00114674"/>
        </w:tc>
        <w:tc>
          <w:tcPr>
            <w:tcW w:w="1414" w:type="dxa"/>
          </w:tcPr>
          <w:p w14:paraId="042F74A5" w14:textId="77777777" w:rsidR="00113E54" w:rsidRDefault="00113E54" w:rsidP="00114674"/>
        </w:tc>
        <w:tc>
          <w:tcPr>
            <w:tcW w:w="1414" w:type="dxa"/>
          </w:tcPr>
          <w:p w14:paraId="2B9AA307" w14:textId="77777777" w:rsidR="00113E54" w:rsidRDefault="00113E54" w:rsidP="00114674"/>
        </w:tc>
      </w:tr>
      <w:tr w:rsidR="00113E54" w14:paraId="5B60EBA0" w14:textId="77777777" w:rsidTr="00114674">
        <w:tc>
          <w:tcPr>
            <w:tcW w:w="1101" w:type="dxa"/>
          </w:tcPr>
          <w:p w14:paraId="0004ED32" w14:textId="77777777" w:rsidR="00113E54" w:rsidRDefault="00113E54" w:rsidP="00114674"/>
        </w:tc>
        <w:tc>
          <w:tcPr>
            <w:tcW w:w="1587" w:type="dxa"/>
          </w:tcPr>
          <w:p w14:paraId="580C4A57" w14:textId="77777777" w:rsidR="00113E54" w:rsidRDefault="00113E54" w:rsidP="00114674">
            <w:pPr>
              <w:pStyle w:val="Default"/>
              <w:rPr>
                <w:sz w:val="22"/>
                <w:szCs w:val="22"/>
              </w:rPr>
            </w:pPr>
            <w:r>
              <w:rPr>
                <w:sz w:val="22"/>
                <w:szCs w:val="22"/>
              </w:rPr>
              <w:t xml:space="preserve">£100,000 - £299,999 </w:t>
            </w:r>
          </w:p>
        </w:tc>
        <w:tc>
          <w:tcPr>
            <w:tcW w:w="1611" w:type="dxa"/>
          </w:tcPr>
          <w:p w14:paraId="6A8CC7C4" w14:textId="77777777" w:rsidR="00113E54" w:rsidRDefault="00113E54" w:rsidP="00114674">
            <w:pPr>
              <w:pStyle w:val="Default"/>
              <w:rPr>
                <w:sz w:val="22"/>
                <w:szCs w:val="22"/>
              </w:rPr>
            </w:pPr>
            <w:r>
              <w:rPr>
                <w:sz w:val="22"/>
                <w:szCs w:val="22"/>
              </w:rPr>
              <w:t xml:space="preserve">£100,000 - £119,999 </w:t>
            </w:r>
          </w:p>
        </w:tc>
        <w:tc>
          <w:tcPr>
            <w:tcW w:w="1413" w:type="dxa"/>
          </w:tcPr>
          <w:p w14:paraId="35D8A1F1" w14:textId="77777777" w:rsidR="00113E54" w:rsidRDefault="00113E54" w:rsidP="00114674"/>
        </w:tc>
        <w:tc>
          <w:tcPr>
            <w:tcW w:w="1405" w:type="dxa"/>
          </w:tcPr>
          <w:p w14:paraId="52C95811" w14:textId="77777777" w:rsidR="00113E54" w:rsidRDefault="00113E54" w:rsidP="00114674"/>
        </w:tc>
        <w:tc>
          <w:tcPr>
            <w:tcW w:w="1411" w:type="dxa"/>
          </w:tcPr>
          <w:p w14:paraId="114462E3" w14:textId="77777777" w:rsidR="00113E54" w:rsidRDefault="00113E54" w:rsidP="00114674"/>
        </w:tc>
        <w:tc>
          <w:tcPr>
            <w:tcW w:w="1406" w:type="dxa"/>
          </w:tcPr>
          <w:p w14:paraId="079268B9" w14:textId="77777777" w:rsidR="00113E54" w:rsidRDefault="00113E54" w:rsidP="00114674"/>
        </w:tc>
        <w:tc>
          <w:tcPr>
            <w:tcW w:w="1412" w:type="dxa"/>
          </w:tcPr>
          <w:p w14:paraId="16C834E9" w14:textId="77777777" w:rsidR="00113E54" w:rsidRDefault="00113E54" w:rsidP="00114674"/>
        </w:tc>
        <w:tc>
          <w:tcPr>
            <w:tcW w:w="1414" w:type="dxa"/>
          </w:tcPr>
          <w:p w14:paraId="19A28EDC" w14:textId="77777777" w:rsidR="00113E54" w:rsidRDefault="00113E54" w:rsidP="00114674"/>
        </w:tc>
        <w:tc>
          <w:tcPr>
            <w:tcW w:w="1414" w:type="dxa"/>
          </w:tcPr>
          <w:p w14:paraId="0C4F5AF4" w14:textId="77777777" w:rsidR="00113E54" w:rsidRDefault="00113E54" w:rsidP="00114674"/>
        </w:tc>
      </w:tr>
      <w:tr w:rsidR="00113E54" w14:paraId="29B21EA4" w14:textId="77777777" w:rsidTr="00114674">
        <w:tc>
          <w:tcPr>
            <w:tcW w:w="1101" w:type="dxa"/>
          </w:tcPr>
          <w:p w14:paraId="303C40AD" w14:textId="77777777" w:rsidR="00113E54" w:rsidRDefault="00113E54" w:rsidP="00114674"/>
        </w:tc>
        <w:tc>
          <w:tcPr>
            <w:tcW w:w="1587" w:type="dxa"/>
          </w:tcPr>
          <w:p w14:paraId="128A07BD" w14:textId="77777777" w:rsidR="00113E54" w:rsidRDefault="00113E54" w:rsidP="00114674"/>
        </w:tc>
        <w:tc>
          <w:tcPr>
            <w:tcW w:w="1611" w:type="dxa"/>
          </w:tcPr>
          <w:p w14:paraId="54579DCC" w14:textId="77777777" w:rsidR="00113E54" w:rsidRDefault="00113E54" w:rsidP="00114674">
            <w:pPr>
              <w:pStyle w:val="Default"/>
              <w:rPr>
                <w:sz w:val="22"/>
                <w:szCs w:val="22"/>
              </w:rPr>
            </w:pPr>
            <w:r>
              <w:rPr>
                <w:sz w:val="22"/>
                <w:szCs w:val="22"/>
              </w:rPr>
              <w:t xml:space="preserve">£120,000 - £139,999 </w:t>
            </w:r>
          </w:p>
        </w:tc>
        <w:tc>
          <w:tcPr>
            <w:tcW w:w="1413" w:type="dxa"/>
          </w:tcPr>
          <w:p w14:paraId="404D8788" w14:textId="77777777" w:rsidR="00113E54" w:rsidRDefault="00113E54" w:rsidP="00114674"/>
        </w:tc>
        <w:tc>
          <w:tcPr>
            <w:tcW w:w="1405" w:type="dxa"/>
          </w:tcPr>
          <w:p w14:paraId="79553FE0" w14:textId="77777777" w:rsidR="00113E54" w:rsidRDefault="00113E54" w:rsidP="00114674"/>
        </w:tc>
        <w:tc>
          <w:tcPr>
            <w:tcW w:w="1411" w:type="dxa"/>
          </w:tcPr>
          <w:p w14:paraId="56805B8D" w14:textId="77777777" w:rsidR="00113E54" w:rsidRDefault="00113E54" w:rsidP="00114674"/>
        </w:tc>
        <w:tc>
          <w:tcPr>
            <w:tcW w:w="1406" w:type="dxa"/>
          </w:tcPr>
          <w:p w14:paraId="15450EB6" w14:textId="77777777" w:rsidR="00113E54" w:rsidRDefault="00113E54" w:rsidP="00114674"/>
        </w:tc>
        <w:tc>
          <w:tcPr>
            <w:tcW w:w="1412" w:type="dxa"/>
          </w:tcPr>
          <w:p w14:paraId="15521178" w14:textId="77777777" w:rsidR="00113E54" w:rsidRDefault="00113E54" w:rsidP="00114674"/>
        </w:tc>
        <w:tc>
          <w:tcPr>
            <w:tcW w:w="1414" w:type="dxa"/>
          </w:tcPr>
          <w:p w14:paraId="0874E8A9" w14:textId="77777777" w:rsidR="00113E54" w:rsidRDefault="00113E54" w:rsidP="00114674"/>
        </w:tc>
        <w:tc>
          <w:tcPr>
            <w:tcW w:w="1414" w:type="dxa"/>
          </w:tcPr>
          <w:p w14:paraId="080E5A7D" w14:textId="77777777" w:rsidR="00113E54" w:rsidRDefault="00113E54" w:rsidP="00114674"/>
        </w:tc>
      </w:tr>
      <w:tr w:rsidR="00113E54" w14:paraId="0A7B35A5" w14:textId="77777777" w:rsidTr="00114674">
        <w:tc>
          <w:tcPr>
            <w:tcW w:w="1101" w:type="dxa"/>
          </w:tcPr>
          <w:p w14:paraId="314E3A05" w14:textId="77777777" w:rsidR="00113E54" w:rsidRDefault="00113E54" w:rsidP="00114674"/>
        </w:tc>
        <w:tc>
          <w:tcPr>
            <w:tcW w:w="1587" w:type="dxa"/>
          </w:tcPr>
          <w:p w14:paraId="21148D63" w14:textId="77777777" w:rsidR="00113E54" w:rsidRDefault="00113E54" w:rsidP="00114674"/>
        </w:tc>
        <w:tc>
          <w:tcPr>
            <w:tcW w:w="1611" w:type="dxa"/>
          </w:tcPr>
          <w:p w14:paraId="2C80D1F4" w14:textId="77777777" w:rsidR="00113E54" w:rsidRDefault="00113E54" w:rsidP="00114674">
            <w:pPr>
              <w:pStyle w:val="Default"/>
              <w:rPr>
                <w:sz w:val="22"/>
                <w:szCs w:val="22"/>
              </w:rPr>
            </w:pPr>
            <w:r>
              <w:rPr>
                <w:sz w:val="22"/>
                <w:szCs w:val="22"/>
              </w:rPr>
              <w:t xml:space="preserve">£140,000 - £159,999 </w:t>
            </w:r>
          </w:p>
        </w:tc>
        <w:tc>
          <w:tcPr>
            <w:tcW w:w="1413" w:type="dxa"/>
          </w:tcPr>
          <w:p w14:paraId="65033FF3" w14:textId="77777777" w:rsidR="00113E54" w:rsidRDefault="00113E54" w:rsidP="00114674"/>
        </w:tc>
        <w:tc>
          <w:tcPr>
            <w:tcW w:w="1405" w:type="dxa"/>
          </w:tcPr>
          <w:p w14:paraId="48B943F7" w14:textId="77777777" w:rsidR="00113E54" w:rsidRDefault="00113E54" w:rsidP="00114674"/>
        </w:tc>
        <w:tc>
          <w:tcPr>
            <w:tcW w:w="1411" w:type="dxa"/>
          </w:tcPr>
          <w:p w14:paraId="067129C9" w14:textId="77777777" w:rsidR="00113E54" w:rsidRDefault="00113E54" w:rsidP="00114674"/>
        </w:tc>
        <w:tc>
          <w:tcPr>
            <w:tcW w:w="1406" w:type="dxa"/>
          </w:tcPr>
          <w:p w14:paraId="3E5CA956" w14:textId="77777777" w:rsidR="00113E54" w:rsidRDefault="00113E54" w:rsidP="00114674"/>
        </w:tc>
        <w:tc>
          <w:tcPr>
            <w:tcW w:w="1412" w:type="dxa"/>
          </w:tcPr>
          <w:p w14:paraId="03D90D41" w14:textId="77777777" w:rsidR="00113E54" w:rsidRDefault="00113E54" w:rsidP="00114674"/>
        </w:tc>
        <w:tc>
          <w:tcPr>
            <w:tcW w:w="1414" w:type="dxa"/>
          </w:tcPr>
          <w:p w14:paraId="38DE3541" w14:textId="77777777" w:rsidR="00113E54" w:rsidRDefault="00113E54" w:rsidP="00114674"/>
        </w:tc>
        <w:tc>
          <w:tcPr>
            <w:tcW w:w="1414" w:type="dxa"/>
          </w:tcPr>
          <w:p w14:paraId="3FADD2C2" w14:textId="77777777" w:rsidR="00113E54" w:rsidRDefault="00113E54" w:rsidP="00114674"/>
        </w:tc>
      </w:tr>
      <w:tr w:rsidR="00113E54" w14:paraId="3B748434" w14:textId="77777777" w:rsidTr="00114674">
        <w:tc>
          <w:tcPr>
            <w:tcW w:w="1101" w:type="dxa"/>
          </w:tcPr>
          <w:p w14:paraId="33C5B443" w14:textId="77777777" w:rsidR="00113E54" w:rsidRDefault="00113E54" w:rsidP="00114674"/>
        </w:tc>
        <w:tc>
          <w:tcPr>
            <w:tcW w:w="1587" w:type="dxa"/>
          </w:tcPr>
          <w:p w14:paraId="42A14675" w14:textId="77777777" w:rsidR="00113E54" w:rsidRDefault="00113E54" w:rsidP="00114674"/>
        </w:tc>
        <w:tc>
          <w:tcPr>
            <w:tcW w:w="1611" w:type="dxa"/>
          </w:tcPr>
          <w:p w14:paraId="4018C15C" w14:textId="77777777" w:rsidR="00113E54" w:rsidRDefault="00113E54" w:rsidP="00114674">
            <w:pPr>
              <w:pStyle w:val="Default"/>
              <w:rPr>
                <w:sz w:val="22"/>
                <w:szCs w:val="22"/>
              </w:rPr>
            </w:pPr>
            <w:r>
              <w:rPr>
                <w:sz w:val="22"/>
                <w:szCs w:val="22"/>
              </w:rPr>
              <w:t xml:space="preserve">£160,000 - £179,999 </w:t>
            </w:r>
          </w:p>
        </w:tc>
        <w:tc>
          <w:tcPr>
            <w:tcW w:w="1413" w:type="dxa"/>
          </w:tcPr>
          <w:p w14:paraId="10BEAB82" w14:textId="77777777" w:rsidR="00113E54" w:rsidRDefault="00113E54" w:rsidP="00114674"/>
        </w:tc>
        <w:tc>
          <w:tcPr>
            <w:tcW w:w="1405" w:type="dxa"/>
          </w:tcPr>
          <w:p w14:paraId="7DC65FD5" w14:textId="77777777" w:rsidR="00113E54" w:rsidRDefault="00113E54" w:rsidP="00114674"/>
        </w:tc>
        <w:tc>
          <w:tcPr>
            <w:tcW w:w="1411" w:type="dxa"/>
          </w:tcPr>
          <w:p w14:paraId="3E5764C4" w14:textId="77777777" w:rsidR="00113E54" w:rsidRDefault="00113E54" w:rsidP="00114674"/>
        </w:tc>
        <w:tc>
          <w:tcPr>
            <w:tcW w:w="1406" w:type="dxa"/>
          </w:tcPr>
          <w:p w14:paraId="39C18CBE" w14:textId="77777777" w:rsidR="00113E54" w:rsidRDefault="00113E54" w:rsidP="00114674"/>
        </w:tc>
        <w:tc>
          <w:tcPr>
            <w:tcW w:w="1412" w:type="dxa"/>
          </w:tcPr>
          <w:p w14:paraId="5141312F" w14:textId="77777777" w:rsidR="00113E54" w:rsidRDefault="00113E54" w:rsidP="00114674"/>
        </w:tc>
        <w:tc>
          <w:tcPr>
            <w:tcW w:w="1414" w:type="dxa"/>
          </w:tcPr>
          <w:p w14:paraId="4D08C1F3" w14:textId="77777777" w:rsidR="00113E54" w:rsidRDefault="00113E54" w:rsidP="00114674"/>
        </w:tc>
        <w:tc>
          <w:tcPr>
            <w:tcW w:w="1414" w:type="dxa"/>
          </w:tcPr>
          <w:p w14:paraId="64055401" w14:textId="77777777" w:rsidR="00113E54" w:rsidRDefault="00113E54" w:rsidP="00114674"/>
        </w:tc>
      </w:tr>
      <w:tr w:rsidR="00113E54" w14:paraId="075F94E0" w14:textId="77777777" w:rsidTr="00114674">
        <w:tc>
          <w:tcPr>
            <w:tcW w:w="1101" w:type="dxa"/>
          </w:tcPr>
          <w:p w14:paraId="00009091" w14:textId="77777777" w:rsidR="00113E54" w:rsidRDefault="00113E54" w:rsidP="00114674"/>
        </w:tc>
        <w:tc>
          <w:tcPr>
            <w:tcW w:w="1587" w:type="dxa"/>
          </w:tcPr>
          <w:p w14:paraId="30B6BDB4" w14:textId="77777777" w:rsidR="00113E54" w:rsidRDefault="00113E54" w:rsidP="00114674"/>
        </w:tc>
        <w:tc>
          <w:tcPr>
            <w:tcW w:w="1611" w:type="dxa"/>
          </w:tcPr>
          <w:p w14:paraId="6D98709D" w14:textId="77777777" w:rsidR="00113E54" w:rsidRDefault="00113E54" w:rsidP="00114674">
            <w:pPr>
              <w:pStyle w:val="Default"/>
              <w:rPr>
                <w:sz w:val="22"/>
                <w:szCs w:val="22"/>
              </w:rPr>
            </w:pPr>
            <w:r>
              <w:rPr>
                <w:sz w:val="22"/>
                <w:szCs w:val="22"/>
              </w:rPr>
              <w:t xml:space="preserve">£180,000 - £199,999 </w:t>
            </w:r>
          </w:p>
        </w:tc>
        <w:tc>
          <w:tcPr>
            <w:tcW w:w="1413" w:type="dxa"/>
          </w:tcPr>
          <w:p w14:paraId="0C2536F1" w14:textId="77777777" w:rsidR="00113E54" w:rsidRDefault="00113E54" w:rsidP="00114674"/>
        </w:tc>
        <w:tc>
          <w:tcPr>
            <w:tcW w:w="1405" w:type="dxa"/>
          </w:tcPr>
          <w:p w14:paraId="0AB9716E" w14:textId="77777777" w:rsidR="00113E54" w:rsidRDefault="00113E54" w:rsidP="00114674"/>
        </w:tc>
        <w:tc>
          <w:tcPr>
            <w:tcW w:w="1411" w:type="dxa"/>
          </w:tcPr>
          <w:p w14:paraId="07412D15" w14:textId="77777777" w:rsidR="00113E54" w:rsidRDefault="00113E54" w:rsidP="00114674"/>
        </w:tc>
        <w:tc>
          <w:tcPr>
            <w:tcW w:w="1406" w:type="dxa"/>
          </w:tcPr>
          <w:p w14:paraId="6A6B20DE" w14:textId="77777777" w:rsidR="00113E54" w:rsidRDefault="00113E54" w:rsidP="00114674"/>
        </w:tc>
        <w:tc>
          <w:tcPr>
            <w:tcW w:w="1412" w:type="dxa"/>
          </w:tcPr>
          <w:p w14:paraId="2AD8E53A" w14:textId="77777777" w:rsidR="00113E54" w:rsidRDefault="00113E54" w:rsidP="00114674"/>
        </w:tc>
        <w:tc>
          <w:tcPr>
            <w:tcW w:w="1414" w:type="dxa"/>
          </w:tcPr>
          <w:p w14:paraId="5DDEB038" w14:textId="77777777" w:rsidR="00113E54" w:rsidRDefault="00113E54" w:rsidP="00114674"/>
        </w:tc>
        <w:tc>
          <w:tcPr>
            <w:tcW w:w="1414" w:type="dxa"/>
          </w:tcPr>
          <w:p w14:paraId="431B3F7E" w14:textId="77777777" w:rsidR="00113E54" w:rsidRDefault="00113E54" w:rsidP="00114674"/>
        </w:tc>
      </w:tr>
      <w:tr w:rsidR="00113E54" w14:paraId="762BB198" w14:textId="77777777" w:rsidTr="00114674">
        <w:tc>
          <w:tcPr>
            <w:tcW w:w="1101" w:type="dxa"/>
          </w:tcPr>
          <w:p w14:paraId="78DF0F84" w14:textId="77777777" w:rsidR="00113E54" w:rsidRDefault="00113E54" w:rsidP="00114674"/>
        </w:tc>
        <w:tc>
          <w:tcPr>
            <w:tcW w:w="1587" w:type="dxa"/>
          </w:tcPr>
          <w:p w14:paraId="2063395C" w14:textId="77777777" w:rsidR="00113E54" w:rsidRDefault="00113E54" w:rsidP="00114674"/>
        </w:tc>
        <w:tc>
          <w:tcPr>
            <w:tcW w:w="1611" w:type="dxa"/>
          </w:tcPr>
          <w:p w14:paraId="199C4262" w14:textId="77777777" w:rsidR="00113E54" w:rsidRDefault="00113E54" w:rsidP="00114674">
            <w:pPr>
              <w:pStyle w:val="Default"/>
              <w:rPr>
                <w:sz w:val="22"/>
                <w:szCs w:val="22"/>
              </w:rPr>
            </w:pPr>
            <w:r>
              <w:rPr>
                <w:sz w:val="22"/>
                <w:szCs w:val="22"/>
              </w:rPr>
              <w:t xml:space="preserve">£200,000 - £219,999 </w:t>
            </w:r>
          </w:p>
        </w:tc>
        <w:tc>
          <w:tcPr>
            <w:tcW w:w="1413" w:type="dxa"/>
          </w:tcPr>
          <w:p w14:paraId="1AAB79C7" w14:textId="77777777" w:rsidR="00113E54" w:rsidRDefault="00113E54" w:rsidP="00114674"/>
        </w:tc>
        <w:tc>
          <w:tcPr>
            <w:tcW w:w="1405" w:type="dxa"/>
          </w:tcPr>
          <w:p w14:paraId="3F6B8868" w14:textId="77777777" w:rsidR="00113E54" w:rsidRDefault="00113E54" w:rsidP="00114674"/>
        </w:tc>
        <w:tc>
          <w:tcPr>
            <w:tcW w:w="1411" w:type="dxa"/>
          </w:tcPr>
          <w:p w14:paraId="1B5CD1B4" w14:textId="77777777" w:rsidR="00113E54" w:rsidRDefault="00113E54" w:rsidP="00114674"/>
        </w:tc>
        <w:tc>
          <w:tcPr>
            <w:tcW w:w="1406" w:type="dxa"/>
          </w:tcPr>
          <w:p w14:paraId="52E5AAA6" w14:textId="77777777" w:rsidR="00113E54" w:rsidRDefault="00113E54" w:rsidP="00114674"/>
        </w:tc>
        <w:tc>
          <w:tcPr>
            <w:tcW w:w="1412" w:type="dxa"/>
          </w:tcPr>
          <w:p w14:paraId="4FD08E5A" w14:textId="77777777" w:rsidR="00113E54" w:rsidRDefault="00113E54" w:rsidP="00114674"/>
        </w:tc>
        <w:tc>
          <w:tcPr>
            <w:tcW w:w="1414" w:type="dxa"/>
          </w:tcPr>
          <w:p w14:paraId="0EF1E9B1" w14:textId="77777777" w:rsidR="00113E54" w:rsidRDefault="00113E54" w:rsidP="00114674"/>
        </w:tc>
        <w:tc>
          <w:tcPr>
            <w:tcW w:w="1414" w:type="dxa"/>
          </w:tcPr>
          <w:p w14:paraId="719EDA5A" w14:textId="77777777" w:rsidR="00113E54" w:rsidRDefault="00113E54" w:rsidP="00114674"/>
        </w:tc>
      </w:tr>
      <w:tr w:rsidR="00113E54" w14:paraId="3799C1A5" w14:textId="77777777" w:rsidTr="00114674">
        <w:tc>
          <w:tcPr>
            <w:tcW w:w="1101" w:type="dxa"/>
          </w:tcPr>
          <w:p w14:paraId="0548FAA6" w14:textId="77777777" w:rsidR="00113E54" w:rsidRDefault="00113E54" w:rsidP="00114674"/>
        </w:tc>
        <w:tc>
          <w:tcPr>
            <w:tcW w:w="1587" w:type="dxa"/>
          </w:tcPr>
          <w:p w14:paraId="5BC47178" w14:textId="77777777" w:rsidR="00113E54" w:rsidRDefault="00113E54" w:rsidP="00114674"/>
        </w:tc>
        <w:tc>
          <w:tcPr>
            <w:tcW w:w="1611" w:type="dxa"/>
          </w:tcPr>
          <w:p w14:paraId="1A41E728" w14:textId="77777777" w:rsidR="00113E54" w:rsidRDefault="00113E54" w:rsidP="00114674">
            <w:pPr>
              <w:pStyle w:val="Default"/>
              <w:rPr>
                <w:sz w:val="22"/>
                <w:szCs w:val="22"/>
              </w:rPr>
            </w:pPr>
            <w:r>
              <w:rPr>
                <w:sz w:val="22"/>
                <w:szCs w:val="22"/>
              </w:rPr>
              <w:t xml:space="preserve">£220,000 - £239,999 </w:t>
            </w:r>
          </w:p>
        </w:tc>
        <w:tc>
          <w:tcPr>
            <w:tcW w:w="1413" w:type="dxa"/>
          </w:tcPr>
          <w:p w14:paraId="6D4DA5D9" w14:textId="77777777" w:rsidR="00113E54" w:rsidRDefault="00113E54" w:rsidP="00114674"/>
        </w:tc>
        <w:tc>
          <w:tcPr>
            <w:tcW w:w="1405" w:type="dxa"/>
          </w:tcPr>
          <w:p w14:paraId="56E05823" w14:textId="77777777" w:rsidR="00113E54" w:rsidRDefault="00113E54" w:rsidP="00114674"/>
        </w:tc>
        <w:tc>
          <w:tcPr>
            <w:tcW w:w="1411" w:type="dxa"/>
          </w:tcPr>
          <w:p w14:paraId="77A21C8A" w14:textId="77777777" w:rsidR="00113E54" w:rsidRDefault="00113E54" w:rsidP="00114674"/>
        </w:tc>
        <w:tc>
          <w:tcPr>
            <w:tcW w:w="1406" w:type="dxa"/>
          </w:tcPr>
          <w:p w14:paraId="212DD491" w14:textId="77777777" w:rsidR="00113E54" w:rsidRDefault="00113E54" w:rsidP="00114674"/>
        </w:tc>
        <w:tc>
          <w:tcPr>
            <w:tcW w:w="1412" w:type="dxa"/>
          </w:tcPr>
          <w:p w14:paraId="76409105" w14:textId="77777777" w:rsidR="00113E54" w:rsidRDefault="00113E54" w:rsidP="00114674"/>
        </w:tc>
        <w:tc>
          <w:tcPr>
            <w:tcW w:w="1414" w:type="dxa"/>
          </w:tcPr>
          <w:p w14:paraId="26085E8F" w14:textId="77777777" w:rsidR="00113E54" w:rsidRDefault="00113E54" w:rsidP="00114674"/>
        </w:tc>
        <w:tc>
          <w:tcPr>
            <w:tcW w:w="1414" w:type="dxa"/>
          </w:tcPr>
          <w:p w14:paraId="2A20639A" w14:textId="77777777" w:rsidR="00113E54" w:rsidRDefault="00113E54" w:rsidP="00114674"/>
        </w:tc>
      </w:tr>
      <w:tr w:rsidR="00113E54" w14:paraId="3ACDB941" w14:textId="77777777" w:rsidTr="00114674">
        <w:tc>
          <w:tcPr>
            <w:tcW w:w="1101" w:type="dxa"/>
          </w:tcPr>
          <w:p w14:paraId="20A6A159" w14:textId="77777777" w:rsidR="00113E54" w:rsidRDefault="00113E54" w:rsidP="00114674"/>
        </w:tc>
        <w:tc>
          <w:tcPr>
            <w:tcW w:w="1587" w:type="dxa"/>
          </w:tcPr>
          <w:p w14:paraId="338894F8" w14:textId="77777777" w:rsidR="00113E54" w:rsidRDefault="00113E54" w:rsidP="00114674"/>
        </w:tc>
        <w:tc>
          <w:tcPr>
            <w:tcW w:w="1611" w:type="dxa"/>
          </w:tcPr>
          <w:p w14:paraId="19C7CC6E" w14:textId="77777777" w:rsidR="00113E54" w:rsidRDefault="00113E54" w:rsidP="00114674">
            <w:pPr>
              <w:pStyle w:val="Default"/>
              <w:rPr>
                <w:sz w:val="22"/>
                <w:szCs w:val="22"/>
              </w:rPr>
            </w:pPr>
            <w:r>
              <w:rPr>
                <w:sz w:val="22"/>
                <w:szCs w:val="22"/>
              </w:rPr>
              <w:t xml:space="preserve">£240,000 - £259,999 </w:t>
            </w:r>
          </w:p>
        </w:tc>
        <w:tc>
          <w:tcPr>
            <w:tcW w:w="1413" w:type="dxa"/>
          </w:tcPr>
          <w:p w14:paraId="20FA65BD" w14:textId="77777777" w:rsidR="00113E54" w:rsidRDefault="00113E54" w:rsidP="00114674"/>
        </w:tc>
        <w:tc>
          <w:tcPr>
            <w:tcW w:w="1405" w:type="dxa"/>
          </w:tcPr>
          <w:p w14:paraId="411DCBF7" w14:textId="77777777" w:rsidR="00113E54" w:rsidRDefault="00113E54" w:rsidP="00114674"/>
        </w:tc>
        <w:tc>
          <w:tcPr>
            <w:tcW w:w="1411" w:type="dxa"/>
          </w:tcPr>
          <w:p w14:paraId="2F26A76F" w14:textId="77777777" w:rsidR="00113E54" w:rsidRDefault="00113E54" w:rsidP="00114674"/>
        </w:tc>
        <w:tc>
          <w:tcPr>
            <w:tcW w:w="1406" w:type="dxa"/>
          </w:tcPr>
          <w:p w14:paraId="78F22BF5" w14:textId="77777777" w:rsidR="00113E54" w:rsidRDefault="00113E54" w:rsidP="00114674"/>
        </w:tc>
        <w:tc>
          <w:tcPr>
            <w:tcW w:w="1412" w:type="dxa"/>
          </w:tcPr>
          <w:p w14:paraId="7D8D3FA6" w14:textId="77777777" w:rsidR="00113E54" w:rsidRDefault="00113E54" w:rsidP="00114674"/>
        </w:tc>
        <w:tc>
          <w:tcPr>
            <w:tcW w:w="1414" w:type="dxa"/>
          </w:tcPr>
          <w:p w14:paraId="2ECFC801" w14:textId="77777777" w:rsidR="00113E54" w:rsidRDefault="00113E54" w:rsidP="00114674"/>
        </w:tc>
        <w:tc>
          <w:tcPr>
            <w:tcW w:w="1414" w:type="dxa"/>
          </w:tcPr>
          <w:p w14:paraId="74389C36" w14:textId="77777777" w:rsidR="00113E54" w:rsidRDefault="00113E54" w:rsidP="00114674"/>
        </w:tc>
      </w:tr>
      <w:tr w:rsidR="00113E54" w14:paraId="35C7C677" w14:textId="77777777" w:rsidTr="00114674">
        <w:tc>
          <w:tcPr>
            <w:tcW w:w="1101" w:type="dxa"/>
          </w:tcPr>
          <w:p w14:paraId="0148D35A" w14:textId="77777777" w:rsidR="00113E54" w:rsidRDefault="00113E54" w:rsidP="00114674"/>
        </w:tc>
        <w:tc>
          <w:tcPr>
            <w:tcW w:w="1587" w:type="dxa"/>
          </w:tcPr>
          <w:p w14:paraId="61E0C3EA" w14:textId="77777777" w:rsidR="00113E54" w:rsidRDefault="00113E54" w:rsidP="00114674"/>
        </w:tc>
        <w:tc>
          <w:tcPr>
            <w:tcW w:w="1611" w:type="dxa"/>
          </w:tcPr>
          <w:p w14:paraId="06C8C5E6" w14:textId="77777777" w:rsidR="00113E54" w:rsidRDefault="00113E54" w:rsidP="00114674">
            <w:pPr>
              <w:pStyle w:val="Default"/>
              <w:rPr>
                <w:sz w:val="22"/>
                <w:szCs w:val="22"/>
              </w:rPr>
            </w:pPr>
            <w:r>
              <w:rPr>
                <w:sz w:val="22"/>
                <w:szCs w:val="22"/>
              </w:rPr>
              <w:t xml:space="preserve">£260,000 - £279,999 </w:t>
            </w:r>
          </w:p>
        </w:tc>
        <w:tc>
          <w:tcPr>
            <w:tcW w:w="1413" w:type="dxa"/>
          </w:tcPr>
          <w:p w14:paraId="5F5CB7FC" w14:textId="77777777" w:rsidR="00113E54" w:rsidRDefault="00113E54" w:rsidP="00114674"/>
        </w:tc>
        <w:tc>
          <w:tcPr>
            <w:tcW w:w="1405" w:type="dxa"/>
          </w:tcPr>
          <w:p w14:paraId="030B1791" w14:textId="77777777" w:rsidR="00113E54" w:rsidRDefault="00113E54" w:rsidP="00114674"/>
        </w:tc>
        <w:tc>
          <w:tcPr>
            <w:tcW w:w="1411" w:type="dxa"/>
          </w:tcPr>
          <w:p w14:paraId="5B93C10F" w14:textId="77777777" w:rsidR="00113E54" w:rsidRDefault="00113E54" w:rsidP="00114674"/>
        </w:tc>
        <w:tc>
          <w:tcPr>
            <w:tcW w:w="1406" w:type="dxa"/>
          </w:tcPr>
          <w:p w14:paraId="4E623CCF" w14:textId="77777777" w:rsidR="00113E54" w:rsidRDefault="00113E54" w:rsidP="00114674"/>
        </w:tc>
        <w:tc>
          <w:tcPr>
            <w:tcW w:w="1412" w:type="dxa"/>
          </w:tcPr>
          <w:p w14:paraId="29C3B24F" w14:textId="77777777" w:rsidR="00113E54" w:rsidRDefault="00113E54" w:rsidP="00114674"/>
        </w:tc>
        <w:tc>
          <w:tcPr>
            <w:tcW w:w="1414" w:type="dxa"/>
          </w:tcPr>
          <w:p w14:paraId="539C43C2" w14:textId="77777777" w:rsidR="00113E54" w:rsidRDefault="00113E54" w:rsidP="00114674"/>
        </w:tc>
        <w:tc>
          <w:tcPr>
            <w:tcW w:w="1414" w:type="dxa"/>
          </w:tcPr>
          <w:p w14:paraId="2CE0591F" w14:textId="77777777" w:rsidR="00113E54" w:rsidRDefault="00113E54" w:rsidP="00114674"/>
        </w:tc>
      </w:tr>
      <w:tr w:rsidR="00113E54" w14:paraId="038C92F5" w14:textId="77777777" w:rsidTr="00114674">
        <w:tc>
          <w:tcPr>
            <w:tcW w:w="1101" w:type="dxa"/>
          </w:tcPr>
          <w:p w14:paraId="4C1592A7" w14:textId="77777777" w:rsidR="00113E54" w:rsidRDefault="00113E54" w:rsidP="00114674"/>
        </w:tc>
        <w:tc>
          <w:tcPr>
            <w:tcW w:w="1587" w:type="dxa"/>
          </w:tcPr>
          <w:p w14:paraId="72A7FF2F" w14:textId="77777777" w:rsidR="00113E54" w:rsidRDefault="00113E54" w:rsidP="00114674"/>
        </w:tc>
        <w:tc>
          <w:tcPr>
            <w:tcW w:w="1611" w:type="dxa"/>
          </w:tcPr>
          <w:p w14:paraId="31F5AB35" w14:textId="77777777" w:rsidR="00113E54" w:rsidRDefault="00113E54" w:rsidP="00114674">
            <w:pPr>
              <w:pStyle w:val="Default"/>
              <w:rPr>
                <w:sz w:val="22"/>
                <w:szCs w:val="22"/>
              </w:rPr>
            </w:pPr>
            <w:r>
              <w:rPr>
                <w:sz w:val="22"/>
                <w:szCs w:val="22"/>
              </w:rPr>
              <w:t xml:space="preserve">£280,000 - £299,999 </w:t>
            </w:r>
          </w:p>
        </w:tc>
        <w:tc>
          <w:tcPr>
            <w:tcW w:w="1413" w:type="dxa"/>
          </w:tcPr>
          <w:p w14:paraId="38B5D0EB" w14:textId="77777777" w:rsidR="00113E54" w:rsidRDefault="00113E54" w:rsidP="00114674"/>
        </w:tc>
        <w:tc>
          <w:tcPr>
            <w:tcW w:w="1405" w:type="dxa"/>
          </w:tcPr>
          <w:p w14:paraId="321C97D8" w14:textId="77777777" w:rsidR="00113E54" w:rsidRDefault="00113E54" w:rsidP="00114674"/>
        </w:tc>
        <w:tc>
          <w:tcPr>
            <w:tcW w:w="1411" w:type="dxa"/>
          </w:tcPr>
          <w:p w14:paraId="0DFA1675" w14:textId="77777777" w:rsidR="00113E54" w:rsidRDefault="00113E54" w:rsidP="00114674"/>
        </w:tc>
        <w:tc>
          <w:tcPr>
            <w:tcW w:w="1406" w:type="dxa"/>
          </w:tcPr>
          <w:p w14:paraId="4E3C49F0" w14:textId="77777777" w:rsidR="00113E54" w:rsidRDefault="00113E54" w:rsidP="00114674"/>
        </w:tc>
        <w:tc>
          <w:tcPr>
            <w:tcW w:w="1412" w:type="dxa"/>
          </w:tcPr>
          <w:p w14:paraId="79ED684E" w14:textId="77777777" w:rsidR="00113E54" w:rsidRDefault="00113E54" w:rsidP="00114674"/>
        </w:tc>
        <w:tc>
          <w:tcPr>
            <w:tcW w:w="1414" w:type="dxa"/>
          </w:tcPr>
          <w:p w14:paraId="23C77CA9" w14:textId="77777777" w:rsidR="00113E54" w:rsidRDefault="00113E54" w:rsidP="00114674"/>
        </w:tc>
        <w:tc>
          <w:tcPr>
            <w:tcW w:w="1414" w:type="dxa"/>
          </w:tcPr>
          <w:p w14:paraId="370630D8" w14:textId="77777777" w:rsidR="00113E54" w:rsidRDefault="00113E54" w:rsidP="00114674"/>
        </w:tc>
      </w:tr>
      <w:tr w:rsidR="00113E54" w14:paraId="470B4C59" w14:textId="77777777" w:rsidTr="00114674">
        <w:tc>
          <w:tcPr>
            <w:tcW w:w="1101" w:type="dxa"/>
          </w:tcPr>
          <w:p w14:paraId="42EE753B" w14:textId="77777777" w:rsidR="00113E54" w:rsidRDefault="00113E54" w:rsidP="00114674"/>
        </w:tc>
        <w:tc>
          <w:tcPr>
            <w:tcW w:w="1587" w:type="dxa"/>
          </w:tcPr>
          <w:p w14:paraId="51142310" w14:textId="77777777" w:rsidR="00113E54" w:rsidRDefault="00113E54" w:rsidP="00114674">
            <w:pPr>
              <w:pStyle w:val="Default"/>
              <w:rPr>
                <w:sz w:val="22"/>
                <w:szCs w:val="22"/>
              </w:rPr>
            </w:pPr>
            <w:r>
              <w:rPr>
                <w:sz w:val="22"/>
                <w:szCs w:val="22"/>
              </w:rPr>
              <w:t xml:space="preserve">£300,000 - £499,999 </w:t>
            </w:r>
          </w:p>
        </w:tc>
        <w:tc>
          <w:tcPr>
            <w:tcW w:w="1611" w:type="dxa"/>
          </w:tcPr>
          <w:p w14:paraId="0C91F35C" w14:textId="77777777" w:rsidR="00113E54" w:rsidRDefault="00113E54" w:rsidP="00114674">
            <w:pPr>
              <w:pStyle w:val="Default"/>
              <w:rPr>
                <w:sz w:val="22"/>
                <w:szCs w:val="22"/>
              </w:rPr>
            </w:pPr>
            <w:r>
              <w:rPr>
                <w:sz w:val="22"/>
                <w:szCs w:val="22"/>
              </w:rPr>
              <w:t xml:space="preserve">£300,000 - £349,999 </w:t>
            </w:r>
          </w:p>
        </w:tc>
        <w:tc>
          <w:tcPr>
            <w:tcW w:w="1413" w:type="dxa"/>
          </w:tcPr>
          <w:p w14:paraId="5631BC07" w14:textId="77777777" w:rsidR="00113E54" w:rsidRDefault="00113E54" w:rsidP="00114674"/>
        </w:tc>
        <w:tc>
          <w:tcPr>
            <w:tcW w:w="1405" w:type="dxa"/>
          </w:tcPr>
          <w:p w14:paraId="4D074DCE" w14:textId="77777777" w:rsidR="00113E54" w:rsidRDefault="00113E54" w:rsidP="00114674"/>
        </w:tc>
        <w:tc>
          <w:tcPr>
            <w:tcW w:w="1411" w:type="dxa"/>
          </w:tcPr>
          <w:p w14:paraId="2C40BBF1" w14:textId="77777777" w:rsidR="00113E54" w:rsidRDefault="00113E54" w:rsidP="00114674"/>
        </w:tc>
        <w:tc>
          <w:tcPr>
            <w:tcW w:w="1406" w:type="dxa"/>
          </w:tcPr>
          <w:p w14:paraId="4A76D9CD" w14:textId="77777777" w:rsidR="00113E54" w:rsidRDefault="00113E54" w:rsidP="00114674"/>
        </w:tc>
        <w:tc>
          <w:tcPr>
            <w:tcW w:w="1412" w:type="dxa"/>
          </w:tcPr>
          <w:p w14:paraId="4C8E71BA" w14:textId="77777777" w:rsidR="00113E54" w:rsidRDefault="00113E54" w:rsidP="00114674"/>
        </w:tc>
        <w:tc>
          <w:tcPr>
            <w:tcW w:w="1414" w:type="dxa"/>
          </w:tcPr>
          <w:p w14:paraId="0FADC7C3" w14:textId="77777777" w:rsidR="00113E54" w:rsidRDefault="00113E54" w:rsidP="00114674"/>
        </w:tc>
        <w:tc>
          <w:tcPr>
            <w:tcW w:w="1414" w:type="dxa"/>
          </w:tcPr>
          <w:p w14:paraId="18D5397E" w14:textId="77777777" w:rsidR="00113E54" w:rsidRDefault="00113E54" w:rsidP="00114674"/>
        </w:tc>
      </w:tr>
      <w:tr w:rsidR="00113E54" w14:paraId="2EB7337C" w14:textId="77777777" w:rsidTr="00114674">
        <w:tc>
          <w:tcPr>
            <w:tcW w:w="1101" w:type="dxa"/>
          </w:tcPr>
          <w:p w14:paraId="177CC74E" w14:textId="77777777" w:rsidR="00113E54" w:rsidRDefault="00113E54" w:rsidP="00114674"/>
        </w:tc>
        <w:tc>
          <w:tcPr>
            <w:tcW w:w="1587" w:type="dxa"/>
          </w:tcPr>
          <w:p w14:paraId="28F6AE10" w14:textId="77777777" w:rsidR="00113E54" w:rsidRDefault="00113E54" w:rsidP="00114674"/>
        </w:tc>
        <w:tc>
          <w:tcPr>
            <w:tcW w:w="1611" w:type="dxa"/>
          </w:tcPr>
          <w:p w14:paraId="1A807488" w14:textId="77777777" w:rsidR="00113E54" w:rsidRDefault="00113E54" w:rsidP="00114674">
            <w:pPr>
              <w:pStyle w:val="Default"/>
              <w:rPr>
                <w:sz w:val="22"/>
                <w:szCs w:val="22"/>
              </w:rPr>
            </w:pPr>
            <w:r>
              <w:rPr>
                <w:sz w:val="22"/>
                <w:szCs w:val="22"/>
              </w:rPr>
              <w:t xml:space="preserve">£350,000 - £399,999 </w:t>
            </w:r>
          </w:p>
        </w:tc>
        <w:tc>
          <w:tcPr>
            <w:tcW w:w="1413" w:type="dxa"/>
          </w:tcPr>
          <w:p w14:paraId="4D033B47" w14:textId="77777777" w:rsidR="00113E54" w:rsidRDefault="00113E54" w:rsidP="00114674"/>
        </w:tc>
        <w:tc>
          <w:tcPr>
            <w:tcW w:w="1405" w:type="dxa"/>
          </w:tcPr>
          <w:p w14:paraId="100603A3" w14:textId="77777777" w:rsidR="00113E54" w:rsidRDefault="00113E54" w:rsidP="00114674"/>
        </w:tc>
        <w:tc>
          <w:tcPr>
            <w:tcW w:w="1411" w:type="dxa"/>
          </w:tcPr>
          <w:p w14:paraId="51C64CD2" w14:textId="77777777" w:rsidR="00113E54" w:rsidRDefault="00113E54" w:rsidP="00114674"/>
        </w:tc>
        <w:tc>
          <w:tcPr>
            <w:tcW w:w="1406" w:type="dxa"/>
          </w:tcPr>
          <w:p w14:paraId="3F7DEE81" w14:textId="77777777" w:rsidR="00113E54" w:rsidRDefault="00113E54" w:rsidP="00114674"/>
        </w:tc>
        <w:tc>
          <w:tcPr>
            <w:tcW w:w="1412" w:type="dxa"/>
          </w:tcPr>
          <w:p w14:paraId="5D339903" w14:textId="77777777" w:rsidR="00113E54" w:rsidRDefault="00113E54" w:rsidP="00114674"/>
        </w:tc>
        <w:tc>
          <w:tcPr>
            <w:tcW w:w="1414" w:type="dxa"/>
          </w:tcPr>
          <w:p w14:paraId="1F81F33D" w14:textId="77777777" w:rsidR="00113E54" w:rsidRDefault="00113E54" w:rsidP="00114674"/>
        </w:tc>
        <w:tc>
          <w:tcPr>
            <w:tcW w:w="1414" w:type="dxa"/>
          </w:tcPr>
          <w:p w14:paraId="575D3B42" w14:textId="77777777" w:rsidR="00113E54" w:rsidRDefault="00113E54" w:rsidP="00114674"/>
        </w:tc>
      </w:tr>
      <w:tr w:rsidR="00113E54" w14:paraId="1DD445CC" w14:textId="77777777" w:rsidTr="00114674">
        <w:tc>
          <w:tcPr>
            <w:tcW w:w="1101" w:type="dxa"/>
          </w:tcPr>
          <w:p w14:paraId="453EF416" w14:textId="77777777" w:rsidR="00113E54" w:rsidRDefault="00113E54" w:rsidP="00114674"/>
        </w:tc>
        <w:tc>
          <w:tcPr>
            <w:tcW w:w="1587" w:type="dxa"/>
          </w:tcPr>
          <w:p w14:paraId="1B26DA3E" w14:textId="77777777" w:rsidR="00113E54" w:rsidRDefault="00113E54" w:rsidP="00114674"/>
        </w:tc>
        <w:tc>
          <w:tcPr>
            <w:tcW w:w="1611" w:type="dxa"/>
          </w:tcPr>
          <w:p w14:paraId="3C8F45BB" w14:textId="77777777" w:rsidR="00113E54" w:rsidRDefault="00113E54" w:rsidP="00114674">
            <w:pPr>
              <w:pStyle w:val="Default"/>
              <w:rPr>
                <w:sz w:val="22"/>
                <w:szCs w:val="22"/>
              </w:rPr>
            </w:pPr>
            <w:r>
              <w:rPr>
                <w:sz w:val="22"/>
                <w:szCs w:val="22"/>
              </w:rPr>
              <w:t xml:space="preserve">£400,000 - £449,999 </w:t>
            </w:r>
          </w:p>
        </w:tc>
        <w:tc>
          <w:tcPr>
            <w:tcW w:w="1413" w:type="dxa"/>
          </w:tcPr>
          <w:p w14:paraId="5F72DC2A" w14:textId="77777777" w:rsidR="00113E54" w:rsidRDefault="00113E54" w:rsidP="00114674"/>
        </w:tc>
        <w:tc>
          <w:tcPr>
            <w:tcW w:w="1405" w:type="dxa"/>
          </w:tcPr>
          <w:p w14:paraId="5475312A" w14:textId="77777777" w:rsidR="00113E54" w:rsidRDefault="00113E54" w:rsidP="00114674"/>
        </w:tc>
        <w:tc>
          <w:tcPr>
            <w:tcW w:w="1411" w:type="dxa"/>
          </w:tcPr>
          <w:p w14:paraId="2EEC0667" w14:textId="77777777" w:rsidR="00113E54" w:rsidRDefault="00113E54" w:rsidP="00114674"/>
        </w:tc>
        <w:tc>
          <w:tcPr>
            <w:tcW w:w="1406" w:type="dxa"/>
          </w:tcPr>
          <w:p w14:paraId="2FBE77B5" w14:textId="77777777" w:rsidR="00113E54" w:rsidRDefault="00113E54" w:rsidP="00114674"/>
        </w:tc>
        <w:tc>
          <w:tcPr>
            <w:tcW w:w="1412" w:type="dxa"/>
          </w:tcPr>
          <w:p w14:paraId="39032FE0" w14:textId="77777777" w:rsidR="00113E54" w:rsidRDefault="00113E54" w:rsidP="00114674"/>
        </w:tc>
        <w:tc>
          <w:tcPr>
            <w:tcW w:w="1414" w:type="dxa"/>
          </w:tcPr>
          <w:p w14:paraId="4A50650A" w14:textId="77777777" w:rsidR="00113E54" w:rsidRDefault="00113E54" w:rsidP="00114674"/>
        </w:tc>
        <w:tc>
          <w:tcPr>
            <w:tcW w:w="1414" w:type="dxa"/>
          </w:tcPr>
          <w:p w14:paraId="0941011C" w14:textId="77777777" w:rsidR="00113E54" w:rsidRDefault="00113E54" w:rsidP="00114674"/>
        </w:tc>
      </w:tr>
      <w:tr w:rsidR="00113E54" w14:paraId="0568926A" w14:textId="77777777" w:rsidTr="00114674">
        <w:tc>
          <w:tcPr>
            <w:tcW w:w="1101" w:type="dxa"/>
          </w:tcPr>
          <w:p w14:paraId="7386668B" w14:textId="77777777" w:rsidR="00113E54" w:rsidRDefault="00113E54" w:rsidP="00114674"/>
        </w:tc>
        <w:tc>
          <w:tcPr>
            <w:tcW w:w="1587" w:type="dxa"/>
          </w:tcPr>
          <w:p w14:paraId="0618CE9F" w14:textId="77777777" w:rsidR="00113E54" w:rsidRDefault="00113E54" w:rsidP="00114674"/>
        </w:tc>
        <w:tc>
          <w:tcPr>
            <w:tcW w:w="1611" w:type="dxa"/>
          </w:tcPr>
          <w:p w14:paraId="00BB6170" w14:textId="77777777" w:rsidR="00113E54" w:rsidRDefault="00113E54" w:rsidP="00114674">
            <w:pPr>
              <w:pStyle w:val="Default"/>
              <w:rPr>
                <w:sz w:val="22"/>
                <w:szCs w:val="22"/>
              </w:rPr>
            </w:pPr>
            <w:r>
              <w:rPr>
                <w:sz w:val="22"/>
                <w:szCs w:val="22"/>
              </w:rPr>
              <w:t xml:space="preserve">£450,000 - £499,999 </w:t>
            </w:r>
          </w:p>
        </w:tc>
        <w:tc>
          <w:tcPr>
            <w:tcW w:w="1413" w:type="dxa"/>
          </w:tcPr>
          <w:p w14:paraId="2F95B797" w14:textId="77777777" w:rsidR="00113E54" w:rsidRDefault="00113E54" w:rsidP="00114674"/>
        </w:tc>
        <w:tc>
          <w:tcPr>
            <w:tcW w:w="1405" w:type="dxa"/>
          </w:tcPr>
          <w:p w14:paraId="1DB0F4A6" w14:textId="77777777" w:rsidR="00113E54" w:rsidRDefault="00113E54" w:rsidP="00114674"/>
        </w:tc>
        <w:tc>
          <w:tcPr>
            <w:tcW w:w="1411" w:type="dxa"/>
          </w:tcPr>
          <w:p w14:paraId="28A64CA6" w14:textId="77777777" w:rsidR="00113E54" w:rsidRDefault="00113E54" w:rsidP="00114674"/>
        </w:tc>
        <w:tc>
          <w:tcPr>
            <w:tcW w:w="1406" w:type="dxa"/>
          </w:tcPr>
          <w:p w14:paraId="0ED75150" w14:textId="77777777" w:rsidR="00113E54" w:rsidRDefault="00113E54" w:rsidP="00114674"/>
        </w:tc>
        <w:tc>
          <w:tcPr>
            <w:tcW w:w="1412" w:type="dxa"/>
          </w:tcPr>
          <w:p w14:paraId="75573374" w14:textId="77777777" w:rsidR="00113E54" w:rsidRDefault="00113E54" w:rsidP="00114674"/>
        </w:tc>
        <w:tc>
          <w:tcPr>
            <w:tcW w:w="1414" w:type="dxa"/>
          </w:tcPr>
          <w:p w14:paraId="2D5DD2FA" w14:textId="77777777" w:rsidR="00113E54" w:rsidRDefault="00113E54" w:rsidP="00114674"/>
        </w:tc>
        <w:tc>
          <w:tcPr>
            <w:tcW w:w="1414" w:type="dxa"/>
          </w:tcPr>
          <w:p w14:paraId="03739D5C" w14:textId="77777777" w:rsidR="00113E54" w:rsidRDefault="00113E54" w:rsidP="00114674"/>
        </w:tc>
      </w:tr>
      <w:tr w:rsidR="00113E54" w14:paraId="539DAB93" w14:textId="77777777" w:rsidTr="00114674">
        <w:tc>
          <w:tcPr>
            <w:tcW w:w="1101" w:type="dxa"/>
          </w:tcPr>
          <w:p w14:paraId="17C5A4A2" w14:textId="77777777" w:rsidR="00113E54" w:rsidRDefault="00113E54" w:rsidP="00114674"/>
        </w:tc>
        <w:tc>
          <w:tcPr>
            <w:tcW w:w="1587" w:type="dxa"/>
          </w:tcPr>
          <w:p w14:paraId="14499034" w14:textId="77777777" w:rsidR="00113E54" w:rsidRDefault="00113E54" w:rsidP="00114674">
            <w:pPr>
              <w:pStyle w:val="Default"/>
              <w:rPr>
                <w:sz w:val="22"/>
                <w:szCs w:val="22"/>
              </w:rPr>
            </w:pPr>
            <w:r>
              <w:rPr>
                <w:sz w:val="22"/>
                <w:szCs w:val="22"/>
              </w:rPr>
              <w:t xml:space="preserve">£500,000 - £999,999 </w:t>
            </w:r>
          </w:p>
        </w:tc>
        <w:tc>
          <w:tcPr>
            <w:tcW w:w="1611" w:type="dxa"/>
          </w:tcPr>
          <w:p w14:paraId="652DDAF4" w14:textId="77777777" w:rsidR="00113E54" w:rsidRDefault="00113E54" w:rsidP="00114674">
            <w:pPr>
              <w:pStyle w:val="Default"/>
              <w:rPr>
                <w:sz w:val="22"/>
                <w:szCs w:val="22"/>
              </w:rPr>
            </w:pPr>
            <w:r>
              <w:rPr>
                <w:sz w:val="22"/>
                <w:szCs w:val="22"/>
              </w:rPr>
              <w:t xml:space="preserve">£500,000 - £599,999 </w:t>
            </w:r>
          </w:p>
        </w:tc>
        <w:tc>
          <w:tcPr>
            <w:tcW w:w="1413" w:type="dxa"/>
          </w:tcPr>
          <w:p w14:paraId="2B35A818" w14:textId="77777777" w:rsidR="00113E54" w:rsidRDefault="00113E54" w:rsidP="00114674"/>
        </w:tc>
        <w:tc>
          <w:tcPr>
            <w:tcW w:w="1405" w:type="dxa"/>
          </w:tcPr>
          <w:p w14:paraId="447E784F" w14:textId="77777777" w:rsidR="00113E54" w:rsidRDefault="00113E54" w:rsidP="00114674"/>
        </w:tc>
        <w:tc>
          <w:tcPr>
            <w:tcW w:w="1411" w:type="dxa"/>
          </w:tcPr>
          <w:p w14:paraId="42DA5580" w14:textId="77777777" w:rsidR="00113E54" w:rsidRDefault="00113E54" w:rsidP="00114674"/>
        </w:tc>
        <w:tc>
          <w:tcPr>
            <w:tcW w:w="1406" w:type="dxa"/>
          </w:tcPr>
          <w:p w14:paraId="4D0EF16E" w14:textId="77777777" w:rsidR="00113E54" w:rsidRDefault="00113E54" w:rsidP="00114674"/>
        </w:tc>
        <w:tc>
          <w:tcPr>
            <w:tcW w:w="1412" w:type="dxa"/>
          </w:tcPr>
          <w:p w14:paraId="5150F24F" w14:textId="77777777" w:rsidR="00113E54" w:rsidRDefault="00113E54" w:rsidP="00114674"/>
        </w:tc>
        <w:tc>
          <w:tcPr>
            <w:tcW w:w="1414" w:type="dxa"/>
          </w:tcPr>
          <w:p w14:paraId="296CA960" w14:textId="77777777" w:rsidR="00113E54" w:rsidRDefault="00113E54" w:rsidP="00114674"/>
        </w:tc>
        <w:tc>
          <w:tcPr>
            <w:tcW w:w="1414" w:type="dxa"/>
          </w:tcPr>
          <w:p w14:paraId="48AA9833" w14:textId="77777777" w:rsidR="00113E54" w:rsidRDefault="00113E54" w:rsidP="00114674"/>
        </w:tc>
      </w:tr>
      <w:tr w:rsidR="00113E54" w14:paraId="73238B3F" w14:textId="77777777" w:rsidTr="00114674">
        <w:tc>
          <w:tcPr>
            <w:tcW w:w="1101" w:type="dxa"/>
          </w:tcPr>
          <w:p w14:paraId="62CC1871" w14:textId="77777777" w:rsidR="00113E54" w:rsidRDefault="00113E54" w:rsidP="00114674"/>
        </w:tc>
        <w:tc>
          <w:tcPr>
            <w:tcW w:w="1587" w:type="dxa"/>
          </w:tcPr>
          <w:p w14:paraId="4AD2926C" w14:textId="77777777" w:rsidR="00113E54" w:rsidRDefault="00113E54" w:rsidP="00114674"/>
        </w:tc>
        <w:tc>
          <w:tcPr>
            <w:tcW w:w="1611" w:type="dxa"/>
          </w:tcPr>
          <w:p w14:paraId="0B481E3E" w14:textId="77777777" w:rsidR="00113E54" w:rsidRDefault="00113E54" w:rsidP="00114674">
            <w:pPr>
              <w:pStyle w:val="Default"/>
              <w:rPr>
                <w:sz w:val="22"/>
                <w:szCs w:val="22"/>
              </w:rPr>
            </w:pPr>
            <w:r>
              <w:rPr>
                <w:sz w:val="22"/>
                <w:szCs w:val="22"/>
              </w:rPr>
              <w:t xml:space="preserve">£600,000 - £699,999 </w:t>
            </w:r>
          </w:p>
        </w:tc>
        <w:tc>
          <w:tcPr>
            <w:tcW w:w="1413" w:type="dxa"/>
          </w:tcPr>
          <w:p w14:paraId="68BCDE4D" w14:textId="77777777" w:rsidR="00113E54" w:rsidRDefault="00113E54" w:rsidP="00114674"/>
        </w:tc>
        <w:tc>
          <w:tcPr>
            <w:tcW w:w="1405" w:type="dxa"/>
          </w:tcPr>
          <w:p w14:paraId="30A92F80" w14:textId="77777777" w:rsidR="00113E54" w:rsidRDefault="00113E54" w:rsidP="00114674"/>
        </w:tc>
        <w:tc>
          <w:tcPr>
            <w:tcW w:w="1411" w:type="dxa"/>
          </w:tcPr>
          <w:p w14:paraId="6590212E" w14:textId="77777777" w:rsidR="00113E54" w:rsidRDefault="00113E54" w:rsidP="00114674"/>
        </w:tc>
        <w:tc>
          <w:tcPr>
            <w:tcW w:w="1406" w:type="dxa"/>
          </w:tcPr>
          <w:p w14:paraId="6555E030" w14:textId="77777777" w:rsidR="00113E54" w:rsidRDefault="00113E54" w:rsidP="00114674"/>
        </w:tc>
        <w:tc>
          <w:tcPr>
            <w:tcW w:w="1412" w:type="dxa"/>
          </w:tcPr>
          <w:p w14:paraId="2A8682A8" w14:textId="77777777" w:rsidR="00113E54" w:rsidRDefault="00113E54" w:rsidP="00114674"/>
        </w:tc>
        <w:tc>
          <w:tcPr>
            <w:tcW w:w="1414" w:type="dxa"/>
          </w:tcPr>
          <w:p w14:paraId="054F2C1E" w14:textId="77777777" w:rsidR="00113E54" w:rsidRDefault="00113E54" w:rsidP="00114674"/>
        </w:tc>
        <w:tc>
          <w:tcPr>
            <w:tcW w:w="1414" w:type="dxa"/>
          </w:tcPr>
          <w:p w14:paraId="495C4082" w14:textId="77777777" w:rsidR="00113E54" w:rsidRDefault="00113E54" w:rsidP="00114674"/>
        </w:tc>
      </w:tr>
      <w:tr w:rsidR="00113E54" w14:paraId="18AB01CC" w14:textId="77777777" w:rsidTr="00114674">
        <w:tc>
          <w:tcPr>
            <w:tcW w:w="1101" w:type="dxa"/>
          </w:tcPr>
          <w:p w14:paraId="35A1EFCA" w14:textId="77777777" w:rsidR="00113E54" w:rsidRDefault="00113E54" w:rsidP="00114674"/>
        </w:tc>
        <w:tc>
          <w:tcPr>
            <w:tcW w:w="1587" w:type="dxa"/>
          </w:tcPr>
          <w:p w14:paraId="2078F49F" w14:textId="77777777" w:rsidR="00113E54" w:rsidRDefault="00113E54" w:rsidP="00114674"/>
        </w:tc>
        <w:tc>
          <w:tcPr>
            <w:tcW w:w="1611" w:type="dxa"/>
          </w:tcPr>
          <w:p w14:paraId="5B4D423D" w14:textId="77777777" w:rsidR="00113E54" w:rsidRDefault="00113E54" w:rsidP="00114674">
            <w:pPr>
              <w:pStyle w:val="Default"/>
              <w:rPr>
                <w:sz w:val="22"/>
                <w:szCs w:val="22"/>
              </w:rPr>
            </w:pPr>
            <w:r>
              <w:rPr>
                <w:sz w:val="22"/>
                <w:szCs w:val="22"/>
              </w:rPr>
              <w:t xml:space="preserve">£700,000 - £799,999 </w:t>
            </w:r>
          </w:p>
        </w:tc>
        <w:tc>
          <w:tcPr>
            <w:tcW w:w="1413" w:type="dxa"/>
          </w:tcPr>
          <w:p w14:paraId="3DF30D21" w14:textId="77777777" w:rsidR="00113E54" w:rsidRDefault="00113E54" w:rsidP="00114674"/>
        </w:tc>
        <w:tc>
          <w:tcPr>
            <w:tcW w:w="1405" w:type="dxa"/>
          </w:tcPr>
          <w:p w14:paraId="304B8534" w14:textId="77777777" w:rsidR="00113E54" w:rsidRDefault="00113E54" w:rsidP="00114674"/>
        </w:tc>
        <w:tc>
          <w:tcPr>
            <w:tcW w:w="1411" w:type="dxa"/>
          </w:tcPr>
          <w:p w14:paraId="5C41EA0A" w14:textId="77777777" w:rsidR="00113E54" w:rsidRDefault="00113E54" w:rsidP="00114674"/>
        </w:tc>
        <w:tc>
          <w:tcPr>
            <w:tcW w:w="1406" w:type="dxa"/>
          </w:tcPr>
          <w:p w14:paraId="67BC6CC7" w14:textId="77777777" w:rsidR="00113E54" w:rsidRDefault="00113E54" w:rsidP="00114674"/>
        </w:tc>
        <w:tc>
          <w:tcPr>
            <w:tcW w:w="1412" w:type="dxa"/>
          </w:tcPr>
          <w:p w14:paraId="42A604C1" w14:textId="77777777" w:rsidR="00113E54" w:rsidRDefault="00113E54" w:rsidP="00114674"/>
        </w:tc>
        <w:tc>
          <w:tcPr>
            <w:tcW w:w="1414" w:type="dxa"/>
          </w:tcPr>
          <w:p w14:paraId="7611409E" w14:textId="77777777" w:rsidR="00113E54" w:rsidRDefault="00113E54" w:rsidP="00114674"/>
        </w:tc>
        <w:tc>
          <w:tcPr>
            <w:tcW w:w="1414" w:type="dxa"/>
          </w:tcPr>
          <w:p w14:paraId="0EE8EBCE" w14:textId="77777777" w:rsidR="00113E54" w:rsidRDefault="00113E54" w:rsidP="00114674"/>
        </w:tc>
      </w:tr>
      <w:tr w:rsidR="00113E54" w14:paraId="216C4B62" w14:textId="77777777" w:rsidTr="00114674">
        <w:tc>
          <w:tcPr>
            <w:tcW w:w="1101" w:type="dxa"/>
          </w:tcPr>
          <w:p w14:paraId="7370BF48" w14:textId="77777777" w:rsidR="00113E54" w:rsidRDefault="00113E54" w:rsidP="00114674"/>
        </w:tc>
        <w:tc>
          <w:tcPr>
            <w:tcW w:w="1587" w:type="dxa"/>
          </w:tcPr>
          <w:p w14:paraId="476714A2" w14:textId="77777777" w:rsidR="00113E54" w:rsidRDefault="00113E54" w:rsidP="00114674"/>
        </w:tc>
        <w:tc>
          <w:tcPr>
            <w:tcW w:w="1611" w:type="dxa"/>
          </w:tcPr>
          <w:p w14:paraId="588F5ED8" w14:textId="77777777" w:rsidR="00113E54" w:rsidRDefault="00113E54" w:rsidP="00114674">
            <w:pPr>
              <w:pStyle w:val="Default"/>
              <w:rPr>
                <w:sz w:val="22"/>
                <w:szCs w:val="22"/>
              </w:rPr>
            </w:pPr>
            <w:r>
              <w:rPr>
                <w:sz w:val="22"/>
                <w:szCs w:val="22"/>
              </w:rPr>
              <w:t xml:space="preserve">£800,000 - £899,999 </w:t>
            </w:r>
          </w:p>
        </w:tc>
        <w:tc>
          <w:tcPr>
            <w:tcW w:w="1413" w:type="dxa"/>
          </w:tcPr>
          <w:p w14:paraId="0F367610" w14:textId="77777777" w:rsidR="00113E54" w:rsidRDefault="00113E54" w:rsidP="00114674"/>
        </w:tc>
        <w:tc>
          <w:tcPr>
            <w:tcW w:w="1405" w:type="dxa"/>
          </w:tcPr>
          <w:p w14:paraId="375C0560" w14:textId="77777777" w:rsidR="00113E54" w:rsidRDefault="00113E54" w:rsidP="00114674"/>
        </w:tc>
        <w:tc>
          <w:tcPr>
            <w:tcW w:w="1411" w:type="dxa"/>
          </w:tcPr>
          <w:p w14:paraId="60470B3D" w14:textId="77777777" w:rsidR="00113E54" w:rsidRDefault="00113E54" w:rsidP="00114674"/>
        </w:tc>
        <w:tc>
          <w:tcPr>
            <w:tcW w:w="1406" w:type="dxa"/>
          </w:tcPr>
          <w:p w14:paraId="20871B6C" w14:textId="77777777" w:rsidR="00113E54" w:rsidRDefault="00113E54" w:rsidP="00114674"/>
        </w:tc>
        <w:tc>
          <w:tcPr>
            <w:tcW w:w="1412" w:type="dxa"/>
          </w:tcPr>
          <w:p w14:paraId="7A33C62A" w14:textId="77777777" w:rsidR="00113E54" w:rsidRDefault="00113E54" w:rsidP="00114674"/>
        </w:tc>
        <w:tc>
          <w:tcPr>
            <w:tcW w:w="1414" w:type="dxa"/>
          </w:tcPr>
          <w:p w14:paraId="2F46217C" w14:textId="77777777" w:rsidR="00113E54" w:rsidRDefault="00113E54" w:rsidP="00114674"/>
        </w:tc>
        <w:tc>
          <w:tcPr>
            <w:tcW w:w="1414" w:type="dxa"/>
          </w:tcPr>
          <w:p w14:paraId="307F5F00" w14:textId="77777777" w:rsidR="00113E54" w:rsidRDefault="00113E54" w:rsidP="00114674"/>
        </w:tc>
      </w:tr>
      <w:tr w:rsidR="00113E54" w14:paraId="4B0F8080" w14:textId="77777777" w:rsidTr="00114674">
        <w:tc>
          <w:tcPr>
            <w:tcW w:w="1101" w:type="dxa"/>
          </w:tcPr>
          <w:p w14:paraId="5294B3E9" w14:textId="77777777" w:rsidR="00113E54" w:rsidRDefault="00113E54" w:rsidP="00114674"/>
        </w:tc>
        <w:tc>
          <w:tcPr>
            <w:tcW w:w="1587" w:type="dxa"/>
          </w:tcPr>
          <w:p w14:paraId="2DC6CC29" w14:textId="77777777" w:rsidR="00113E54" w:rsidRDefault="00113E54" w:rsidP="00114674"/>
        </w:tc>
        <w:tc>
          <w:tcPr>
            <w:tcW w:w="1611" w:type="dxa"/>
          </w:tcPr>
          <w:p w14:paraId="3E93048E" w14:textId="77777777" w:rsidR="00113E54" w:rsidRDefault="00113E54" w:rsidP="00114674">
            <w:pPr>
              <w:pStyle w:val="Default"/>
              <w:rPr>
                <w:sz w:val="22"/>
                <w:szCs w:val="22"/>
              </w:rPr>
            </w:pPr>
            <w:r>
              <w:rPr>
                <w:sz w:val="22"/>
                <w:szCs w:val="22"/>
              </w:rPr>
              <w:t xml:space="preserve">£900,000 - £999,999 </w:t>
            </w:r>
          </w:p>
        </w:tc>
        <w:tc>
          <w:tcPr>
            <w:tcW w:w="1413" w:type="dxa"/>
          </w:tcPr>
          <w:p w14:paraId="29229640" w14:textId="77777777" w:rsidR="00113E54" w:rsidRDefault="00113E54" w:rsidP="00114674"/>
        </w:tc>
        <w:tc>
          <w:tcPr>
            <w:tcW w:w="1405" w:type="dxa"/>
          </w:tcPr>
          <w:p w14:paraId="2EEAE6D9" w14:textId="77777777" w:rsidR="00113E54" w:rsidRDefault="00113E54" w:rsidP="00114674"/>
        </w:tc>
        <w:tc>
          <w:tcPr>
            <w:tcW w:w="1411" w:type="dxa"/>
          </w:tcPr>
          <w:p w14:paraId="04A6E542" w14:textId="77777777" w:rsidR="00113E54" w:rsidRDefault="00113E54" w:rsidP="00114674"/>
        </w:tc>
        <w:tc>
          <w:tcPr>
            <w:tcW w:w="1406" w:type="dxa"/>
          </w:tcPr>
          <w:p w14:paraId="11B5C0F6" w14:textId="77777777" w:rsidR="00113E54" w:rsidRDefault="00113E54" w:rsidP="00114674"/>
        </w:tc>
        <w:tc>
          <w:tcPr>
            <w:tcW w:w="1412" w:type="dxa"/>
          </w:tcPr>
          <w:p w14:paraId="04B868C0" w14:textId="77777777" w:rsidR="00113E54" w:rsidRDefault="00113E54" w:rsidP="00114674"/>
        </w:tc>
        <w:tc>
          <w:tcPr>
            <w:tcW w:w="1414" w:type="dxa"/>
          </w:tcPr>
          <w:p w14:paraId="319736E3" w14:textId="77777777" w:rsidR="00113E54" w:rsidRDefault="00113E54" w:rsidP="00114674"/>
        </w:tc>
        <w:tc>
          <w:tcPr>
            <w:tcW w:w="1414" w:type="dxa"/>
          </w:tcPr>
          <w:p w14:paraId="11217198" w14:textId="77777777" w:rsidR="00113E54" w:rsidRDefault="00113E54" w:rsidP="00114674"/>
        </w:tc>
      </w:tr>
      <w:tr w:rsidR="00113E54" w14:paraId="7D707FEA" w14:textId="77777777" w:rsidTr="00114674">
        <w:tc>
          <w:tcPr>
            <w:tcW w:w="1101" w:type="dxa"/>
          </w:tcPr>
          <w:p w14:paraId="2CC195C1" w14:textId="77777777" w:rsidR="00113E54" w:rsidRDefault="00113E54" w:rsidP="00114674"/>
        </w:tc>
        <w:tc>
          <w:tcPr>
            <w:tcW w:w="1587" w:type="dxa"/>
          </w:tcPr>
          <w:p w14:paraId="199ACC21" w14:textId="77777777" w:rsidR="00113E54" w:rsidRDefault="00113E54" w:rsidP="00114674">
            <w:pPr>
              <w:pStyle w:val="Default"/>
              <w:rPr>
                <w:sz w:val="22"/>
                <w:szCs w:val="22"/>
              </w:rPr>
            </w:pPr>
            <w:r>
              <w:rPr>
                <w:sz w:val="22"/>
                <w:szCs w:val="22"/>
              </w:rPr>
              <w:t xml:space="preserve">£1m - £2,999,999&gt; </w:t>
            </w:r>
          </w:p>
        </w:tc>
        <w:tc>
          <w:tcPr>
            <w:tcW w:w="1611" w:type="dxa"/>
          </w:tcPr>
          <w:p w14:paraId="6295DE9C" w14:textId="77777777" w:rsidR="00113E54" w:rsidRDefault="00113E54" w:rsidP="00114674">
            <w:pPr>
              <w:pStyle w:val="Default"/>
              <w:rPr>
                <w:sz w:val="22"/>
                <w:szCs w:val="22"/>
              </w:rPr>
            </w:pPr>
            <w:r>
              <w:rPr>
                <w:sz w:val="22"/>
                <w:szCs w:val="22"/>
              </w:rPr>
              <w:t xml:space="preserve">£1,000,000 - £1,499,999 </w:t>
            </w:r>
          </w:p>
        </w:tc>
        <w:tc>
          <w:tcPr>
            <w:tcW w:w="1413" w:type="dxa"/>
          </w:tcPr>
          <w:p w14:paraId="2A89F199" w14:textId="77777777" w:rsidR="00113E54" w:rsidRDefault="00113E54" w:rsidP="00114674"/>
        </w:tc>
        <w:tc>
          <w:tcPr>
            <w:tcW w:w="1405" w:type="dxa"/>
          </w:tcPr>
          <w:p w14:paraId="090635C7" w14:textId="77777777" w:rsidR="00113E54" w:rsidRDefault="00113E54" w:rsidP="00114674"/>
        </w:tc>
        <w:tc>
          <w:tcPr>
            <w:tcW w:w="1411" w:type="dxa"/>
          </w:tcPr>
          <w:p w14:paraId="4E49D9CD" w14:textId="77777777" w:rsidR="00113E54" w:rsidRDefault="00113E54" w:rsidP="00114674"/>
        </w:tc>
        <w:tc>
          <w:tcPr>
            <w:tcW w:w="1406" w:type="dxa"/>
          </w:tcPr>
          <w:p w14:paraId="02356465" w14:textId="77777777" w:rsidR="00113E54" w:rsidRDefault="00113E54" w:rsidP="00114674"/>
        </w:tc>
        <w:tc>
          <w:tcPr>
            <w:tcW w:w="1412" w:type="dxa"/>
          </w:tcPr>
          <w:p w14:paraId="55591EC7" w14:textId="77777777" w:rsidR="00113E54" w:rsidRDefault="00113E54" w:rsidP="00114674"/>
        </w:tc>
        <w:tc>
          <w:tcPr>
            <w:tcW w:w="1414" w:type="dxa"/>
          </w:tcPr>
          <w:p w14:paraId="56FE98F4" w14:textId="77777777" w:rsidR="00113E54" w:rsidRDefault="00113E54" w:rsidP="00114674"/>
        </w:tc>
        <w:tc>
          <w:tcPr>
            <w:tcW w:w="1414" w:type="dxa"/>
          </w:tcPr>
          <w:p w14:paraId="003E9F43" w14:textId="77777777" w:rsidR="00113E54" w:rsidRDefault="00113E54" w:rsidP="00114674"/>
        </w:tc>
      </w:tr>
      <w:tr w:rsidR="00113E54" w14:paraId="38605B04" w14:textId="77777777" w:rsidTr="00114674">
        <w:tc>
          <w:tcPr>
            <w:tcW w:w="1101" w:type="dxa"/>
          </w:tcPr>
          <w:p w14:paraId="5FE82526" w14:textId="77777777" w:rsidR="00113E54" w:rsidRDefault="00113E54" w:rsidP="00114674"/>
        </w:tc>
        <w:tc>
          <w:tcPr>
            <w:tcW w:w="1587" w:type="dxa"/>
          </w:tcPr>
          <w:p w14:paraId="67E615AB" w14:textId="77777777" w:rsidR="00113E54" w:rsidRDefault="00113E54" w:rsidP="00114674"/>
        </w:tc>
        <w:tc>
          <w:tcPr>
            <w:tcW w:w="1611" w:type="dxa"/>
          </w:tcPr>
          <w:p w14:paraId="00DA2C6C" w14:textId="77777777" w:rsidR="00113E54" w:rsidRDefault="00113E54" w:rsidP="00114674">
            <w:pPr>
              <w:pStyle w:val="Default"/>
              <w:rPr>
                <w:sz w:val="22"/>
                <w:szCs w:val="22"/>
              </w:rPr>
            </w:pPr>
            <w:r>
              <w:rPr>
                <w:sz w:val="22"/>
                <w:szCs w:val="22"/>
              </w:rPr>
              <w:t xml:space="preserve">£1,500,000 - £1,999,999 </w:t>
            </w:r>
          </w:p>
        </w:tc>
        <w:tc>
          <w:tcPr>
            <w:tcW w:w="1413" w:type="dxa"/>
          </w:tcPr>
          <w:p w14:paraId="4CE6E2E8" w14:textId="77777777" w:rsidR="00113E54" w:rsidRDefault="00113E54" w:rsidP="00114674"/>
        </w:tc>
        <w:tc>
          <w:tcPr>
            <w:tcW w:w="1405" w:type="dxa"/>
          </w:tcPr>
          <w:p w14:paraId="509BB68C" w14:textId="77777777" w:rsidR="00113E54" w:rsidRDefault="00113E54" w:rsidP="00114674"/>
        </w:tc>
        <w:tc>
          <w:tcPr>
            <w:tcW w:w="1411" w:type="dxa"/>
          </w:tcPr>
          <w:p w14:paraId="00B6FD1E" w14:textId="77777777" w:rsidR="00113E54" w:rsidRDefault="00113E54" w:rsidP="00114674"/>
        </w:tc>
        <w:tc>
          <w:tcPr>
            <w:tcW w:w="1406" w:type="dxa"/>
          </w:tcPr>
          <w:p w14:paraId="07191CBA" w14:textId="77777777" w:rsidR="00113E54" w:rsidRDefault="00113E54" w:rsidP="00114674"/>
        </w:tc>
        <w:tc>
          <w:tcPr>
            <w:tcW w:w="1412" w:type="dxa"/>
          </w:tcPr>
          <w:p w14:paraId="696FC138" w14:textId="77777777" w:rsidR="00113E54" w:rsidRDefault="00113E54" w:rsidP="00114674"/>
        </w:tc>
        <w:tc>
          <w:tcPr>
            <w:tcW w:w="1414" w:type="dxa"/>
          </w:tcPr>
          <w:p w14:paraId="7F5468C7" w14:textId="77777777" w:rsidR="00113E54" w:rsidRDefault="00113E54" w:rsidP="00114674"/>
        </w:tc>
        <w:tc>
          <w:tcPr>
            <w:tcW w:w="1414" w:type="dxa"/>
          </w:tcPr>
          <w:p w14:paraId="6444A44F" w14:textId="77777777" w:rsidR="00113E54" w:rsidRDefault="00113E54" w:rsidP="00114674"/>
        </w:tc>
      </w:tr>
      <w:tr w:rsidR="00113E54" w14:paraId="6F8E116D" w14:textId="77777777" w:rsidTr="00114674">
        <w:tc>
          <w:tcPr>
            <w:tcW w:w="1101" w:type="dxa"/>
          </w:tcPr>
          <w:p w14:paraId="63908D01" w14:textId="77777777" w:rsidR="00113E54" w:rsidRDefault="00113E54" w:rsidP="00114674"/>
        </w:tc>
        <w:tc>
          <w:tcPr>
            <w:tcW w:w="1587" w:type="dxa"/>
          </w:tcPr>
          <w:p w14:paraId="3B7E566D" w14:textId="77777777" w:rsidR="00113E54" w:rsidRDefault="00113E54" w:rsidP="00114674"/>
        </w:tc>
        <w:tc>
          <w:tcPr>
            <w:tcW w:w="1611" w:type="dxa"/>
          </w:tcPr>
          <w:p w14:paraId="78C65F1F" w14:textId="77777777" w:rsidR="00113E54" w:rsidRDefault="00113E54" w:rsidP="00114674">
            <w:pPr>
              <w:pStyle w:val="Default"/>
              <w:rPr>
                <w:sz w:val="22"/>
                <w:szCs w:val="22"/>
              </w:rPr>
            </w:pPr>
            <w:r>
              <w:rPr>
                <w:sz w:val="22"/>
                <w:szCs w:val="22"/>
              </w:rPr>
              <w:t xml:space="preserve">£2,000,000 - £2,499,999 </w:t>
            </w:r>
          </w:p>
        </w:tc>
        <w:tc>
          <w:tcPr>
            <w:tcW w:w="1413" w:type="dxa"/>
          </w:tcPr>
          <w:p w14:paraId="6D3C2C0F" w14:textId="77777777" w:rsidR="00113E54" w:rsidRDefault="00113E54" w:rsidP="00114674"/>
        </w:tc>
        <w:tc>
          <w:tcPr>
            <w:tcW w:w="1405" w:type="dxa"/>
          </w:tcPr>
          <w:p w14:paraId="387328C5" w14:textId="77777777" w:rsidR="00113E54" w:rsidRDefault="00113E54" w:rsidP="00114674"/>
        </w:tc>
        <w:tc>
          <w:tcPr>
            <w:tcW w:w="1411" w:type="dxa"/>
          </w:tcPr>
          <w:p w14:paraId="34EFE801" w14:textId="77777777" w:rsidR="00113E54" w:rsidRDefault="00113E54" w:rsidP="00114674"/>
        </w:tc>
        <w:tc>
          <w:tcPr>
            <w:tcW w:w="1406" w:type="dxa"/>
          </w:tcPr>
          <w:p w14:paraId="72A4516A" w14:textId="77777777" w:rsidR="00113E54" w:rsidRDefault="00113E54" w:rsidP="00114674"/>
        </w:tc>
        <w:tc>
          <w:tcPr>
            <w:tcW w:w="1412" w:type="dxa"/>
          </w:tcPr>
          <w:p w14:paraId="24D454A8" w14:textId="77777777" w:rsidR="00113E54" w:rsidRDefault="00113E54" w:rsidP="00114674"/>
        </w:tc>
        <w:tc>
          <w:tcPr>
            <w:tcW w:w="1414" w:type="dxa"/>
          </w:tcPr>
          <w:p w14:paraId="00C08255" w14:textId="77777777" w:rsidR="00113E54" w:rsidRDefault="00113E54" w:rsidP="00114674"/>
        </w:tc>
        <w:tc>
          <w:tcPr>
            <w:tcW w:w="1414" w:type="dxa"/>
          </w:tcPr>
          <w:p w14:paraId="7454AD6D" w14:textId="77777777" w:rsidR="00113E54" w:rsidRDefault="00113E54" w:rsidP="00114674"/>
        </w:tc>
      </w:tr>
      <w:tr w:rsidR="00113E54" w14:paraId="29DEEA58" w14:textId="77777777" w:rsidTr="00114674">
        <w:tc>
          <w:tcPr>
            <w:tcW w:w="1101" w:type="dxa"/>
          </w:tcPr>
          <w:p w14:paraId="383F7E74" w14:textId="77777777" w:rsidR="00113E54" w:rsidRDefault="00113E54" w:rsidP="00114674"/>
        </w:tc>
        <w:tc>
          <w:tcPr>
            <w:tcW w:w="1587" w:type="dxa"/>
          </w:tcPr>
          <w:p w14:paraId="76E30BB8" w14:textId="77777777" w:rsidR="00113E54" w:rsidRDefault="00113E54" w:rsidP="00114674"/>
        </w:tc>
        <w:tc>
          <w:tcPr>
            <w:tcW w:w="1611" w:type="dxa"/>
          </w:tcPr>
          <w:p w14:paraId="7F457B0A" w14:textId="77777777" w:rsidR="00113E54" w:rsidRDefault="00113E54" w:rsidP="00114674">
            <w:pPr>
              <w:pStyle w:val="Default"/>
              <w:rPr>
                <w:sz w:val="22"/>
                <w:szCs w:val="22"/>
              </w:rPr>
            </w:pPr>
            <w:r>
              <w:rPr>
                <w:sz w:val="22"/>
                <w:szCs w:val="22"/>
              </w:rPr>
              <w:t xml:space="preserve">£2,500,000 - £2,999,999 </w:t>
            </w:r>
          </w:p>
        </w:tc>
        <w:tc>
          <w:tcPr>
            <w:tcW w:w="1413" w:type="dxa"/>
          </w:tcPr>
          <w:p w14:paraId="278E2FBC" w14:textId="77777777" w:rsidR="00113E54" w:rsidRDefault="00113E54" w:rsidP="00114674"/>
        </w:tc>
        <w:tc>
          <w:tcPr>
            <w:tcW w:w="1405" w:type="dxa"/>
          </w:tcPr>
          <w:p w14:paraId="14CA17F1" w14:textId="77777777" w:rsidR="00113E54" w:rsidRDefault="00113E54" w:rsidP="00114674"/>
        </w:tc>
        <w:tc>
          <w:tcPr>
            <w:tcW w:w="1411" w:type="dxa"/>
          </w:tcPr>
          <w:p w14:paraId="28052775" w14:textId="77777777" w:rsidR="00113E54" w:rsidRDefault="00113E54" w:rsidP="00114674"/>
        </w:tc>
        <w:tc>
          <w:tcPr>
            <w:tcW w:w="1406" w:type="dxa"/>
          </w:tcPr>
          <w:p w14:paraId="68C7821A" w14:textId="77777777" w:rsidR="00113E54" w:rsidRDefault="00113E54" w:rsidP="00114674"/>
        </w:tc>
        <w:tc>
          <w:tcPr>
            <w:tcW w:w="1412" w:type="dxa"/>
          </w:tcPr>
          <w:p w14:paraId="48D70E0A" w14:textId="77777777" w:rsidR="00113E54" w:rsidRDefault="00113E54" w:rsidP="00114674"/>
        </w:tc>
        <w:tc>
          <w:tcPr>
            <w:tcW w:w="1414" w:type="dxa"/>
          </w:tcPr>
          <w:p w14:paraId="7D42735D" w14:textId="77777777" w:rsidR="00113E54" w:rsidRDefault="00113E54" w:rsidP="00114674"/>
        </w:tc>
        <w:tc>
          <w:tcPr>
            <w:tcW w:w="1414" w:type="dxa"/>
          </w:tcPr>
          <w:p w14:paraId="7950BFE7" w14:textId="77777777" w:rsidR="00113E54" w:rsidRDefault="00113E54" w:rsidP="00114674"/>
        </w:tc>
      </w:tr>
      <w:tr w:rsidR="00113E54" w14:paraId="2B610243" w14:textId="77777777" w:rsidTr="00114674">
        <w:tc>
          <w:tcPr>
            <w:tcW w:w="1101" w:type="dxa"/>
          </w:tcPr>
          <w:p w14:paraId="67D0FB52" w14:textId="77777777" w:rsidR="00113E54" w:rsidRDefault="00113E54" w:rsidP="00114674"/>
        </w:tc>
        <w:tc>
          <w:tcPr>
            <w:tcW w:w="1587" w:type="dxa"/>
          </w:tcPr>
          <w:p w14:paraId="57467252" w14:textId="77777777" w:rsidR="00113E54" w:rsidRDefault="00113E54" w:rsidP="00114674"/>
        </w:tc>
        <w:tc>
          <w:tcPr>
            <w:tcW w:w="1611" w:type="dxa"/>
          </w:tcPr>
          <w:p w14:paraId="449CA575" w14:textId="77777777" w:rsidR="00113E54" w:rsidRDefault="00113E54" w:rsidP="00114674">
            <w:pPr>
              <w:pStyle w:val="Default"/>
              <w:rPr>
                <w:sz w:val="22"/>
                <w:szCs w:val="22"/>
              </w:rPr>
            </w:pPr>
            <w:r>
              <w:rPr>
                <w:sz w:val="22"/>
                <w:szCs w:val="22"/>
              </w:rPr>
              <w:t xml:space="preserve">£3,000,000&gt; </w:t>
            </w:r>
          </w:p>
        </w:tc>
        <w:tc>
          <w:tcPr>
            <w:tcW w:w="1413" w:type="dxa"/>
          </w:tcPr>
          <w:p w14:paraId="48844209" w14:textId="77777777" w:rsidR="00113E54" w:rsidRDefault="00113E54" w:rsidP="00114674"/>
        </w:tc>
        <w:tc>
          <w:tcPr>
            <w:tcW w:w="1405" w:type="dxa"/>
          </w:tcPr>
          <w:p w14:paraId="14E62685" w14:textId="77777777" w:rsidR="00113E54" w:rsidRDefault="00113E54" w:rsidP="00114674"/>
        </w:tc>
        <w:tc>
          <w:tcPr>
            <w:tcW w:w="1411" w:type="dxa"/>
          </w:tcPr>
          <w:p w14:paraId="5C606839" w14:textId="77777777" w:rsidR="00113E54" w:rsidRDefault="00113E54" w:rsidP="00114674"/>
        </w:tc>
        <w:tc>
          <w:tcPr>
            <w:tcW w:w="1406" w:type="dxa"/>
          </w:tcPr>
          <w:p w14:paraId="798B3D7A" w14:textId="77777777" w:rsidR="00113E54" w:rsidRDefault="00113E54" w:rsidP="00114674"/>
        </w:tc>
        <w:tc>
          <w:tcPr>
            <w:tcW w:w="1412" w:type="dxa"/>
          </w:tcPr>
          <w:p w14:paraId="6DC26B4D" w14:textId="77777777" w:rsidR="00113E54" w:rsidRDefault="00113E54" w:rsidP="00114674"/>
        </w:tc>
        <w:tc>
          <w:tcPr>
            <w:tcW w:w="1414" w:type="dxa"/>
          </w:tcPr>
          <w:p w14:paraId="569B5E16" w14:textId="77777777" w:rsidR="00113E54" w:rsidRDefault="00113E54" w:rsidP="00114674"/>
        </w:tc>
        <w:tc>
          <w:tcPr>
            <w:tcW w:w="1414" w:type="dxa"/>
          </w:tcPr>
          <w:p w14:paraId="2175483D" w14:textId="77777777" w:rsidR="00113E54" w:rsidRDefault="00113E54" w:rsidP="00114674"/>
        </w:tc>
      </w:tr>
    </w:tbl>
    <w:p w14:paraId="43A07D5C" w14:textId="77777777" w:rsidR="00113E54" w:rsidRDefault="00113E54" w:rsidP="00113E54"/>
    <w:p w14:paraId="7B246191" w14:textId="77777777" w:rsidR="00113E54" w:rsidRDefault="00113E54">
      <w:pPr>
        <w:widowControl/>
        <w:spacing w:before="0" w:after="0"/>
        <w:rPr>
          <w:sz w:val="24"/>
          <w:szCs w:val="24"/>
        </w:rPr>
      </w:pPr>
    </w:p>
    <w:p w14:paraId="778F8BAE" w14:textId="277A08C9" w:rsidR="00DC41B2" w:rsidRDefault="00DC41B2">
      <w:pPr>
        <w:widowControl/>
        <w:spacing w:before="0" w:after="0"/>
        <w:rPr>
          <w:sz w:val="24"/>
          <w:szCs w:val="24"/>
        </w:rPr>
      </w:pPr>
      <w:r>
        <w:rPr>
          <w:sz w:val="24"/>
          <w:szCs w:val="24"/>
        </w:rPr>
        <w:br w:type="page"/>
      </w:r>
    </w:p>
    <w:p w14:paraId="5A754861" w14:textId="77777777" w:rsidR="00DC41B2" w:rsidRDefault="00DC41B2" w:rsidP="00DC41B2">
      <w:pPr>
        <w:pStyle w:val="Heading2"/>
      </w:pPr>
      <w:bookmarkStart w:id="27" w:name="_Toc421280180"/>
      <w:bookmarkStart w:id="28" w:name="parking"/>
      <w:r>
        <w:lastRenderedPageBreak/>
        <w:t>Parking template</w:t>
      </w:r>
      <w:bookmarkEnd w:id="27"/>
    </w:p>
    <w:bookmarkEnd w:id="28"/>
    <w:p w14:paraId="24DD85CC" w14:textId="55E33A33" w:rsidR="00A269C9" w:rsidRDefault="00DC41B2" w:rsidP="00DC41B2">
      <w:pPr>
        <w:pStyle w:val="FootnoteText"/>
        <w:rPr>
          <w:rFonts w:ascii="Arial" w:hAnsi="Arial"/>
          <w:sz w:val="22"/>
          <w:szCs w:val="22"/>
        </w:rPr>
      </w:pPr>
      <w:r>
        <w:rPr>
          <w:rFonts w:ascii="Arial" w:hAnsi="Arial"/>
          <w:sz w:val="22"/>
          <w:szCs w:val="22"/>
        </w:rPr>
        <w:t xml:space="preserve">The parking template displays the fields that must, should or could be used (as appropriate) when publishing parking data. Where a particular </w:t>
      </w:r>
      <w:r w:rsidR="00830AE4">
        <w:rPr>
          <w:rFonts w:ascii="Arial" w:hAnsi="Arial"/>
          <w:sz w:val="22"/>
          <w:szCs w:val="22"/>
        </w:rPr>
        <w:t>field</w:t>
      </w:r>
      <w:r>
        <w:rPr>
          <w:rFonts w:ascii="Arial" w:hAnsi="Arial"/>
          <w:sz w:val="22"/>
          <w:szCs w:val="22"/>
        </w:rPr>
        <w:t xml:space="preserve"> is a mandatory requirement of the Code and </w:t>
      </w:r>
      <w:r w:rsidRPr="00CF5082">
        <w:rPr>
          <w:rFonts w:ascii="Arial" w:hAnsi="Arial"/>
          <w:sz w:val="22"/>
          <w:szCs w:val="22"/>
        </w:rPr>
        <w:t>must</w:t>
      </w:r>
      <w:r>
        <w:rPr>
          <w:rFonts w:ascii="Arial" w:hAnsi="Arial"/>
          <w:b/>
          <w:sz w:val="22"/>
          <w:szCs w:val="22"/>
        </w:rPr>
        <w:t xml:space="preserve"> </w:t>
      </w:r>
      <w:r>
        <w:rPr>
          <w:rFonts w:ascii="Arial" w:hAnsi="Arial"/>
          <w:sz w:val="22"/>
          <w:szCs w:val="22"/>
        </w:rPr>
        <w:t xml:space="preserve">be used to ensure compliance, this is stated in the “inclusion status” column. Fields that are added to make the data more meaningful when compared or </w:t>
      </w:r>
      <w:r w:rsidRPr="0063003B">
        <w:rPr>
          <w:rFonts w:ascii="Arial" w:hAnsi="Arial"/>
          <w:sz w:val="22"/>
          <w:szCs w:val="22"/>
        </w:rPr>
        <w:t>combined are marked as optional.</w:t>
      </w:r>
      <w:r w:rsidR="00A269C9" w:rsidRPr="0063003B">
        <w:rPr>
          <w:rFonts w:ascii="Arial" w:hAnsi="Arial"/>
          <w:sz w:val="22"/>
          <w:szCs w:val="22"/>
        </w:rPr>
        <w:t xml:space="preserve"> </w:t>
      </w:r>
    </w:p>
    <w:tbl>
      <w:tblPr>
        <w:tblW w:w="0" w:type="auto"/>
        <w:tblCellSpacing w:w="0" w:type="dxa"/>
        <w:tblBorders>
          <w:top w:val="single" w:sz="4" w:space="0" w:color="91278F"/>
          <w:left w:val="single" w:sz="4" w:space="0" w:color="91278F"/>
          <w:bottom w:val="single" w:sz="4" w:space="0" w:color="91278F"/>
          <w:right w:val="single" w:sz="4" w:space="0" w:color="91278F"/>
          <w:insideH w:val="single" w:sz="4" w:space="0" w:color="91278F"/>
          <w:insideV w:val="single" w:sz="4" w:space="0" w:color="91278F"/>
        </w:tblBorders>
        <w:tblCellMar>
          <w:left w:w="0" w:type="dxa"/>
          <w:right w:w="0" w:type="dxa"/>
        </w:tblCellMar>
        <w:tblLook w:val="04A0" w:firstRow="1" w:lastRow="0" w:firstColumn="1" w:lastColumn="0" w:noHBand="0" w:noVBand="1"/>
      </w:tblPr>
      <w:tblGrid>
        <w:gridCol w:w="443"/>
        <w:gridCol w:w="1423"/>
        <w:gridCol w:w="2524"/>
        <w:gridCol w:w="2063"/>
        <w:gridCol w:w="5566"/>
        <w:gridCol w:w="1779"/>
      </w:tblGrid>
      <w:tr w:rsidR="00AF12DC" w:rsidRPr="004B0CC1" w14:paraId="2873AF96" w14:textId="77777777" w:rsidTr="00DC41B2">
        <w:trPr>
          <w:tblHeader/>
          <w:tblCellSpacing w:w="0" w:type="dxa"/>
        </w:trPr>
        <w:tc>
          <w:tcPr>
            <w:tcW w:w="0" w:type="auto"/>
            <w:tcBorders>
              <w:top w:val="single" w:sz="4" w:space="0" w:color="91278F"/>
              <w:left w:val="single" w:sz="4" w:space="0" w:color="FFFFFF" w:themeColor="background1"/>
              <w:bottom w:val="single" w:sz="4" w:space="0" w:color="91278F"/>
              <w:right w:val="single" w:sz="4" w:space="0" w:color="FFFFFF" w:themeColor="background1"/>
            </w:tcBorders>
            <w:shd w:val="clear" w:color="auto" w:fill="91278F"/>
            <w:hideMark/>
          </w:tcPr>
          <w:p w14:paraId="586E15E3" w14:textId="2C55C495" w:rsidR="00DC41B2" w:rsidRPr="004B0CC1" w:rsidRDefault="00830AE4">
            <w:pPr>
              <w:spacing w:before="120" w:after="120"/>
              <w:jc w:val="center"/>
              <w:rPr>
                <w:b/>
                <w:color w:val="FFFFFF" w:themeColor="background1"/>
                <w:sz w:val="20"/>
                <w:szCs w:val="20"/>
              </w:rPr>
            </w:pPr>
            <w:r>
              <w:rPr>
                <w:b/>
                <w:color w:val="FFFFFF" w:themeColor="background1"/>
                <w:sz w:val="20"/>
                <w:szCs w:val="20"/>
              </w:rPr>
              <w:t>Row</w:t>
            </w:r>
          </w:p>
        </w:tc>
        <w:tc>
          <w:tcPr>
            <w:tcW w:w="0" w:type="auto"/>
            <w:tcBorders>
              <w:top w:val="single" w:sz="4" w:space="0" w:color="91278F"/>
              <w:left w:val="single" w:sz="4" w:space="0" w:color="FFFFFF" w:themeColor="background1"/>
              <w:bottom w:val="single" w:sz="4" w:space="0" w:color="91278F"/>
              <w:right w:val="single" w:sz="4" w:space="0" w:color="FFFFFF" w:themeColor="background1"/>
            </w:tcBorders>
            <w:shd w:val="clear" w:color="auto" w:fill="91278F"/>
            <w:hideMark/>
          </w:tcPr>
          <w:p w14:paraId="124A7C9C" w14:textId="77777777" w:rsidR="00DC41B2" w:rsidRPr="004B0CC1" w:rsidRDefault="00DC41B2">
            <w:pPr>
              <w:spacing w:before="120" w:after="120"/>
              <w:jc w:val="center"/>
              <w:rPr>
                <w:b/>
                <w:color w:val="FFFFFF" w:themeColor="background1"/>
                <w:sz w:val="20"/>
                <w:szCs w:val="20"/>
              </w:rPr>
            </w:pPr>
            <w:r w:rsidRPr="004B0CC1">
              <w:rPr>
                <w:b/>
                <w:color w:val="FFFFFF" w:themeColor="background1"/>
                <w:sz w:val="20"/>
                <w:szCs w:val="20"/>
              </w:rPr>
              <w:t>Field name</w:t>
            </w:r>
          </w:p>
        </w:tc>
        <w:tc>
          <w:tcPr>
            <w:tcW w:w="0" w:type="auto"/>
            <w:tcBorders>
              <w:top w:val="single" w:sz="4" w:space="0" w:color="91278F"/>
              <w:left w:val="single" w:sz="4" w:space="0" w:color="FFFFFF" w:themeColor="background1"/>
              <w:bottom w:val="single" w:sz="4" w:space="0" w:color="91278F"/>
              <w:right w:val="single" w:sz="4" w:space="0" w:color="FFFFFF" w:themeColor="background1"/>
            </w:tcBorders>
            <w:shd w:val="clear" w:color="auto" w:fill="91278F"/>
            <w:hideMark/>
          </w:tcPr>
          <w:p w14:paraId="4E9B29AA" w14:textId="77777777" w:rsidR="00DC41B2" w:rsidRPr="004B0CC1" w:rsidRDefault="00DC41B2">
            <w:pPr>
              <w:spacing w:before="120" w:after="120"/>
              <w:jc w:val="center"/>
              <w:rPr>
                <w:b/>
                <w:color w:val="FFFFFF" w:themeColor="background1"/>
                <w:sz w:val="20"/>
                <w:szCs w:val="20"/>
              </w:rPr>
            </w:pPr>
            <w:r w:rsidRPr="004B0CC1">
              <w:rPr>
                <w:b/>
                <w:color w:val="FFFFFF" w:themeColor="background1"/>
                <w:sz w:val="20"/>
                <w:szCs w:val="20"/>
              </w:rPr>
              <w:t>What is required</w:t>
            </w:r>
          </w:p>
        </w:tc>
        <w:tc>
          <w:tcPr>
            <w:tcW w:w="0" w:type="auto"/>
            <w:tcBorders>
              <w:top w:val="single" w:sz="4" w:space="0" w:color="91278F"/>
              <w:left w:val="single" w:sz="4" w:space="0" w:color="FFFFFF" w:themeColor="background1"/>
              <w:bottom w:val="single" w:sz="4" w:space="0" w:color="91278F"/>
              <w:right w:val="single" w:sz="4" w:space="0" w:color="FFFFFF" w:themeColor="background1"/>
            </w:tcBorders>
            <w:shd w:val="clear" w:color="auto" w:fill="91278F"/>
            <w:hideMark/>
          </w:tcPr>
          <w:p w14:paraId="319A330E" w14:textId="77777777" w:rsidR="00DC41B2" w:rsidRPr="004B0CC1" w:rsidRDefault="00DC41B2">
            <w:pPr>
              <w:spacing w:before="120" w:after="120"/>
              <w:jc w:val="center"/>
              <w:rPr>
                <w:b/>
                <w:color w:val="FFFFFF" w:themeColor="background1"/>
                <w:sz w:val="20"/>
                <w:szCs w:val="20"/>
              </w:rPr>
            </w:pPr>
            <w:r w:rsidRPr="004B0CC1">
              <w:rPr>
                <w:b/>
                <w:color w:val="FFFFFF" w:themeColor="background1"/>
                <w:sz w:val="20"/>
                <w:szCs w:val="20"/>
              </w:rPr>
              <w:t>Reason for inclusion</w:t>
            </w:r>
          </w:p>
        </w:tc>
        <w:tc>
          <w:tcPr>
            <w:tcW w:w="0" w:type="auto"/>
            <w:tcBorders>
              <w:top w:val="single" w:sz="4" w:space="0" w:color="91278F"/>
              <w:left w:val="single" w:sz="4" w:space="0" w:color="FFFFFF" w:themeColor="background1"/>
              <w:bottom w:val="single" w:sz="4" w:space="0" w:color="91278F"/>
              <w:right w:val="single" w:sz="4" w:space="0" w:color="FFFFFF" w:themeColor="background1"/>
            </w:tcBorders>
            <w:shd w:val="clear" w:color="auto" w:fill="91278F"/>
            <w:hideMark/>
          </w:tcPr>
          <w:p w14:paraId="03A560D4" w14:textId="77777777" w:rsidR="00DC41B2" w:rsidRPr="004B0CC1" w:rsidRDefault="00DC41B2">
            <w:pPr>
              <w:spacing w:before="120" w:after="120"/>
              <w:jc w:val="center"/>
              <w:rPr>
                <w:b/>
                <w:color w:val="FFFFFF" w:themeColor="background1"/>
                <w:sz w:val="20"/>
                <w:szCs w:val="20"/>
              </w:rPr>
            </w:pPr>
            <w:r w:rsidRPr="004B0CC1">
              <w:rPr>
                <w:b/>
                <w:color w:val="FFFFFF" w:themeColor="background1"/>
                <w:sz w:val="20"/>
                <w:szCs w:val="20"/>
              </w:rPr>
              <w:t>Additional information</w:t>
            </w:r>
          </w:p>
        </w:tc>
        <w:tc>
          <w:tcPr>
            <w:tcW w:w="0" w:type="auto"/>
            <w:tcBorders>
              <w:top w:val="single" w:sz="4" w:space="0" w:color="91278F"/>
              <w:left w:val="single" w:sz="4" w:space="0" w:color="FFFFFF" w:themeColor="background1"/>
              <w:bottom w:val="single" w:sz="4" w:space="0" w:color="91278F"/>
              <w:right w:val="single" w:sz="4" w:space="0" w:color="FFFFFF" w:themeColor="background1"/>
            </w:tcBorders>
            <w:shd w:val="clear" w:color="auto" w:fill="91278F"/>
            <w:hideMark/>
          </w:tcPr>
          <w:p w14:paraId="7A805617" w14:textId="77777777" w:rsidR="00DC41B2" w:rsidRPr="004B0CC1" w:rsidRDefault="00DC41B2">
            <w:pPr>
              <w:spacing w:before="120" w:after="120"/>
              <w:jc w:val="center"/>
              <w:rPr>
                <w:b/>
                <w:color w:val="FFFFFF" w:themeColor="background1"/>
                <w:sz w:val="20"/>
                <w:szCs w:val="20"/>
              </w:rPr>
            </w:pPr>
            <w:r w:rsidRPr="004B0CC1">
              <w:rPr>
                <w:b/>
                <w:color w:val="FFFFFF" w:themeColor="background1"/>
                <w:sz w:val="20"/>
                <w:szCs w:val="20"/>
              </w:rPr>
              <w:t>Inclusion status</w:t>
            </w:r>
          </w:p>
        </w:tc>
      </w:tr>
      <w:tr w:rsidR="00AF12DC" w:rsidRPr="004B0CC1" w14:paraId="329BEB47"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hideMark/>
          </w:tcPr>
          <w:p w14:paraId="7923D173" w14:textId="1DA4724F" w:rsidR="00DC41B2" w:rsidRPr="004B0CC1" w:rsidRDefault="003B07FA">
            <w:pPr>
              <w:spacing w:before="120" w:after="120"/>
              <w:rPr>
                <w:sz w:val="20"/>
                <w:szCs w:val="20"/>
              </w:rPr>
            </w:pPr>
            <w:r w:rsidRPr="004B0CC1">
              <w:rPr>
                <w:sz w:val="20"/>
                <w:szCs w:val="20"/>
              </w:rPr>
              <w:t>1</w:t>
            </w:r>
          </w:p>
        </w:tc>
        <w:tc>
          <w:tcPr>
            <w:tcW w:w="0" w:type="auto"/>
            <w:tcBorders>
              <w:top w:val="single" w:sz="4" w:space="0" w:color="91278F"/>
              <w:left w:val="single" w:sz="4" w:space="0" w:color="91278F"/>
              <w:bottom w:val="single" w:sz="4" w:space="0" w:color="91278F"/>
              <w:right w:val="single" w:sz="4" w:space="0" w:color="91278F"/>
            </w:tcBorders>
            <w:hideMark/>
          </w:tcPr>
          <w:p w14:paraId="6E271F50" w14:textId="6A16418A" w:rsidR="00DC41B2" w:rsidRPr="004B0CC1" w:rsidRDefault="00DC41B2" w:rsidP="00AF12DC">
            <w:pPr>
              <w:spacing w:before="120" w:after="120"/>
              <w:rPr>
                <w:sz w:val="20"/>
                <w:szCs w:val="20"/>
              </w:rPr>
            </w:pPr>
            <w:r w:rsidRPr="004B0CC1">
              <w:rPr>
                <w:sz w:val="20"/>
                <w:szCs w:val="20"/>
              </w:rPr>
              <w:t xml:space="preserve">Organisation </w:t>
            </w:r>
            <w:r w:rsidR="00AF12DC" w:rsidRPr="004B0CC1">
              <w:rPr>
                <w:sz w:val="20"/>
                <w:szCs w:val="20"/>
              </w:rPr>
              <w:t>n</w:t>
            </w:r>
            <w:r w:rsidRPr="004B0CC1">
              <w:rPr>
                <w:sz w:val="20"/>
                <w:szCs w:val="20"/>
              </w:rPr>
              <w:t>ame</w:t>
            </w:r>
          </w:p>
        </w:tc>
        <w:tc>
          <w:tcPr>
            <w:tcW w:w="0" w:type="auto"/>
            <w:tcBorders>
              <w:top w:val="single" w:sz="4" w:space="0" w:color="91278F"/>
              <w:left w:val="single" w:sz="4" w:space="0" w:color="91278F"/>
              <w:bottom w:val="single" w:sz="4" w:space="0" w:color="91278F"/>
              <w:right w:val="single" w:sz="4" w:space="0" w:color="91278F"/>
            </w:tcBorders>
            <w:hideMark/>
          </w:tcPr>
          <w:p w14:paraId="6DE927B0" w14:textId="77777777" w:rsidR="00DC41B2" w:rsidRPr="004B0CC1" w:rsidRDefault="00DC41B2">
            <w:pPr>
              <w:spacing w:before="120" w:after="120"/>
              <w:rPr>
                <w:sz w:val="20"/>
                <w:szCs w:val="20"/>
              </w:rPr>
            </w:pPr>
            <w:r w:rsidRPr="004B0CC1">
              <w:rPr>
                <w:sz w:val="20"/>
                <w:szCs w:val="20"/>
              </w:rPr>
              <w:t>Name of the organisation owning or using the asset</w:t>
            </w:r>
          </w:p>
        </w:tc>
        <w:tc>
          <w:tcPr>
            <w:tcW w:w="0" w:type="auto"/>
            <w:tcBorders>
              <w:top w:val="single" w:sz="4" w:space="0" w:color="91278F"/>
              <w:left w:val="single" w:sz="4" w:space="0" w:color="91278F"/>
              <w:bottom w:val="single" w:sz="4" w:space="0" w:color="91278F"/>
              <w:right w:val="single" w:sz="4" w:space="0" w:color="91278F"/>
            </w:tcBorders>
            <w:hideMark/>
          </w:tcPr>
          <w:p w14:paraId="24A46CDF" w14:textId="77777777" w:rsidR="00DC41B2" w:rsidRPr="004B0CC1" w:rsidRDefault="00DC41B2">
            <w:pPr>
              <w:spacing w:before="120" w:after="120"/>
              <w:rPr>
                <w:sz w:val="20"/>
                <w:szCs w:val="20"/>
              </w:rPr>
            </w:pPr>
            <w:r w:rsidRPr="004B0CC1">
              <w:rPr>
                <w:sz w:val="20"/>
                <w:szCs w:val="20"/>
              </w:rPr>
              <w:t>Identifies accountable public organisation for asset</w:t>
            </w:r>
          </w:p>
        </w:tc>
        <w:tc>
          <w:tcPr>
            <w:tcW w:w="0" w:type="auto"/>
            <w:tcBorders>
              <w:top w:val="single" w:sz="4" w:space="0" w:color="91278F"/>
              <w:left w:val="single" w:sz="4" w:space="0" w:color="91278F"/>
              <w:bottom w:val="single" w:sz="4" w:space="0" w:color="91278F"/>
              <w:right w:val="single" w:sz="4" w:space="0" w:color="91278F"/>
            </w:tcBorders>
            <w:hideMark/>
          </w:tcPr>
          <w:p w14:paraId="52F16A12" w14:textId="77777777" w:rsidR="00DC41B2" w:rsidRPr="004B0CC1" w:rsidRDefault="00DC41B2">
            <w:pPr>
              <w:spacing w:before="120" w:after="120"/>
              <w:rPr>
                <w:sz w:val="20"/>
                <w:szCs w:val="20"/>
              </w:rPr>
            </w:pPr>
            <w:r w:rsidRPr="004B0CC1">
              <w:rPr>
                <w:sz w:val="20"/>
                <w:szCs w:val="20"/>
              </w:rPr>
              <w:t xml:space="preserve">Name of the local authority that is the asset owner and if not the owner the main user of the asset. </w:t>
            </w:r>
          </w:p>
        </w:tc>
        <w:tc>
          <w:tcPr>
            <w:tcW w:w="0" w:type="auto"/>
            <w:tcBorders>
              <w:top w:val="single" w:sz="4" w:space="0" w:color="91278F"/>
              <w:left w:val="single" w:sz="4" w:space="0" w:color="91278F"/>
              <w:bottom w:val="single" w:sz="4" w:space="0" w:color="91278F"/>
              <w:right w:val="single" w:sz="4" w:space="0" w:color="91278F"/>
            </w:tcBorders>
            <w:hideMark/>
          </w:tcPr>
          <w:p w14:paraId="127F242F" w14:textId="77777777" w:rsidR="00DC41B2" w:rsidRPr="004B0CC1" w:rsidRDefault="00DC41B2">
            <w:pPr>
              <w:spacing w:before="120" w:after="120"/>
              <w:rPr>
                <w:sz w:val="20"/>
                <w:szCs w:val="20"/>
              </w:rPr>
            </w:pPr>
            <w:r w:rsidRPr="004B0CC1">
              <w:rPr>
                <w:sz w:val="20"/>
                <w:szCs w:val="20"/>
              </w:rPr>
              <w:t>Optional</w:t>
            </w:r>
          </w:p>
        </w:tc>
      </w:tr>
      <w:tr w:rsidR="00AF12DC" w:rsidRPr="004B0CC1" w14:paraId="309A3E7E"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hideMark/>
          </w:tcPr>
          <w:p w14:paraId="229DD238" w14:textId="48C1F2AD" w:rsidR="00DC41B2" w:rsidRPr="004B0CC1" w:rsidRDefault="003B07FA">
            <w:pPr>
              <w:spacing w:before="120" w:after="120"/>
              <w:rPr>
                <w:sz w:val="20"/>
                <w:szCs w:val="20"/>
              </w:rPr>
            </w:pPr>
            <w:r w:rsidRPr="004B0CC1">
              <w:rPr>
                <w:sz w:val="20"/>
                <w:szCs w:val="20"/>
              </w:rPr>
              <w:t>2</w:t>
            </w:r>
          </w:p>
        </w:tc>
        <w:tc>
          <w:tcPr>
            <w:tcW w:w="0" w:type="auto"/>
            <w:tcBorders>
              <w:top w:val="single" w:sz="4" w:space="0" w:color="91278F"/>
              <w:left w:val="single" w:sz="4" w:space="0" w:color="91278F"/>
              <w:bottom w:val="single" w:sz="4" w:space="0" w:color="91278F"/>
              <w:right w:val="single" w:sz="4" w:space="0" w:color="91278F"/>
            </w:tcBorders>
            <w:hideMark/>
          </w:tcPr>
          <w:p w14:paraId="1B967681" w14:textId="2B7B1820" w:rsidR="00DC41B2" w:rsidRPr="004B0CC1" w:rsidRDefault="00DC41B2" w:rsidP="00AF12DC">
            <w:pPr>
              <w:spacing w:before="120" w:after="120"/>
              <w:rPr>
                <w:sz w:val="20"/>
                <w:szCs w:val="20"/>
              </w:rPr>
            </w:pPr>
            <w:r w:rsidRPr="004B0CC1">
              <w:rPr>
                <w:sz w:val="20"/>
                <w:szCs w:val="20"/>
              </w:rPr>
              <w:t xml:space="preserve">Organisation </w:t>
            </w:r>
            <w:r w:rsidR="00AF12DC" w:rsidRPr="004B0CC1">
              <w:rPr>
                <w:sz w:val="20"/>
                <w:szCs w:val="20"/>
              </w:rPr>
              <w:t>c</w:t>
            </w:r>
            <w:r w:rsidRPr="004B0CC1">
              <w:rPr>
                <w:sz w:val="20"/>
                <w:szCs w:val="20"/>
              </w:rPr>
              <w:t>ode</w:t>
            </w:r>
          </w:p>
        </w:tc>
        <w:tc>
          <w:tcPr>
            <w:tcW w:w="0" w:type="auto"/>
            <w:tcBorders>
              <w:top w:val="single" w:sz="4" w:space="0" w:color="91278F"/>
              <w:left w:val="single" w:sz="4" w:space="0" w:color="91278F"/>
              <w:bottom w:val="single" w:sz="4" w:space="0" w:color="91278F"/>
              <w:right w:val="single" w:sz="4" w:space="0" w:color="91278F"/>
            </w:tcBorders>
            <w:hideMark/>
          </w:tcPr>
          <w:p w14:paraId="764CE344" w14:textId="77777777" w:rsidR="00DC41B2" w:rsidRPr="004B0CC1" w:rsidRDefault="00DC41B2">
            <w:pPr>
              <w:spacing w:before="120" w:after="120"/>
              <w:rPr>
                <w:sz w:val="20"/>
                <w:szCs w:val="20"/>
              </w:rPr>
            </w:pPr>
            <w:r w:rsidRPr="004B0CC1">
              <w:rPr>
                <w:sz w:val="20"/>
                <w:szCs w:val="20"/>
              </w:rPr>
              <w:t>Unique code to identify an organisation</w:t>
            </w:r>
          </w:p>
        </w:tc>
        <w:tc>
          <w:tcPr>
            <w:tcW w:w="0" w:type="auto"/>
            <w:tcBorders>
              <w:top w:val="single" w:sz="4" w:space="0" w:color="91278F"/>
              <w:left w:val="single" w:sz="4" w:space="0" w:color="91278F"/>
              <w:bottom w:val="single" w:sz="4" w:space="0" w:color="91278F"/>
              <w:right w:val="single" w:sz="4" w:space="0" w:color="91278F"/>
            </w:tcBorders>
            <w:hideMark/>
          </w:tcPr>
          <w:p w14:paraId="7EB78E94" w14:textId="77777777" w:rsidR="00DC41B2" w:rsidRPr="004B0CC1" w:rsidRDefault="00DC41B2">
            <w:pPr>
              <w:spacing w:before="120" w:after="120"/>
              <w:rPr>
                <w:sz w:val="20"/>
                <w:szCs w:val="20"/>
              </w:rPr>
            </w:pPr>
            <w:r w:rsidRPr="004B0CC1">
              <w:rPr>
                <w:sz w:val="20"/>
                <w:szCs w:val="20"/>
              </w:rPr>
              <w:t>To allow the file to be self-describing</w:t>
            </w:r>
          </w:p>
        </w:tc>
        <w:tc>
          <w:tcPr>
            <w:tcW w:w="0" w:type="auto"/>
            <w:tcBorders>
              <w:top w:val="single" w:sz="4" w:space="0" w:color="91278F"/>
              <w:left w:val="single" w:sz="4" w:space="0" w:color="91278F"/>
              <w:bottom w:val="single" w:sz="4" w:space="0" w:color="91278F"/>
              <w:right w:val="single" w:sz="4" w:space="0" w:color="91278F"/>
            </w:tcBorders>
            <w:hideMark/>
          </w:tcPr>
          <w:p w14:paraId="62E5ACBD" w14:textId="77777777" w:rsidR="00DC41B2" w:rsidRPr="004B0CC1" w:rsidRDefault="00DC41B2">
            <w:pPr>
              <w:spacing w:before="120" w:after="120"/>
              <w:rPr>
                <w:sz w:val="20"/>
                <w:szCs w:val="20"/>
              </w:rPr>
            </w:pPr>
            <w:r w:rsidRPr="004B0CC1">
              <w:rPr>
                <w:sz w:val="20"/>
                <w:szCs w:val="20"/>
              </w:rPr>
              <w:t>Codes describing URIs are not available for every public organisation. A URI used in Linked Data is the preferred option.</w:t>
            </w:r>
          </w:p>
          <w:p w14:paraId="2020BAEF" w14:textId="77777777" w:rsidR="00DC41B2" w:rsidRPr="004B0CC1" w:rsidRDefault="00DC41B2">
            <w:pPr>
              <w:rPr>
                <w:rFonts w:eastAsia="Arial"/>
                <w:sz w:val="20"/>
                <w:szCs w:val="20"/>
              </w:rPr>
            </w:pPr>
            <w:r w:rsidRPr="004B0CC1">
              <w:rPr>
                <w:rFonts w:eastAsia="Arial"/>
                <w:sz w:val="20"/>
                <w:szCs w:val="20"/>
              </w:rPr>
              <w:t>A lookup tool for URIs can be found on the LG Inform Plus website (</w:t>
            </w:r>
            <w:hyperlink r:id="rId57" w:history="1">
              <w:r w:rsidRPr="004B0CC1">
                <w:rPr>
                  <w:rStyle w:val="Hyperlink"/>
                  <w:rFonts w:eastAsia="Arial" w:cs="Arial"/>
                  <w:sz w:val="20"/>
                  <w:szCs w:val="20"/>
                </w:rPr>
                <w:t>http://uris.opendata.esd.org.uk/</w:t>
              </w:r>
            </w:hyperlink>
            <w:r w:rsidRPr="004B0CC1">
              <w:rPr>
                <w:rFonts w:eastAsia="Arial"/>
                <w:sz w:val="20"/>
                <w:szCs w:val="20"/>
              </w:rPr>
              <w:t xml:space="preserve">) </w:t>
            </w:r>
          </w:p>
          <w:p w14:paraId="22B0285C" w14:textId="77777777" w:rsidR="00DC41B2" w:rsidRPr="004B0CC1" w:rsidRDefault="00DC41B2">
            <w:pPr>
              <w:spacing w:before="120" w:after="0"/>
              <w:rPr>
                <w:sz w:val="20"/>
                <w:szCs w:val="20"/>
              </w:rPr>
            </w:pPr>
            <w:r w:rsidRPr="004B0CC1">
              <w:rPr>
                <w:sz w:val="20"/>
                <w:szCs w:val="20"/>
              </w:rPr>
              <w:t xml:space="preserve">For local authorities the code can be </w:t>
            </w:r>
          </w:p>
          <w:p w14:paraId="5B091A7A" w14:textId="77777777" w:rsidR="00DC41B2" w:rsidRPr="004B0CC1" w:rsidRDefault="00DC41B2" w:rsidP="00DC41B2">
            <w:pPr>
              <w:pStyle w:val="ListParagraph"/>
              <w:numPr>
                <w:ilvl w:val="0"/>
                <w:numId w:val="35"/>
              </w:numPr>
              <w:spacing w:before="0"/>
              <w:ind w:left="714" w:hanging="357"/>
              <w:rPr>
                <w:rFonts w:eastAsia="Arial"/>
                <w:sz w:val="20"/>
                <w:szCs w:val="20"/>
              </w:rPr>
            </w:pPr>
            <w:r w:rsidRPr="004B0CC1">
              <w:rPr>
                <w:sz w:val="20"/>
                <w:szCs w:val="20"/>
              </w:rPr>
              <w:t xml:space="preserve">the open data communities code for local authorities on </w:t>
            </w:r>
            <w:hyperlink r:id="rId58" w:history="1">
              <w:r w:rsidRPr="004B0CC1">
                <w:rPr>
                  <w:rStyle w:val="Hyperlink"/>
                  <w:rFonts w:cs="Arial"/>
                  <w:sz w:val="20"/>
                  <w:szCs w:val="20"/>
                </w:rPr>
                <w:t>http://opendatacommunities.org/data/local-authorities</w:t>
              </w:r>
            </w:hyperlink>
          </w:p>
          <w:p w14:paraId="074997FC" w14:textId="77777777" w:rsidR="00DC41B2" w:rsidRPr="004B0CC1" w:rsidRDefault="00DC41B2" w:rsidP="00DC41B2">
            <w:pPr>
              <w:pStyle w:val="ListParagraph"/>
              <w:numPr>
                <w:ilvl w:val="0"/>
                <w:numId w:val="35"/>
              </w:numPr>
              <w:ind w:left="714" w:hanging="357"/>
              <w:rPr>
                <w:sz w:val="20"/>
                <w:szCs w:val="20"/>
              </w:rPr>
            </w:pPr>
            <w:proofErr w:type="gramStart"/>
            <w:r w:rsidRPr="004B0CC1">
              <w:rPr>
                <w:rFonts w:eastAsia="Arial"/>
                <w:sz w:val="20"/>
                <w:szCs w:val="20"/>
              </w:rPr>
              <w:t>or</w:t>
            </w:r>
            <w:proofErr w:type="gramEnd"/>
            <w:r w:rsidRPr="004B0CC1">
              <w:rPr>
                <w:rFonts w:eastAsia="Arial"/>
                <w:sz w:val="20"/>
                <w:szCs w:val="20"/>
              </w:rPr>
              <w:t xml:space="preserve"> the Office for National Statistics’ (ONS) Government Statistics Services (GSS) Coding and Naming for Statistical Geographies. </w:t>
            </w:r>
            <w:r w:rsidRPr="004B0CC1">
              <w:rPr>
                <w:sz w:val="20"/>
                <w:szCs w:val="20"/>
              </w:rPr>
              <w:t>(</w:t>
            </w:r>
            <w:hyperlink r:id="rId59" w:history="1">
              <w:r w:rsidRPr="004B0CC1">
                <w:rPr>
                  <w:rStyle w:val="Hyperlink"/>
                  <w:rFonts w:cs="Arial"/>
                  <w:sz w:val="20"/>
                  <w:szCs w:val="20"/>
                </w:rPr>
                <w:t>http://tinyurl.com/onsgeog</w:t>
              </w:r>
            </w:hyperlink>
            <w:r w:rsidRPr="004B0CC1">
              <w:rPr>
                <w:sz w:val="20"/>
                <w:szCs w:val="20"/>
              </w:rPr>
              <w:t>)</w:t>
            </w:r>
          </w:p>
        </w:tc>
        <w:tc>
          <w:tcPr>
            <w:tcW w:w="0" w:type="auto"/>
            <w:tcBorders>
              <w:top w:val="single" w:sz="4" w:space="0" w:color="91278F"/>
              <w:left w:val="single" w:sz="4" w:space="0" w:color="91278F"/>
              <w:bottom w:val="single" w:sz="4" w:space="0" w:color="91278F"/>
              <w:right w:val="single" w:sz="4" w:space="0" w:color="91278F"/>
            </w:tcBorders>
            <w:hideMark/>
          </w:tcPr>
          <w:p w14:paraId="2D5853F9" w14:textId="77777777" w:rsidR="00DC41B2" w:rsidRPr="004B0CC1" w:rsidRDefault="00DC41B2">
            <w:pPr>
              <w:spacing w:before="120" w:after="120"/>
              <w:rPr>
                <w:sz w:val="20"/>
                <w:szCs w:val="20"/>
              </w:rPr>
            </w:pPr>
            <w:r w:rsidRPr="004B0CC1">
              <w:rPr>
                <w:sz w:val="20"/>
                <w:szCs w:val="20"/>
              </w:rPr>
              <w:t>Optional</w:t>
            </w:r>
          </w:p>
        </w:tc>
      </w:tr>
      <w:tr w:rsidR="003B07FA" w:rsidRPr="004B0CC1" w14:paraId="0BD6EA36"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tcPr>
          <w:p w14:paraId="51E02959" w14:textId="5411948D" w:rsidR="003B07FA" w:rsidRPr="004B0CC1" w:rsidRDefault="003B07FA">
            <w:pPr>
              <w:spacing w:before="120" w:after="120"/>
              <w:rPr>
                <w:sz w:val="20"/>
                <w:szCs w:val="20"/>
              </w:rPr>
            </w:pPr>
            <w:r w:rsidRPr="004B0CC1">
              <w:rPr>
                <w:sz w:val="20"/>
                <w:szCs w:val="20"/>
              </w:rPr>
              <w:t>3</w:t>
            </w:r>
          </w:p>
        </w:tc>
        <w:tc>
          <w:tcPr>
            <w:tcW w:w="0" w:type="auto"/>
            <w:tcBorders>
              <w:top w:val="single" w:sz="4" w:space="0" w:color="91278F"/>
              <w:left w:val="single" w:sz="4" w:space="0" w:color="91278F"/>
              <w:bottom w:val="single" w:sz="4" w:space="0" w:color="91278F"/>
              <w:right w:val="single" w:sz="4" w:space="0" w:color="91278F"/>
            </w:tcBorders>
          </w:tcPr>
          <w:p w14:paraId="1F9F1C11" w14:textId="4442DED4" w:rsidR="003B07FA" w:rsidRPr="004B0CC1" w:rsidRDefault="00EF574B" w:rsidP="00AF12DC">
            <w:pPr>
              <w:spacing w:before="120" w:after="120"/>
              <w:rPr>
                <w:sz w:val="20"/>
                <w:szCs w:val="20"/>
              </w:rPr>
            </w:pPr>
            <w:r w:rsidRPr="004B0CC1">
              <w:rPr>
                <w:sz w:val="20"/>
                <w:szCs w:val="20"/>
              </w:rPr>
              <w:t xml:space="preserve">Effective </w:t>
            </w:r>
            <w:r w:rsidR="003B07FA" w:rsidRPr="004B0CC1">
              <w:rPr>
                <w:sz w:val="20"/>
                <w:szCs w:val="20"/>
              </w:rPr>
              <w:t>date</w:t>
            </w:r>
          </w:p>
        </w:tc>
        <w:tc>
          <w:tcPr>
            <w:tcW w:w="0" w:type="auto"/>
            <w:tcBorders>
              <w:top w:val="single" w:sz="4" w:space="0" w:color="91278F"/>
              <w:left w:val="single" w:sz="4" w:space="0" w:color="91278F"/>
              <w:bottom w:val="single" w:sz="4" w:space="0" w:color="91278F"/>
              <w:right w:val="single" w:sz="4" w:space="0" w:color="91278F"/>
            </w:tcBorders>
          </w:tcPr>
          <w:p w14:paraId="36047EC2" w14:textId="316E608B" w:rsidR="003B07FA" w:rsidRPr="004B0CC1" w:rsidRDefault="00EF574B">
            <w:pPr>
              <w:spacing w:before="120" w:after="120"/>
              <w:rPr>
                <w:sz w:val="20"/>
                <w:szCs w:val="20"/>
              </w:rPr>
            </w:pPr>
            <w:r w:rsidRPr="00D12EB9">
              <w:rPr>
                <w:sz w:val="20"/>
                <w:szCs w:val="20"/>
                <w:shd w:val="clear" w:color="auto" w:fill="FFFFFF"/>
              </w:rPr>
              <w:t>Date at which the information provided is true.</w:t>
            </w:r>
          </w:p>
        </w:tc>
        <w:tc>
          <w:tcPr>
            <w:tcW w:w="0" w:type="auto"/>
            <w:tcBorders>
              <w:top w:val="single" w:sz="4" w:space="0" w:color="91278F"/>
              <w:left w:val="single" w:sz="4" w:space="0" w:color="91278F"/>
              <w:bottom w:val="single" w:sz="4" w:space="0" w:color="91278F"/>
              <w:right w:val="single" w:sz="4" w:space="0" w:color="91278F"/>
            </w:tcBorders>
          </w:tcPr>
          <w:p w14:paraId="657FB65C" w14:textId="25F051BF" w:rsidR="003B07FA" w:rsidRPr="004B0CC1" w:rsidRDefault="003B07FA">
            <w:pPr>
              <w:spacing w:before="120" w:after="120"/>
              <w:rPr>
                <w:sz w:val="20"/>
                <w:szCs w:val="20"/>
              </w:rPr>
            </w:pPr>
            <w:r w:rsidRPr="004B0CC1">
              <w:rPr>
                <w:sz w:val="20"/>
                <w:szCs w:val="20"/>
              </w:rPr>
              <w:t>To identify the date to which the data may apply</w:t>
            </w:r>
          </w:p>
        </w:tc>
        <w:tc>
          <w:tcPr>
            <w:tcW w:w="0" w:type="auto"/>
            <w:tcBorders>
              <w:top w:val="single" w:sz="4" w:space="0" w:color="91278F"/>
              <w:left w:val="single" w:sz="4" w:space="0" w:color="91278F"/>
              <w:bottom w:val="single" w:sz="4" w:space="0" w:color="91278F"/>
              <w:right w:val="single" w:sz="4" w:space="0" w:color="91278F"/>
            </w:tcBorders>
          </w:tcPr>
          <w:p w14:paraId="4CB6CE69" w14:textId="2543265A" w:rsidR="00EF574B" w:rsidRPr="004B0CC1" w:rsidRDefault="00EF574B" w:rsidP="00EF574B">
            <w:pPr>
              <w:rPr>
                <w:sz w:val="20"/>
                <w:szCs w:val="20"/>
              </w:rPr>
            </w:pPr>
            <w:r w:rsidRPr="00D12EB9">
              <w:rPr>
                <w:sz w:val="20"/>
                <w:szCs w:val="20"/>
                <w:shd w:val="clear" w:color="auto" w:fill="FFFFFF"/>
              </w:rPr>
              <w:t>The end date of accounting period</w:t>
            </w:r>
            <w:r w:rsidRPr="004B0CC1">
              <w:rPr>
                <w:sz w:val="20"/>
                <w:szCs w:val="20"/>
                <w:shd w:val="clear" w:color="auto" w:fill="FFFFFF"/>
              </w:rPr>
              <w:t xml:space="preserve">. </w:t>
            </w:r>
            <w:r w:rsidRPr="004B0CC1">
              <w:rPr>
                <w:sz w:val="20"/>
                <w:szCs w:val="20"/>
              </w:rPr>
              <w:t>The UK date format (</w:t>
            </w:r>
            <w:proofErr w:type="spellStart"/>
            <w:r w:rsidRPr="004B0CC1">
              <w:rPr>
                <w:sz w:val="20"/>
                <w:szCs w:val="20"/>
              </w:rPr>
              <w:t>dd</w:t>
            </w:r>
            <w:proofErr w:type="spellEnd"/>
            <w:r w:rsidRPr="004B0CC1">
              <w:rPr>
                <w:sz w:val="20"/>
                <w:szCs w:val="20"/>
              </w:rPr>
              <w:t>/mm/</w:t>
            </w:r>
            <w:proofErr w:type="spellStart"/>
            <w:r w:rsidRPr="004B0CC1">
              <w:rPr>
                <w:sz w:val="20"/>
                <w:szCs w:val="20"/>
              </w:rPr>
              <w:t>yyyy</w:t>
            </w:r>
            <w:proofErr w:type="spellEnd"/>
            <w:r w:rsidRPr="004B0CC1">
              <w:rPr>
                <w:sz w:val="20"/>
                <w:szCs w:val="20"/>
              </w:rPr>
              <w:t>) should be used.</w:t>
            </w:r>
          </w:p>
          <w:p w14:paraId="6F83D81D" w14:textId="77777777" w:rsidR="003B07FA" w:rsidRPr="004B0CC1" w:rsidRDefault="003B07FA">
            <w:pPr>
              <w:spacing w:before="120" w:after="120"/>
              <w:rPr>
                <w:sz w:val="20"/>
                <w:szCs w:val="20"/>
              </w:rPr>
            </w:pPr>
          </w:p>
        </w:tc>
        <w:tc>
          <w:tcPr>
            <w:tcW w:w="0" w:type="auto"/>
            <w:tcBorders>
              <w:top w:val="single" w:sz="4" w:space="0" w:color="91278F"/>
              <w:left w:val="single" w:sz="4" w:space="0" w:color="91278F"/>
              <w:bottom w:val="single" w:sz="4" w:space="0" w:color="91278F"/>
              <w:right w:val="single" w:sz="4" w:space="0" w:color="91278F"/>
            </w:tcBorders>
          </w:tcPr>
          <w:p w14:paraId="3006B192" w14:textId="0F7CC69C" w:rsidR="003B07FA" w:rsidRPr="004B0CC1" w:rsidRDefault="003B07FA">
            <w:pPr>
              <w:spacing w:before="120" w:after="120"/>
              <w:rPr>
                <w:sz w:val="20"/>
                <w:szCs w:val="20"/>
              </w:rPr>
            </w:pPr>
            <w:r w:rsidRPr="004B0CC1">
              <w:rPr>
                <w:sz w:val="20"/>
                <w:szCs w:val="20"/>
              </w:rPr>
              <w:lastRenderedPageBreak/>
              <w:t>Optional</w:t>
            </w:r>
          </w:p>
        </w:tc>
      </w:tr>
      <w:tr w:rsidR="003B07FA" w:rsidRPr="004B0CC1" w14:paraId="4883C194"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hideMark/>
          </w:tcPr>
          <w:p w14:paraId="285C22BE" w14:textId="126405B4" w:rsidR="003B07FA" w:rsidRPr="004B0CC1" w:rsidRDefault="003B07FA">
            <w:pPr>
              <w:spacing w:before="120" w:after="120"/>
              <w:rPr>
                <w:sz w:val="20"/>
                <w:szCs w:val="20"/>
              </w:rPr>
            </w:pPr>
            <w:r w:rsidRPr="004B0CC1">
              <w:rPr>
                <w:sz w:val="20"/>
                <w:szCs w:val="20"/>
              </w:rPr>
              <w:lastRenderedPageBreak/>
              <w:t>4</w:t>
            </w:r>
          </w:p>
        </w:tc>
        <w:tc>
          <w:tcPr>
            <w:tcW w:w="0" w:type="auto"/>
            <w:tcBorders>
              <w:top w:val="single" w:sz="4" w:space="0" w:color="91278F"/>
              <w:left w:val="single" w:sz="4" w:space="0" w:color="91278F"/>
              <w:bottom w:val="single" w:sz="4" w:space="0" w:color="91278F"/>
              <w:right w:val="single" w:sz="4" w:space="0" w:color="91278F"/>
            </w:tcBorders>
            <w:hideMark/>
          </w:tcPr>
          <w:p w14:paraId="71ADAAFD" w14:textId="3C6F5DDF" w:rsidR="003B07FA" w:rsidRPr="004B0CC1" w:rsidRDefault="003B07FA" w:rsidP="00AF12DC">
            <w:pPr>
              <w:spacing w:before="120" w:after="120"/>
              <w:rPr>
                <w:sz w:val="20"/>
                <w:szCs w:val="20"/>
              </w:rPr>
            </w:pPr>
            <w:r w:rsidRPr="004B0CC1">
              <w:rPr>
                <w:sz w:val="20"/>
                <w:szCs w:val="20"/>
              </w:rPr>
              <w:t xml:space="preserve">On-street parking income </w:t>
            </w:r>
            <w:r w:rsidR="00113E54">
              <w:rPr>
                <w:sz w:val="20"/>
                <w:szCs w:val="20"/>
              </w:rPr>
              <w:t>t</w:t>
            </w:r>
            <w:r w:rsidRPr="004B0CC1">
              <w:rPr>
                <w:sz w:val="20"/>
                <w:szCs w:val="20"/>
              </w:rPr>
              <w:t>ype</w:t>
            </w:r>
          </w:p>
        </w:tc>
        <w:tc>
          <w:tcPr>
            <w:tcW w:w="0" w:type="auto"/>
            <w:tcBorders>
              <w:top w:val="single" w:sz="4" w:space="0" w:color="91278F"/>
              <w:left w:val="single" w:sz="4" w:space="0" w:color="91278F"/>
              <w:bottom w:val="single" w:sz="4" w:space="0" w:color="91278F"/>
              <w:right w:val="single" w:sz="4" w:space="0" w:color="91278F"/>
            </w:tcBorders>
            <w:hideMark/>
          </w:tcPr>
          <w:p w14:paraId="2E858F31" w14:textId="77777777" w:rsidR="003B07FA" w:rsidRPr="004B0CC1" w:rsidRDefault="003B07FA">
            <w:pPr>
              <w:spacing w:before="120" w:after="120"/>
              <w:rPr>
                <w:sz w:val="20"/>
                <w:szCs w:val="20"/>
              </w:rPr>
            </w:pPr>
            <w:r w:rsidRPr="004B0CC1">
              <w:rPr>
                <w:sz w:val="20"/>
                <w:szCs w:val="20"/>
              </w:rPr>
              <w:t>A description of where parking income has come from</w:t>
            </w:r>
          </w:p>
        </w:tc>
        <w:tc>
          <w:tcPr>
            <w:tcW w:w="0" w:type="auto"/>
            <w:tcBorders>
              <w:top w:val="single" w:sz="4" w:space="0" w:color="91278F"/>
              <w:left w:val="single" w:sz="4" w:space="0" w:color="91278F"/>
              <w:bottom w:val="single" w:sz="4" w:space="0" w:color="91278F"/>
              <w:right w:val="single" w:sz="4" w:space="0" w:color="91278F"/>
            </w:tcBorders>
            <w:hideMark/>
          </w:tcPr>
          <w:p w14:paraId="54D31833" w14:textId="77777777" w:rsidR="003B07FA" w:rsidRPr="004B0CC1" w:rsidRDefault="003B07FA">
            <w:pPr>
              <w:spacing w:before="120" w:after="120"/>
              <w:rPr>
                <w:sz w:val="20"/>
                <w:szCs w:val="20"/>
              </w:rPr>
            </w:pPr>
            <w:r w:rsidRPr="004B0CC1">
              <w:rPr>
                <w:sz w:val="20"/>
                <w:szCs w:val="20"/>
              </w:rPr>
              <w:t>To understand the types of income generated as mandated in the Code</w:t>
            </w:r>
          </w:p>
        </w:tc>
        <w:tc>
          <w:tcPr>
            <w:tcW w:w="0" w:type="auto"/>
            <w:tcBorders>
              <w:top w:val="single" w:sz="4" w:space="0" w:color="91278F"/>
              <w:left w:val="single" w:sz="4" w:space="0" w:color="91278F"/>
              <w:bottom w:val="single" w:sz="4" w:space="0" w:color="91278F"/>
              <w:right w:val="single" w:sz="4" w:space="0" w:color="91278F"/>
            </w:tcBorders>
            <w:hideMark/>
          </w:tcPr>
          <w:p w14:paraId="41544EB8" w14:textId="77777777" w:rsidR="003B07FA" w:rsidRPr="004B0CC1" w:rsidRDefault="003B07FA">
            <w:pPr>
              <w:widowControl/>
              <w:autoSpaceDE w:val="0"/>
              <w:autoSpaceDN w:val="0"/>
              <w:adjustRightInd w:val="0"/>
              <w:spacing w:before="0" w:after="0"/>
              <w:rPr>
                <w:color w:val="auto"/>
                <w:sz w:val="20"/>
                <w:szCs w:val="20"/>
              </w:rPr>
            </w:pPr>
            <w:r w:rsidRPr="004B0CC1">
              <w:rPr>
                <w:sz w:val="20"/>
                <w:szCs w:val="20"/>
              </w:rPr>
              <w:t xml:space="preserve">Encoded list with various types of income as follows : </w:t>
            </w:r>
            <w:r w:rsidRPr="004B0CC1">
              <w:rPr>
                <w:color w:val="auto"/>
                <w:sz w:val="20"/>
                <w:szCs w:val="20"/>
              </w:rPr>
              <w:t>Pay &amp; Display/Meters</w:t>
            </w:r>
          </w:p>
          <w:p w14:paraId="5A5CBBCA" w14:textId="77777777" w:rsidR="003B07FA" w:rsidRPr="004B0CC1" w:rsidRDefault="003B07FA">
            <w:pPr>
              <w:widowControl/>
              <w:autoSpaceDE w:val="0"/>
              <w:autoSpaceDN w:val="0"/>
              <w:adjustRightInd w:val="0"/>
              <w:spacing w:before="0" w:after="0"/>
              <w:rPr>
                <w:color w:val="auto"/>
                <w:sz w:val="20"/>
                <w:szCs w:val="20"/>
              </w:rPr>
            </w:pPr>
            <w:r w:rsidRPr="004B0CC1">
              <w:rPr>
                <w:color w:val="auto"/>
                <w:sz w:val="20"/>
                <w:szCs w:val="20"/>
              </w:rPr>
              <w:t>Residents' &amp;Visitors' Permits</w:t>
            </w:r>
          </w:p>
          <w:p w14:paraId="329D1125" w14:textId="77777777" w:rsidR="003B07FA" w:rsidRPr="004B0CC1" w:rsidRDefault="003B07FA">
            <w:pPr>
              <w:widowControl/>
              <w:autoSpaceDE w:val="0"/>
              <w:autoSpaceDN w:val="0"/>
              <w:adjustRightInd w:val="0"/>
              <w:spacing w:before="0" w:after="0"/>
              <w:rPr>
                <w:color w:val="auto"/>
                <w:sz w:val="20"/>
                <w:szCs w:val="20"/>
              </w:rPr>
            </w:pPr>
            <w:r w:rsidRPr="004B0CC1">
              <w:rPr>
                <w:color w:val="auto"/>
                <w:sz w:val="20"/>
                <w:szCs w:val="20"/>
              </w:rPr>
              <w:t>Business Permits</w:t>
            </w:r>
          </w:p>
          <w:p w14:paraId="4EA78D56" w14:textId="77777777" w:rsidR="003B07FA" w:rsidRPr="004B0CC1" w:rsidRDefault="003B07FA">
            <w:pPr>
              <w:widowControl/>
              <w:autoSpaceDE w:val="0"/>
              <w:autoSpaceDN w:val="0"/>
              <w:adjustRightInd w:val="0"/>
              <w:spacing w:before="0" w:after="0"/>
              <w:rPr>
                <w:color w:val="auto"/>
                <w:sz w:val="20"/>
                <w:szCs w:val="20"/>
              </w:rPr>
            </w:pPr>
            <w:r w:rsidRPr="004B0CC1">
              <w:rPr>
                <w:color w:val="auto"/>
                <w:sz w:val="20"/>
                <w:szCs w:val="20"/>
              </w:rPr>
              <w:t>Other non-PCN income</w:t>
            </w:r>
          </w:p>
          <w:p w14:paraId="0CE5EE5E" w14:textId="77777777" w:rsidR="003B07FA" w:rsidRPr="004B0CC1" w:rsidRDefault="003B07FA">
            <w:pPr>
              <w:widowControl/>
              <w:autoSpaceDE w:val="0"/>
              <w:autoSpaceDN w:val="0"/>
              <w:adjustRightInd w:val="0"/>
              <w:spacing w:before="0" w:after="0"/>
              <w:rPr>
                <w:color w:val="auto"/>
                <w:sz w:val="20"/>
                <w:szCs w:val="20"/>
              </w:rPr>
            </w:pPr>
            <w:r w:rsidRPr="004B0CC1">
              <w:rPr>
                <w:color w:val="auto"/>
                <w:sz w:val="20"/>
                <w:szCs w:val="20"/>
              </w:rPr>
              <w:t>PCN income</w:t>
            </w:r>
          </w:p>
          <w:p w14:paraId="6BF6429E" w14:textId="77777777" w:rsidR="003B07FA" w:rsidRPr="004B0CC1" w:rsidRDefault="003B07FA">
            <w:pPr>
              <w:widowControl/>
              <w:autoSpaceDE w:val="0"/>
              <w:autoSpaceDN w:val="0"/>
              <w:adjustRightInd w:val="0"/>
              <w:spacing w:before="0" w:after="0"/>
              <w:rPr>
                <w:color w:val="auto"/>
                <w:sz w:val="20"/>
                <w:szCs w:val="20"/>
              </w:rPr>
            </w:pPr>
            <w:r w:rsidRPr="004B0CC1">
              <w:rPr>
                <w:color w:val="auto"/>
                <w:sz w:val="20"/>
                <w:szCs w:val="20"/>
              </w:rPr>
              <w:t xml:space="preserve">Other, </w:t>
            </w:r>
          </w:p>
          <w:p w14:paraId="6166A99F" w14:textId="77777777" w:rsidR="003B07FA" w:rsidRPr="004B0CC1" w:rsidRDefault="003B07FA">
            <w:pPr>
              <w:widowControl/>
              <w:autoSpaceDE w:val="0"/>
              <w:autoSpaceDN w:val="0"/>
              <w:adjustRightInd w:val="0"/>
              <w:spacing w:before="0" w:after="0"/>
              <w:rPr>
                <w:sz w:val="20"/>
                <w:szCs w:val="20"/>
              </w:rPr>
            </w:pPr>
            <w:r w:rsidRPr="004B0CC1">
              <w:rPr>
                <w:color w:val="auto"/>
                <w:sz w:val="20"/>
                <w:szCs w:val="20"/>
              </w:rPr>
              <w:t>Total</w:t>
            </w:r>
          </w:p>
        </w:tc>
        <w:tc>
          <w:tcPr>
            <w:tcW w:w="0" w:type="auto"/>
            <w:tcBorders>
              <w:top w:val="single" w:sz="4" w:space="0" w:color="91278F"/>
              <w:left w:val="single" w:sz="4" w:space="0" w:color="91278F"/>
              <w:bottom w:val="single" w:sz="4" w:space="0" w:color="91278F"/>
              <w:right w:val="single" w:sz="4" w:space="0" w:color="91278F"/>
            </w:tcBorders>
            <w:hideMark/>
          </w:tcPr>
          <w:p w14:paraId="3A862D47" w14:textId="77777777" w:rsidR="003B07FA" w:rsidRPr="004B0CC1" w:rsidRDefault="003B07FA">
            <w:pPr>
              <w:spacing w:before="120" w:after="120"/>
              <w:rPr>
                <w:sz w:val="20"/>
                <w:szCs w:val="20"/>
              </w:rPr>
            </w:pPr>
            <w:r w:rsidRPr="004B0CC1">
              <w:rPr>
                <w:sz w:val="20"/>
                <w:szCs w:val="20"/>
              </w:rPr>
              <w:t>Mandated</w:t>
            </w:r>
          </w:p>
        </w:tc>
      </w:tr>
      <w:tr w:rsidR="003B07FA" w:rsidRPr="004B0CC1" w14:paraId="5369A611"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hideMark/>
          </w:tcPr>
          <w:p w14:paraId="01A61ADE" w14:textId="5F0AE2CF" w:rsidR="003B07FA" w:rsidRPr="004B0CC1" w:rsidRDefault="003B07FA">
            <w:pPr>
              <w:spacing w:before="120" w:after="120"/>
              <w:rPr>
                <w:sz w:val="20"/>
                <w:szCs w:val="20"/>
              </w:rPr>
            </w:pPr>
            <w:r w:rsidRPr="004B0CC1">
              <w:rPr>
                <w:sz w:val="20"/>
                <w:szCs w:val="20"/>
              </w:rPr>
              <w:t>5</w:t>
            </w:r>
          </w:p>
        </w:tc>
        <w:tc>
          <w:tcPr>
            <w:tcW w:w="0" w:type="auto"/>
            <w:tcBorders>
              <w:top w:val="single" w:sz="4" w:space="0" w:color="91278F"/>
              <w:left w:val="single" w:sz="4" w:space="0" w:color="91278F"/>
              <w:bottom w:val="single" w:sz="4" w:space="0" w:color="91278F"/>
              <w:right w:val="single" w:sz="4" w:space="0" w:color="91278F"/>
            </w:tcBorders>
            <w:hideMark/>
          </w:tcPr>
          <w:p w14:paraId="5C6170CB" w14:textId="3A0A0080" w:rsidR="003B07FA" w:rsidRPr="004B0CC1" w:rsidRDefault="003B07FA">
            <w:pPr>
              <w:spacing w:before="120" w:after="120"/>
              <w:rPr>
                <w:sz w:val="20"/>
                <w:szCs w:val="20"/>
              </w:rPr>
            </w:pPr>
            <w:r w:rsidRPr="004B0CC1">
              <w:rPr>
                <w:sz w:val="20"/>
                <w:szCs w:val="20"/>
              </w:rPr>
              <w:t>On street parking  income amount</w:t>
            </w:r>
          </w:p>
        </w:tc>
        <w:tc>
          <w:tcPr>
            <w:tcW w:w="0" w:type="auto"/>
            <w:tcBorders>
              <w:top w:val="single" w:sz="4" w:space="0" w:color="91278F"/>
              <w:left w:val="single" w:sz="4" w:space="0" w:color="91278F"/>
              <w:bottom w:val="single" w:sz="4" w:space="0" w:color="91278F"/>
              <w:right w:val="single" w:sz="4" w:space="0" w:color="91278F"/>
            </w:tcBorders>
            <w:hideMark/>
          </w:tcPr>
          <w:p w14:paraId="2130F3CA" w14:textId="77777777" w:rsidR="003B07FA" w:rsidRPr="004B0CC1" w:rsidRDefault="003B07FA">
            <w:pPr>
              <w:spacing w:before="120" w:after="120"/>
              <w:rPr>
                <w:sz w:val="20"/>
                <w:szCs w:val="20"/>
              </w:rPr>
            </w:pPr>
            <w:r w:rsidRPr="004B0CC1">
              <w:rPr>
                <w:sz w:val="20"/>
                <w:szCs w:val="20"/>
              </w:rPr>
              <w:t>Value of income</w:t>
            </w:r>
          </w:p>
        </w:tc>
        <w:tc>
          <w:tcPr>
            <w:tcW w:w="0" w:type="auto"/>
            <w:tcBorders>
              <w:top w:val="single" w:sz="4" w:space="0" w:color="91278F"/>
              <w:left w:val="single" w:sz="4" w:space="0" w:color="91278F"/>
              <w:bottom w:val="single" w:sz="4" w:space="0" w:color="91278F"/>
              <w:right w:val="single" w:sz="4" w:space="0" w:color="91278F"/>
            </w:tcBorders>
            <w:hideMark/>
          </w:tcPr>
          <w:p w14:paraId="6E055BBB" w14:textId="77777777" w:rsidR="003B07FA" w:rsidRPr="004B0CC1" w:rsidRDefault="003B07FA">
            <w:pPr>
              <w:spacing w:before="120" w:after="120"/>
              <w:rPr>
                <w:sz w:val="20"/>
                <w:szCs w:val="20"/>
              </w:rPr>
            </w:pPr>
            <w:r w:rsidRPr="004B0CC1">
              <w:rPr>
                <w:sz w:val="20"/>
                <w:szCs w:val="20"/>
              </w:rPr>
              <w:t>Record of what parking income is generated</w:t>
            </w:r>
          </w:p>
        </w:tc>
        <w:tc>
          <w:tcPr>
            <w:tcW w:w="0" w:type="auto"/>
            <w:tcBorders>
              <w:top w:val="single" w:sz="4" w:space="0" w:color="91278F"/>
              <w:left w:val="single" w:sz="4" w:space="0" w:color="91278F"/>
              <w:bottom w:val="single" w:sz="4" w:space="0" w:color="91278F"/>
              <w:right w:val="single" w:sz="4" w:space="0" w:color="91278F"/>
            </w:tcBorders>
            <w:hideMark/>
          </w:tcPr>
          <w:p w14:paraId="5E9CFC7C" w14:textId="77777777" w:rsidR="003B07FA" w:rsidRPr="004B0CC1" w:rsidRDefault="003B07FA">
            <w:pPr>
              <w:spacing w:before="120" w:after="120"/>
              <w:rPr>
                <w:sz w:val="20"/>
                <w:szCs w:val="20"/>
              </w:rPr>
            </w:pPr>
            <w:r w:rsidRPr="004B0CC1">
              <w:rPr>
                <w:sz w:val="20"/>
                <w:szCs w:val="20"/>
              </w:rPr>
              <w:t>Income by Income Type</w:t>
            </w:r>
          </w:p>
        </w:tc>
        <w:tc>
          <w:tcPr>
            <w:tcW w:w="0" w:type="auto"/>
            <w:tcBorders>
              <w:top w:val="single" w:sz="4" w:space="0" w:color="91278F"/>
              <w:left w:val="single" w:sz="4" w:space="0" w:color="91278F"/>
              <w:bottom w:val="single" w:sz="4" w:space="0" w:color="91278F"/>
              <w:right w:val="single" w:sz="4" w:space="0" w:color="91278F"/>
            </w:tcBorders>
            <w:hideMark/>
          </w:tcPr>
          <w:p w14:paraId="478EFC16" w14:textId="77777777" w:rsidR="003B07FA" w:rsidRPr="004B0CC1" w:rsidRDefault="003B07FA">
            <w:pPr>
              <w:spacing w:before="120" w:after="120"/>
              <w:rPr>
                <w:sz w:val="20"/>
                <w:szCs w:val="20"/>
              </w:rPr>
            </w:pPr>
            <w:r w:rsidRPr="004B0CC1">
              <w:rPr>
                <w:sz w:val="20"/>
                <w:szCs w:val="20"/>
              </w:rPr>
              <w:t>Mandated</w:t>
            </w:r>
          </w:p>
        </w:tc>
      </w:tr>
      <w:tr w:rsidR="003B07FA" w:rsidRPr="004B0CC1" w14:paraId="1D6B3B0B"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hideMark/>
          </w:tcPr>
          <w:p w14:paraId="1714BE5C" w14:textId="4899AB76" w:rsidR="003B07FA" w:rsidRPr="004B0CC1" w:rsidRDefault="003B07FA">
            <w:pPr>
              <w:spacing w:before="120" w:after="120"/>
              <w:rPr>
                <w:sz w:val="20"/>
                <w:szCs w:val="20"/>
              </w:rPr>
            </w:pPr>
            <w:r w:rsidRPr="004B0CC1">
              <w:rPr>
                <w:sz w:val="20"/>
                <w:szCs w:val="20"/>
              </w:rPr>
              <w:t>6</w:t>
            </w:r>
          </w:p>
        </w:tc>
        <w:tc>
          <w:tcPr>
            <w:tcW w:w="0" w:type="auto"/>
            <w:tcBorders>
              <w:top w:val="single" w:sz="4" w:space="0" w:color="91278F"/>
              <w:left w:val="single" w:sz="4" w:space="0" w:color="91278F"/>
              <w:bottom w:val="single" w:sz="4" w:space="0" w:color="91278F"/>
              <w:right w:val="single" w:sz="4" w:space="0" w:color="91278F"/>
            </w:tcBorders>
            <w:hideMark/>
          </w:tcPr>
          <w:p w14:paraId="11D77D48" w14:textId="6744B2B1" w:rsidR="003B07FA" w:rsidRPr="004B0CC1" w:rsidRDefault="003B07FA" w:rsidP="00AF12DC">
            <w:pPr>
              <w:spacing w:before="120" w:after="120"/>
              <w:rPr>
                <w:sz w:val="20"/>
                <w:szCs w:val="20"/>
              </w:rPr>
            </w:pPr>
            <w:r w:rsidRPr="004B0CC1">
              <w:rPr>
                <w:sz w:val="20"/>
                <w:szCs w:val="20"/>
              </w:rPr>
              <w:t>Off-street parking income type</w:t>
            </w:r>
          </w:p>
        </w:tc>
        <w:tc>
          <w:tcPr>
            <w:tcW w:w="0" w:type="auto"/>
            <w:tcBorders>
              <w:top w:val="single" w:sz="4" w:space="0" w:color="91278F"/>
              <w:left w:val="single" w:sz="4" w:space="0" w:color="91278F"/>
              <w:bottom w:val="single" w:sz="4" w:space="0" w:color="91278F"/>
              <w:right w:val="single" w:sz="4" w:space="0" w:color="91278F"/>
            </w:tcBorders>
            <w:hideMark/>
          </w:tcPr>
          <w:p w14:paraId="12EDECEE" w14:textId="77777777" w:rsidR="003B07FA" w:rsidRPr="004B0CC1" w:rsidRDefault="003B07FA">
            <w:pPr>
              <w:spacing w:before="120" w:after="120"/>
              <w:rPr>
                <w:sz w:val="20"/>
                <w:szCs w:val="20"/>
              </w:rPr>
            </w:pPr>
            <w:r w:rsidRPr="004B0CC1">
              <w:rPr>
                <w:sz w:val="20"/>
                <w:szCs w:val="20"/>
              </w:rPr>
              <w:t>A description of where parking income has come from</w:t>
            </w:r>
          </w:p>
        </w:tc>
        <w:tc>
          <w:tcPr>
            <w:tcW w:w="0" w:type="auto"/>
            <w:tcBorders>
              <w:top w:val="single" w:sz="4" w:space="0" w:color="91278F"/>
              <w:left w:val="single" w:sz="4" w:space="0" w:color="91278F"/>
              <w:bottom w:val="single" w:sz="4" w:space="0" w:color="91278F"/>
              <w:right w:val="single" w:sz="4" w:space="0" w:color="91278F"/>
            </w:tcBorders>
            <w:hideMark/>
          </w:tcPr>
          <w:p w14:paraId="4CA71BA9" w14:textId="77777777" w:rsidR="003B07FA" w:rsidRPr="004B0CC1" w:rsidRDefault="003B07FA">
            <w:pPr>
              <w:spacing w:before="120" w:after="120"/>
              <w:rPr>
                <w:sz w:val="20"/>
                <w:szCs w:val="20"/>
              </w:rPr>
            </w:pPr>
            <w:r w:rsidRPr="004B0CC1">
              <w:rPr>
                <w:sz w:val="20"/>
                <w:szCs w:val="20"/>
              </w:rPr>
              <w:t>To understand the types of income generated as mandated in the Code.</w:t>
            </w:r>
          </w:p>
        </w:tc>
        <w:tc>
          <w:tcPr>
            <w:tcW w:w="0" w:type="auto"/>
            <w:tcBorders>
              <w:top w:val="single" w:sz="4" w:space="0" w:color="91278F"/>
              <w:left w:val="single" w:sz="4" w:space="0" w:color="91278F"/>
              <w:bottom w:val="single" w:sz="4" w:space="0" w:color="91278F"/>
              <w:right w:val="single" w:sz="4" w:space="0" w:color="91278F"/>
            </w:tcBorders>
            <w:hideMark/>
          </w:tcPr>
          <w:p w14:paraId="41DCFAE3" w14:textId="77777777" w:rsidR="003B07FA" w:rsidRPr="004B0CC1" w:rsidRDefault="003B07FA">
            <w:pPr>
              <w:widowControl/>
              <w:autoSpaceDE w:val="0"/>
              <w:autoSpaceDN w:val="0"/>
              <w:adjustRightInd w:val="0"/>
              <w:spacing w:before="0" w:after="0"/>
              <w:rPr>
                <w:color w:val="auto"/>
                <w:sz w:val="20"/>
                <w:szCs w:val="20"/>
              </w:rPr>
            </w:pPr>
            <w:r w:rsidRPr="004B0CC1">
              <w:rPr>
                <w:sz w:val="20"/>
                <w:szCs w:val="20"/>
              </w:rPr>
              <w:t xml:space="preserve">Encoded list with various types of income as follows : </w:t>
            </w:r>
          </w:p>
          <w:p w14:paraId="4E5F71F3" w14:textId="1520B41B" w:rsidR="003B07FA" w:rsidRPr="004B0CC1" w:rsidRDefault="003B07FA" w:rsidP="00AF12DC">
            <w:pPr>
              <w:pStyle w:val="ListParagraph"/>
              <w:numPr>
                <w:ilvl w:val="0"/>
                <w:numId w:val="36"/>
              </w:numPr>
              <w:autoSpaceDE w:val="0"/>
              <w:autoSpaceDN w:val="0"/>
              <w:adjustRightInd w:val="0"/>
              <w:spacing w:before="0" w:after="0"/>
              <w:rPr>
                <w:color w:val="auto"/>
                <w:sz w:val="20"/>
                <w:szCs w:val="20"/>
              </w:rPr>
            </w:pPr>
            <w:r w:rsidRPr="004B0CC1">
              <w:rPr>
                <w:color w:val="auto"/>
                <w:sz w:val="20"/>
                <w:szCs w:val="20"/>
              </w:rPr>
              <w:t>Off street PCN income</w:t>
            </w:r>
          </w:p>
        </w:tc>
        <w:tc>
          <w:tcPr>
            <w:tcW w:w="0" w:type="auto"/>
            <w:tcBorders>
              <w:top w:val="single" w:sz="4" w:space="0" w:color="91278F"/>
              <w:left w:val="single" w:sz="4" w:space="0" w:color="91278F"/>
              <w:bottom w:val="single" w:sz="4" w:space="0" w:color="91278F"/>
              <w:right w:val="single" w:sz="4" w:space="0" w:color="91278F"/>
            </w:tcBorders>
            <w:hideMark/>
          </w:tcPr>
          <w:p w14:paraId="3EA3651F" w14:textId="77777777" w:rsidR="003B07FA" w:rsidRPr="004B0CC1" w:rsidRDefault="003B07FA">
            <w:pPr>
              <w:spacing w:before="120" w:after="120"/>
              <w:rPr>
                <w:sz w:val="20"/>
                <w:szCs w:val="20"/>
              </w:rPr>
            </w:pPr>
            <w:r w:rsidRPr="004B0CC1">
              <w:rPr>
                <w:sz w:val="20"/>
                <w:szCs w:val="20"/>
              </w:rPr>
              <w:t>Mandated</w:t>
            </w:r>
          </w:p>
        </w:tc>
      </w:tr>
      <w:tr w:rsidR="003B07FA" w:rsidRPr="004B0CC1" w14:paraId="5D83C44F"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hideMark/>
          </w:tcPr>
          <w:p w14:paraId="35C4D43D" w14:textId="06F9750F" w:rsidR="003B07FA" w:rsidRPr="004B0CC1" w:rsidRDefault="003B07FA">
            <w:pPr>
              <w:spacing w:before="120" w:after="120"/>
              <w:rPr>
                <w:sz w:val="20"/>
                <w:szCs w:val="20"/>
              </w:rPr>
            </w:pPr>
            <w:r w:rsidRPr="004B0CC1">
              <w:rPr>
                <w:sz w:val="20"/>
                <w:szCs w:val="20"/>
              </w:rPr>
              <w:t>7</w:t>
            </w:r>
          </w:p>
        </w:tc>
        <w:tc>
          <w:tcPr>
            <w:tcW w:w="0" w:type="auto"/>
            <w:tcBorders>
              <w:top w:val="single" w:sz="4" w:space="0" w:color="91278F"/>
              <w:left w:val="single" w:sz="4" w:space="0" w:color="91278F"/>
              <w:bottom w:val="single" w:sz="4" w:space="0" w:color="91278F"/>
              <w:right w:val="single" w:sz="4" w:space="0" w:color="91278F"/>
            </w:tcBorders>
            <w:hideMark/>
          </w:tcPr>
          <w:p w14:paraId="5B0EE753" w14:textId="736EE0D2" w:rsidR="003B07FA" w:rsidRPr="004B0CC1" w:rsidRDefault="003B07FA" w:rsidP="00AF12DC">
            <w:pPr>
              <w:spacing w:before="120" w:after="120"/>
              <w:rPr>
                <w:sz w:val="20"/>
                <w:szCs w:val="20"/>
              </w:rPr>
            </w:pPr>
            <w:r w:rsidRPr="004B0CC1">
              <w:rPr>
                <w:sz w:val="20"/>
                <w:szCs w:val="20"/>
              </w:rPr>
              <w:t>Off street parking  income amount</w:t>
            </w:r>
          </w:p>
        </w:tc>
        <w:tc>
          <w:tcPr>
            <w:tcW w:w="0" w:type="auto"/>
            <w:tcBorders>
              <w:top w:val="single" w:sz="4" w:space="0" w:color="91278F"/>
              <w:left w:val="single" w:sz="4" w:space="0" w:color="91278F"/>
              <w:bottom w:val="single" w:sz="4" w:space="0" w:color="91278F"/>
              <w:right w:val="single" w:sz="4" w:space="0" w:color="91278F"/>
            </w:tcBorders>
            <w:hideMark/>
          </w:tcPr>
          <w:p w14:paraId="65CD39B6" w14:textId="77777777" w:rsidR="003B07FA" w:rsidRPr="004B0CC1" w:rsidRDefault="003B07FA">
            <w:pPr>
              <w:spacing w:before="120" w:after="120"/>
              <w:rPr>
                <w:sz w:val="20"/>
                <w:szCs w:val="20"/>
              </w:rPr>
            </w:pPr>
            <w:r w:rsidRPr="004B0CC1">
              <w:rPr>
                <w:sz w:val="20"/>
                <w:szCs w:val="20"/>
              </w:rPr>
              <w:t>Value of income</w:t>
            </w:r>
          </w:p>
        </w:tc>
        <w:tc>
          <w:tcPr>
            <w:tcW w:w="0" w:type="auto"/>
            <w:tcBorders>
              <w:top w:val="single" w:sz="4" w:space="0" w:color="91278F"/>
              <w:left w:val="single" w:sz="4" w:space="0" w:color="91278F"/>
              <w:bottom w:val="single" w:sz="4" w:space="0" w:color="91278F"/>
              <w:right w:val="single" w:sz="4" w:space="0" w:color="91278F"/>
            </w:tcBorders>
            <w:hideMark/>
          </w:tcPr>
          <w:p w14:paraId="0D2BDDCD" w14:textId="77777777" w:rsidR="003B07FA" w:rsidRPr="004B0CC1" w:rsidRDefault="003B07FA">
            <w:pPr>
              <w:spacing w:before="120" w:after="120"/>
              <w:rPr>
                <w:sz w:val="20"/>
                <w:szCs w:val="20"/>
              </w:rPr>
            </w:pPr>
            <w:r w:rsidRPr="004B0CC1">
              <w:rPr>
                <w:sz w:val="20"/>
                <w:szCs w:val="20"/>
              </w:rPr>
              <w:t>Record of what parking income is generated</w:t>
            </w:r>
          </w:p>
        </w:tc>
        <w:tc>
          <w:tcPr>
            <w:tcW w:w="0" w:type="auto"/>
            <w:tcBorders>
              <w:top w:val="single" w:sz="4" w:space="0" w:color="91278F"/>
              <w:left w:val="single" w:sz="4" w:space="0" w:color="91278F"/>
              <w:bottom w:val="single" w:sz="4" w:space="0" w:color="91278F"/>
              <w:right w:val="single" w:sz="4" w:space="0" w:color="91278F"/>
            </w:tcBorders>
            <w:hideMark/>
          </w:tcPr>
          <w:p w14:paraId="66E8BD6A" w14:textId="77777777" w:rsidR="003B07FA" w:rsidRPr="004B0CC1" w:rsidRDefault="003B07FA">
            <w:pPr>
              <w:spacing w:before="120" w:after="120"/>
              <w:rPr>
                <w:sz w:val="20"/>
                <w:szCs w:val="20"/>
              </w:rPr>
            </w:pPr>
            <w:r w:rsidRPr="004B0CC1">
              <w:rPr>
                <w:sz w:val="20"/>
                <w:szCs w:val="20"/>
              </w:rPr>
              <w:t>Income by Off street  Income Type</w:t>
            </w:r>
          </w:p>
        </w:tc>
        <w:tc>
          <w:tcPr>
            <w:tcW w:w="0" w:type="auto"/>
            <w:tcBorders>
              <w:top w:val="single" w:sz="4" w:space="0" w:color="91278F"/>
              <w:left w:val="single" w:sz="4" w:space="0" w:color="91278F"/>
              <w:bottom w:val="single" w:sz="4" w:space="0" w:color="91278F"/>
              <w:right w:val="single" w:sz="4" w:space="0" w:color="91278F"/>
            </w:tcBorders>
            <w:hideMark/>
          </w:tcPr>
          <w:p w14:paraId="09B77157" w14:textId="77777777" w:rsidR="003B07FA" w:rsidRPr="004B0CC1" w:rsidRDefault="003B07FA">
            <w:pPr>
              <w:spacing w:before="120" w:after="120"/>
              <w:rPr>
                <w:sz w:val="20"/>
                <w:szCs w:val="20"/>
              </w:rPr>
            </w:pPr>
            <w:r w:rsidRPr="004B0CC1">
              <w:rPr>
                <w:sz w:val="20"/>
                <w:szCs w:val="20"/>
              </w:rPr>
              <w:t>Mandated</w:t>
            </w:r>
          </w:p>
        </w:tc>
      </w:tr>
      <w:tr w:rsidR="003B07FA" w:rsidRPr="004B0CC1" w14:paraId="61FCEC9D"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hideMark/>
          </w:tcPr>
          <w:p w14:paraId="230F0343" w14:textId="079A210E" w:rsidR="003B07FA" w:rsidRPr="004B0CC1" w:rsidRDefault="003B07FA">
            <w:pPr>
              <w:spacing w:before="120" w:after="120"/>
              <w:rPr>
                <w:sz w:val="20"/>
                <w:szCs w:val="20"/>
              </w:rPr>
            </w:pPr>
            <w:r w:rsidRPr="004B0CC1">
              <w:rPr>
                <w:sz w:val="20"/>
                <w:szCs w:val="20"/>
              </w:rPr>
              <w:t>8</w:t>
            </w:r>
          </w:p>
        </w:tc>
        <w:tc>
          <w:tcPr>
            <w:tcW w:w="0" w:type="auto"/>
            <w:tcBorders>
              <w:top w:val="single" w:sz="4" w:space="0" w:color="91278F"/>
              <w:left w:val="single" w:sz="4" w:space="0" w:color="91278F"/>
              <w:bottom w:val="single" w:sz="4" w:space="0" w:color="91278F"/>
              <w:right w:val="single" w:sz="4" w:space="0" w:color="91278F"/>
            </w:tcBorders>
            <w:hideMark/>
          </w:tcPr>
          <w:p w14:paraId="11FCDEC9" w14:textId="7071B9C4" w:rsidR="003B07FA" w:rsidRPr="004B0CC1" w:rsidRDefault="003B07FA" w:rsidP="00AF12DC">
            <w:pPr>
              <w:spacing w:before="120" w:after="120"/>
              <w:rPr>
                <w:sz w:val="20"/>
                <w:szCs w:val="20"/>
              </w:rPr>
            </w:pPr>
            <w:r w:rsidRPr="004B0CC1">
              <w:rPr>
                <w:sz w:val="20"/>
                <w:szCs w:val="20"/>
              </w:rPr>
              <w:t>Expenditure type</w:t>
            </w:r>
          </w:p>
        </w:tc>
        <w:tc>
          <w:tcPr>
            <w:tcW w:w="0" w:type="auto"/>
            <w:tcBorders>
              <w:top w:val="single" w:sz="4" w:space="0" w:color="91278F"/>
              <w:left w:val="single" w:sz="4" w:space="0" w:color="91278F"/>
              <w:bottom w:val="single" w:sz="4" w:space="0" w:color="91278F"/>
              <w:right w:val="single" w:sz="4" w:space="0" w:color="91278F"/>
            </w:tcBorders>
            <w:hideMark/>
          </w:tcPr>
          <w:p w14:paraId="2CFB7666" w14:textId="77777777" w:rsidR="003B07FA" w:rsidRPr="004B0CC1" w:rsidRDefault="003B07FA">
            <w:pPr>
              <w:spacing w:before="120" w:after="120"/>
              <w:rPr>
                <w:sz w:val="20"/>
                <w:szCs w:val="20"/>
              </w:rPr>
            </w:pPr>
            <w:r w:rsidRPr="004B0CC1">
              <w:rPr>
                <w:sz w:val="20"/>
                <w:szCs w:val="20"/>
              </w:rPr>
              <w:t>A description of expenditure</w:t>
            </w:r>
          </w:p>
        </w:tc>
        <w:tc>
          <w:tcPr>
            <w:tcW w:w="0" w:type="auto"/>
            <w:tcBorders>
              <w:top w:val="single" w:sz="4" w:space="0" w:color="91278F"/>
              <w:left w:val="single" w:sz="4" w:space="0" w:color="91278F"/>
              <w:bottom w:val="single" w:sz="4" w:space="0" w:color="91278F"/>
              <w:right w:val="single" w:sz="4" w:space="0" w:color="91278F"/>
            </w:tcBorders>
            <w:hideMark/>
          </w:tcPr>
          <w:p w14:paraId="45F9F56E" w14:textId="77777777" w:rsidR="003B07FA" w:rsidRPr="004B0CC1" w:rsidRDefault="003B07FA">
            <w:pPr>
              <w:spacing w:before="120" w:after="120"/>
              <w:rPr>
                <w:sz w:val="20"/>
                <w:szCs w:val="20"/>
              </w:rPr>
            </w:pPr>
            <w:r w:rsidRPr="004B0CC1">
              <w:rPr>
                <w:sz w:val="20"/>
                <w:szCs w:val="20"/>
              </w:rPr>
              <w:t xml:space="preserve">To be able to see the expenditure for parking </w:t>
            </w:r>
          </w:p>
        </w:tc>
        <w:tc>
          <w:tcPr>
            <w:tcW w:w="0" w:type="auto"/>
            <w:tcBorders>
              <w:top w:val="single" w:sz="4" w:space="0" w:color="91278F"/>
              <w:left w:val="single" w:sz="4" w:space="0" w:color="91278F"/>
              <w:bottom w:val="single" w:sz="4" w:space="0" w:color="91278F"/>
              <w:right w:val="single" w:sz="4" w:space="0" w:color="91278F"/>
            </w:tcBorders>
            <w:hideMark/>
          </w:tcPr>
          <w:p w14:paraId="214956A7" w14:textId="77777777" w:rsidR="003B07FA" w:rsidRPr="004B0CC1" w:rsidRDefault="003B07FA">
            <w:pPr>
              <w:spacing w:before="120" w:after="120"/>
              <w:rPr>
                <w:sz w:val="20"/>
                <w:szCs w:val="20"/>
              </w:rPr>
            </w:pPr>
            <w:r w:rsidRPr="004B0CC1">
              <w:rPr>
                <w:sz w:val="20"/>
                <w:szCs w:val="20"/>
              </w:rPr>
              <w:t xml:space="preserve">Encoded list which contains regular spend items for both on-street and off-street parking  </w:t>
            </w:r>
          </w:p>
          <w:p w14:paraId="158E0868" w14:textId="77777777" w:rsidR="003B07FA" w:rsidRPr="004B0CC1" w:rsidRDefault="003B07FA">
            <w:pPr>
              <w:widowControl/>
              <w:autoSpaceDE w:val="0"/>
              <w:autoSpaceDN w:val="0"/>
              <w:adjustRightInd w:val="0"/>
              <w:spacing w:before="0" w:after="0"/>
              <w:rPr>
                <w:i/>
                <w:iCs/>
                <w:color w:val="auto"/>
                <w:sz w:val="20"/>
                <w:szCs w:val="20"/>
              </w:rPr>
            </w:pPr>
            <w:r w:rsidRPr="004B0CC1">
              <w:rPr>
                <w:i/>
                <w:iCs/>
                <w:color w:val="auto"/>
                <w:sz w:val="20"/>
                <w:szCs w:val="20"/>
              </w:rPr>
              <w:t>Contractors</w:t>
            </w:r>
          </w:p>
          <w:p w14:paraId="04E5390E" w14:textId="77777777" w:rsidR="003B07FA" w:rsidRPr="004B0CC1" w:rsidRDefault="003B07FA">
            <w:pPr>
              <w:widowControl/>
              <w:autoSpaceDE w:val="0"/>
              <w:autoSpaceDN w:val="0"/>
              <w:adjustRightInd w:val="0"/>
              <w:spacing w:before="0" w:after="0"/>
              <w:rPr>
                <w:i/>
                <w:iCs/>
                <w:color w:val="auto"/>
                <w:sz w:val="20"/>
                <w:szCs w:val="20"/>
              </w:rPr>
            </w:pPr>
            <w:r w:rsidRPr="004B0CC1">
              <w:rPr>
                <w:i/>
                <w:iCs/>
                <w:color w:val="auto"/>
                <w:sz w:val="20"/>
                <w:szCs w:val="20"/>
              </w:rPr>
              <w:t>In-house staff</w:t>
            </w:r>
          </w:p>
          <w:p w14:paraId="68CA7532" w14:textId="77777777" w:rsidR="003B07FA" w:rsidRPr="004B0CC1" w:rsidRDefault="003B07FA">
            <w:pPr>
              <w:widowControl/>
              <w:autoSpaceDE w:val="0"/>
              <w:autoSpaceDN w:val="0"/>
              <w:adjustRightInd w:val="0"/>
              <w:spacing w:before="0" w:after="0"/>
              <w:rPr>
                <w:i/>
                <w:iCs/>
                <w:color w:val="auto"/>
                <w:sz w:val="20"/>
                <w:szCs w:val="20"/>
              </w:rPr>
            </w:pPr>
            <w:r w:rsidRPr="004B0CC1">
              <w:rPr>
                <w:i/>
                <w:iCs/>
                <w:color w:val="auto"/>
                <w:sz w:val="20"/>
                <w:szCs w:val="20"/>
              </w:rPr>
              <w:t>Equipment maintenance/renewal</w:t>
            </w:r>
          </w:p>
          <w:p w14:paraId="00DA91F6" w14:textId="186483C3" w:rsidR="003B07FA" w:rsidRPr="004B0CC1" w:rsidRDefault="003B07FA">
            <w:pPr>
              <w:widowControl/>
              <w:autoSpaceDE w:val="0"/>
              <w:autoSpaceDN w:val="0"/>
              <w:adjustRightInd w:val="0"/>
              <w:spacing w:before="0" w:after="0"/>
              <w:rPr>
                <w:i/>
                <w:iCs/>
                <w:color w:val="auto"/>
                <w:sz w:val="20"/>
                <w:szCs w:val="20"/>
              </w:rPr>
            </w:pPr>
            <w:r w:rsidRPr="004B0CC1">
              <w:rPr>
                <w:i/>
                <w:iCs/>
                <w:color w:val="auto"/>
                <w:sz w:val="20"/>
                <w:szCs w:val="20"/>
              </w:rPr>
              <w:t xml:space="preserve">London Councils or Traffic </w:t>
            </w:r>
            <w:proofErr w:type="spellStart"/>
            <w:r w:rsidRPr="004B0CC1">
              <w:rPr>
                <w:i/>
                <w:iCs/>
                <w:color w:val="auto"/>
                <w:sz w:val="20"/>
                <w:szCs w:val="20"/>
              </w:rPr>
              <w:t>PenaltiesTribunal</w:t>
            </w:r>
            <w:proofErr w:type="spellEnd"/>
            <w:r w:rsidRPr="004B0CC1">
              <w:rPr>
                <w:i/>
                <w:iCs/>
                <w:color w:val="auto"/>
                <w:sz w:val="20"/>
                <w:szCs w:val="20"/>
              </w:rPr>
              <w:t xml:space="preserve"> (as appropriate)</w:t>
            </w:r>
          </w:p>
          <w:p w14:paraId="0DF287C2" w14:textId="77777777" w:rsidR="003B07FA" w:rsidRPr="004B0CC1" w:rsidRDefault="003B07FA">
            <w:pPr>
              <w:widowControl/>
              <w:autoSpaceDE w:val="0"/>
              <w:autoSpaceDN w:val="0"/>
              <w:adjustRightInd w:val="0"/>
              <w:spacing w:before="0" w:after="0"/>
              <w:rPr>
                <w:i/>
                <w:iCs/>
                <w:color w:val="auto"/>
                <w:sz w:val="20"/>
                <w:szCs w:val="20"/>
              </w:rPr>
            </w:pPr>
            <w:r w:rsidRPr="004B0CC1">
              <w:rPr>
                <w:i/>
                <w:iCs/>
                <w:color w:val="auto"/>
                <w:sz w:val="20"/>
                <w:szCs w:val="20"/>
              </w:rPr>
              <w:t>Other</w:t>
            </w:r>
          </w:p>
          <w:p w14:paraId="2C4EE14A" w14:textId="77777777" w:rsidR="003B07FA" w:rsidRPr="004B0CC1" w:rsidRDefault="003B07FA">
            <w:pPr>
              <w:widowControl/>
              <w:autoSpaceDE w:val="0"/>
              <w:autoSpaceDN w:val="0"/>
              <w:adjustRightInd w:val="0"/>
              <w:spacing w:before="0" w:after="0"/>
              <w:rPr>
                <w:sz w:val="20"/>
                <w:szCs w:val="20"/>
              </w:rPr>
            </w:pPr>
            <w:r w:rsidRPr="004B0CC1">
              <w:rPr>
                <w:i/>
                <w:iCs/>
                <w:color w:val="auto"/>
                <w:sz w:val="20"/>
                <w:szCs w:val="20"/>
              </w:rPr>
              <w:t>Total</w:t>
            </w:r>
          </w:p>
        </w:tc>
        <w:tc>
          <w:tcPr>
            <w:tcW w:w="0" w:type="auto"/>
            <w:tcBorders>
              <w:top w:val="single" w:sz="4" w:space="0" w:color="91278F"/>
              <w:left w:val="single" w:sz="4" w:space="0" w:color="91278F"/>
              <w:bottom w:val="single" w:sz="4" w:space="0" w:color="91278F"/>
              <w:right w:val="single" w:sz="4" w:space="0" w:color="91278F"/>
            </w:tcBorders>
            <w:hideMark/>
          </w:tcPr>
          <w:p w14:paraId="6925961E" w14:textId="77777777" w:rsidR="003B07FA" w:rsidRPr="004B0CC1" w:rsidRDefault="003B07FA">
            <w:pPr>
              <w:spacing w:before="120" w:after="120"/>
              <w:rPr>
                <w:sz w:val="20"/>
                <w:szCs w:val="20"/>
              </w:rPr>
            </w:pPr>
            <w:r w:rsidRPr="004B0CC1">
              <w:rPr>
                <w:sz w:val="20"/>
                <w:szCs w:val="20"/>
              </w:rPr>
              <w:t>Mandated</w:t>
            </w:r>
          </w:p>
        </w:tc>
      </w:tr>
      <w:tr w:rsidR="003B07FA" w:rsidRPr="004B0CC1" w14:paraId="2B535B75"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hideMark/>
          </w:tcPr>
          <w:p w14:paraId="3F0E3C92" w14:textId="02C10FC6" w:rsidR="003B07FA" w:rsidRPr="004B0CC1" w:rsidRDefault="003B07FA">
            <w:pPr>
              <w:spacing w:before="120" w:after="120"/>
              <w:rPr>
                <w:sz w:val="20"/>
                <w:szCs w:val="20"/>
              </w:rPr>
            </w:pPr>
            <w:r w:rsidRPr="004B0CC1">
              <w:rPr>
                <w:sz w:val="20"/>
                <w:szCs w:val="20"/>
              </w:rPr>
              <w:lastRenderedPageBreak/>
              <w:t>9</w:t>
            </w:r>
          </w:p>
        </w:tc>
        <w:tc>
          <w:tcPr>
            <w:tcW w:w="0" w:type="auto"/>
            <w:tcBorders>
              <w:top w:val="single" w:sz="4" w:space="0" w:color="91278F"/>
              <w:left w:val="single" w:sz="4" w:space="0" w:color="91278F"/>
              <w:bottom w:val="single" w:sz="4" w:space="0" w:color="91278F"/>
              <w:right w:val="single" w:sz="4" w:space="0" w:color="91278F"/>
            </w:tcBorders>
            <w:hideMark/>
          </w:tcPr>
          <w:p w14:paraId="20367858" w14:textId="5D266785" w:rsidR="003B07FA" w:rsidRPr="004B0CC1" w:rsidRDefault="003B07FA">
            <w:pPr>
              <w:spacing w:before="120" w:after="120"/>
              <w:rPr>
                <w:sz w:val="20"/>
                <w:szCs w:val="20"/>
              </w:rPr>
            </w:pPr>
            <w:r w:rsidRPr="004B0CC1">
              <w:rPr>
                <w:sz w:val="20"/>
                <w:szCs w:val="20"/>
              </w:rPr>
              <w:t>Expenditure amount</w:t>
            </w:r>
          </w:p>
        </w:tc>
        <w:tc>
          <w:tcPr>
            <w:tcW w:w="0" w:type="auto"/>
            <w:tcBorders>
              <w:top w:val="single" w:sz="4" w:space="0" w:color="91278F"/>
              <w:left w:val="single" w:sz="4" w:space="0" w:color="91278F"/>
              <w:bottom w:val="single" w:sz="4" w:space="0" w:color="91278F"/>
              <w:right w:val="single" w:sz="4" w:space="0" w:color="91278F"/>
            </w:tcBorders>
            <w:hideMark/>
          </w:tcPr>
          <w:p w14:paraId="64B3907F" w14:textId="77777777" w:rsidR="003B07FA" w:rsidRPr="004B0CC1" w:rsidRDefault="003B07FA">
            <w:pPr>
              <w:spacing w:before="120" w:after="120"/>
              <w:rPr>
                <w:sz w:val="20"/>
                <w:szCs w:val="20"/>
              </w:rPr>
            </w:pPr>
            <w:r w:rsidRPr="004B0CC1">
              <w:rPr>
                <w:sz w:val="20"/>
                <w:szCs w:val="20"/>
              </w:rPr>
              <w:t>Value of the expenditure</w:t>
            </w:r>
          </w:p>
        </w:tc>
        <w:tc>
          <w:tcPr>
            <w:tcW w:w="0" w:type="auto"/>
            <w:tcBorders>
              <w:top w:val="single" w:sz="4" w:space="0" w:color="91278F"/>
              <w:left w:val="single" w:sz="4" w:space="0" w:color="91278F"/>
              <w:bottom w:val="single" w:sz="4" w:space="0" w:color="91278F"/>
              <w:right w:val="single" w:sz="4" w:space="0" w:color="91278F"/>
            </w:tcBorders>
            <w:hideMark/>
          </w:tcPr>
          <w:p w14:paraId="57BB51BF" w14:textId="77777777" w:rsidR="003B07FA" w:rsidRPr="004B0CC1" w:rsidRDefault="003B07FA">
            <w:pPr>
              <w:spacing w:before="120" w:after="120"/>
              <w:rPr>
                <w:sz w:val="20"/>
                <w:szCs w:val="20"/>
              </w:rPr>
            </w:pPr>
            <w:r w:rsidRPr="004B0CC1">
              <w:rPr>
                <w:sz w:val="20"/>
                <w:szCs w:val="20"/>
              </w:rPr>
              <w:t>Record of how much has been spent in each category</w:t>
            </w:r>
          </w:p>
        </w:tc>
        <w:tc>
          <w:tcPr>
            <w:tcW w:w="0" w:type="auto"/>
            <w:tcBorders>
              <w:top w:val="single" w:sz="4" w:space="0" w:color="91278F"/>
              <w:left w:val="single" w:sz="4" w:space="0" w:color="91278F"/>
              <w:bottom w:val="single" w:sz="4" w:space="0" w:color="91278F"/>
              <w:right w:val="single" w:sz="4" w:space="0" w:color="91278F"/>
            </w:tcBorders>
            <w:hideMark/>
          </w:tcPr>
          <w:p w14:paraId="483BDEA8" w14:textId="631F8B8E" w:rsidR="003B07FA" w:rsidRPr="004B0CC1" w:rsidRDefault="003B07FA">
            <w:pPr>
              <w:spacing w:before="120" w:after="120"/>
              <w:rPr>
                <w:sz w:val="20"/>
                <w:szCs w:val="20"/>
              </w:rPr>
            </w:pPr>
            <w:r w:rsidRPr="004B0CC1">
              <w:rPr>
                <w:sz w:val="20"/>
                <w:szCs w:val="20"/>
              </w:rPr>
              <w:t>Expenditure amount by type.</w:t>
            </w:r>
          </w:p>
        </w:tc>
        <w:tc>
          <w:tcPr>
            <w:tcW w:w="0" w:type="auto"/>
            <w:tcBorders>
              <w:top w:val="single" w:sz="4" w:space="0" w:color="91278F"/>
              <w:left w:val="single" w:sz="4" w:space="0" w:color="91278F"/>
              <w:bottom w:val="single" w:sz="4" w:space="0" w:color="91278F"/>
              <w:right w:val="single" w:sz="4" w:space="0" w:color="91278F"/>
            </w:tcBorders>
            <w:hideMark/>
          </w:tcPr>
          <w:p w14:paraId="3BD9BDCE" w14:textId="77777777" w:rsidR="003B07FA" w:rsidRPr="004B0CC1" w:rsidRDefault="003B07FA">
            <w:pPr>
              <w:spacing w:before="120" w:after="120"/>
              <w:rPr>
                <w:sz w:val="20"/>
                <w:szCs w:val="20"/>
              </w:rPr>
            </w:pPr>
            <w:r w:rsidRPr="004B0CC1">
              <w:rPr>
                <w:sz w:val="20"/>
                <w:szCs w:val="20"/>
              </w:rPr>
              <w:t>Mandated</w:t>
            </w:r>
          </w:p>
        </w:tc>
      </w:tr>
      <w:tr w:rsidR="003B07FA" w:rsidRPr="004B0CC1" w14:paraId="585682FA"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hideMark/>
          </w:tcPr>
          <w:p w14:paraId="37E86641" w14:textId="260C13EA" w:rsidR="003B07FA" w:rsidRPr="004B0CC1" w:rsidRDefault="003B07FA">
            <w:pPr>
              <w:spacing w:before="120" w:after="120"/>
              <w:rPr>
                <w:sz w:val="20"/>
                <w:szCs w:val="20"/>
              </w:rPr>
            </w:pPr>
            <w:r w:rsidRPr="004B0CC1">
              <w:rPr>
                <w:sz w:val="20"/>
                <w:szCs w:val="20"/>
              </w:rPr>
              <w:t>10</w:t>
            </w:r>
          </w:p>
        </w:tc>
        <w:tc>
          <w:tcPr>
            <w:tcW w:w="0" w:type="auto"/>
            <w:tcBorders>
              <w:top w:val="single" w:sz="4" w:space="0" w:color="91278F"/>
              <w:left w:val="single" w:sz="4" w:space="0" w:color="91278F"/>
              <w:bottom w:val="single" w:sz="4" w:space="0" w:color="91278F"/>
              <w:right w:val="single" w:sz="4" w:space="0" w:color="91278F"/>
            </w:tcBorders>
            <w:hideMark/>
          </w:tcPr>
          <w:p w14:paraId="69A7A1C7" w14:textId="1C983C26" w:rsidR="003B07FA" w:rsidRPr="004B0CC1" w:rsidRDefault="003B07FA">
            <w:pPr>
              <w:spacing w:before="120" w:after="120"/>
              <w:rPr>
                <w:sz w:val="20"/>
                <w:szCs w:val="20"/>
              </w:rPr>
            </w:pPr>
            <w:r w:rsidRPr="004B0CC1">
              <w:rPr>
                <w:sz w:val="20"/>
                <w:szCs w:val="20"/>
              </w:rPr>
              <w:t>Surplus amount</w:t>
            </w:r>
          </w:p>
        </w:tc>
        <w:tc>
          <w:tcPr>
            <w:tcW w:w="0" w:type="auto"/>
            <w:tcBorders>
              <w:top w:val="single" w:sz="4" w:space="0" w:color="91278F"/>
              <w:left w:val="single" w:sz="4" w:space="0" w:color="91278F"/>
              <w:bottom w:val="single" w:sz="4" w:space="0" w:color="91278F"/>
              <w:right w:val="single" w:sz="4" w:space="0" w:color="91278F"/>
            </w:tcBorders>
            <w:hideMark/>
          </w:tcPr>
          <w:p w14:paraId="5EF64B26" w14:textId="77777777" w:rsidR="003B07FA" w:rsidRPr="004B0CC1" w:rsidRDefault="003B07FA">
            <w:pPr>
              <w:spacing w:before="120" w:after="120"/>
              <w:rPr>
                <w:sz w:val="20"/>
                <w:szCs w:val="20"/>
              </w:rPr>
            </w:pPr>
            <w:r w:rsidRPr="004B0CC1">
              <w:rPr>
                <w:sz w:val="20"/>
                <w:szCs w:val="20"/>
              </w:rPr>
              <w:t>The difference between the total amount of income and the total amount of expenditure</w:t>
            </w:r>
          </w:p>
        </w:tc>
        <w:tc>
          <w:tcPr>
            <w:tcW w:w="0" w:type="auto"/>
            <w:tcBorders>
              <w:top w:val="single" w:sz="4" w:space="0" w:color="91278F"/>
              <w:left w:val="single" w:sz="4" w:space="0" w:color="91278F"/>
              <w:bottom w:val="single" w:sz="4" w:space="0" w:color="91278F"/>
              <w:right w:val="single" w:sz="4" w:space="0" w:color="91278F"/>
            </w:tcBorders>
            <w:hideMark/>
          </w:tcPr>
          <w:p w14:paraId="29ADD450" w14:textId="77777777" w:rsidR="003B07FA" w:rsidRPr="004B0CC1" w:rsidRDefault="003B07FA">
            <w:pPr>
              <w:spacing w:before="120" w:after="120"/>
              <w:rPr>
                <w:sz w:val="20"/>
                <w:szCs w:val="20"/>
              </w:rPr>
            </w:pPr>
            <w:r w:rsidRPr="004B0CC1">
              <w:rPr>
                <w:sz w:val="20"/>
                <w:szCs w:val="20"/>
              </w:rPr>
              <w:t>To be able to identify the surplus from on-street and off-street parking</w:t>
            </w:r>
          </w:p>
        </w:tc>
        <w:tc>
          <w:tcPr>
            <w:tcW w:w="0" w:type="auto"/>
            <w:tcBorders>
              <w:top w:val="single" w:sz="4" w:space="0" w:color="91278F"/>
              <w:left w:val="single" w:sz="4" w:space="0" w:color="91278F"/>
              <w:bottom w:val="single" w:sz="4" w:space="0" w:color="91278F"/>
              <w:right w:val="single" w:sz="4" w:space="0" w:color="91278F"/>
            </w:tcBorders>
            <w:hideMark/>
          </w:tcPr>
          <w:p w14:paraId="0CB6BCEF" w14:textId="77777777" w:rsidR="003B07FA" w:rsidRPr="004B0CC1" w:rsidRDefault="003B07FA">
            <w:pPr>
              <w:spacing w:line="320" w:lineRule="exact"/>
              <w:rPr>
                <w:sz w:val="20"/>
                <w:szCs w:val="20"/>
              </w:rPr>
            </w:pPr>
            <w:r w:rsidRPr="004B0CC1">
              <w:rPr>
                <w:sz w:val="20"/>
                <w:szCs w:val="20"/>
              </w:rPr>
              <w:t>Sum of all on-street and off-street parking income as specified in the income types minus the total expenditure. The sum could show a deficit.</w:t>
            </w:r>
          </w:p>
        </w:tc>
        <w:tc>
          <w:tcPr>
            <w:tcW w:w="0" w:type="auto"/>
            <w:tcBorders>
              <w:top w:val="single" w:sz="4" w:space="0" w:color="91278F"/>
              <w:left w:val="single" w:sz="4" w:space="0" w:color="91278F"/>
              <w:bottom w:val="single" w:sz="4" w:space="0" w:color="91278F"/>
              <w:right w:val="single" w:sz="4" w:space="0" w:color="91278F"/>
            </w:tcBorders>
            <w:hideMark/>
          </w:tcPr>
          <w:p w14:paraId="597AD552" w14:textId="77777777" w:rsidR="003B07FA" w:rsidRPr="004B0CC1" w:rsidRDefault="003B07FA">
            <w:pPr>
              <w:spacing w:before="120" w:after="120"/>
              <w:rPr>
                <w:sz w:val="20"/>
                <w:szCs w:val="20"/>
              </w:rPr>
            </w:pPr>
            <w:r w:rsidRPr="004B0CC1">
              <w:rPr>
                <w:sz w:val="20"/>
                <w:szCs w:val="20"/>
              </w:rPr>
              <w:t>Mandated</w:t>
            </w:r>
          </w:p>
        </w:tc>
      </w:tr>
      <w:tr w:rsidR="003B07FA" w:rsidRPr="004B0CC1" w14:paraId="36E8FC12"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hideMark/>
          </w:tcPr>
          <w:p w14:paraId="09EBA902" w14:textId="0CB11C14" w:rsidR="003B07FA" w:rsidRPr="004B0CC1" w:rsidRDefault="003B07FA">
            <w:pPr>
              <w:spacing w:before="120" w:after="120"/>
              <w:rPr>
                <w:sz w:val="20"/>
                <w:szCs w:val="20"/>
              </w:rPr>
            </w:pPr>
            <w:r w:rsidRPr="004B0CC1">
              <w:rPr>
                <w:sz w:val="20"/>
                <w:szCs w:val="20"/>
              </w:rPr>
              <w:t>11</w:t>
            </w:r>
          </w:p>
        </w:tc>
        <w:tc>
          <w:tcPr>
            <w:tcW w:w="0" w:type="auto"/>
            <w:tcBorders>
              <w:top w:val="single" w:sz="4" w:space="0" w:color="91278F"/>
              <w:left w:val="single" w:sz="4" w:space="0" w:color="91278F"/>
              <w:bottom w:val="single" w:sz="4" w:space="0" w:color="91278F"/>
              <w:right w:val="single" w:sz="4" w:space="0" w:color="91278F"/>
            </w:tcBorders>
            <w:hideMark/>
          </w:tcPr>
          <w:p w14:paraId="30BF72B1" w14:textId="68CDB5C7" w:rsidR="003B07FA" w:rsidRPr="004B0CC1" w:rsidRDefault="003B07FA" w:rsidP="00AF12DC">
            <w:pPr>
              <w:spacing w:before="120" w:after="120"/>
              <w:rPr>
                <w:sz w:val="20"/>
                <w:szCs w:val="20"/>
              </w:rPr>
            </w:pPr>
            <w:r w:rsidRPr="004B0CC1">
              <w:rPr>
                <w:sz w:val="20"/>
                <w:szCs w:val="20"/>
              </w:rPr>
              <w:t>Surplus spend type</w:t>
            </w:r>
          </w:p>
        </w:tc>
        <w:tc>
          <w:tcPr>
            <w:tcW w:w="0" w:type="auto"/>
            <w:tcBorders>
              <w:top w:val="single" w:sz="4" w:space="0" w:color="91278F"/>
              <w:left w:val="single" w:sz="4" w:space="0" w:color="91278F"/>
              <w:bottom w:val="single" w:sz="4" w:space="0" w:color="91278F"/>
              <w:right w:val="single" w:sz="4" w:space="0" w:color="91278F"/>
            </w:tcBorders>
            <w:hideMark/>
          </w:tcPr>
          <w:p w14:paraId="3B9FB649" w14:textId="77777777" w:rsidR="003B07FA" w:rsidRPr="004B0CC1" w:rsidRDefault="003B07FA">
            <w:pPr>
              <w:spacing w:before="120" w:after="120"/>
              <w:rPr>
                <w:sz w:val="20"/>
                <w:szCs w:val="20"/>
              </w:rPr>
            </w:pPr>
            <w:r w:rsidRPr="004B0CC1">
              <w:rPr>
                <w:sz w:val="20"/>
                <w:szCs w:val="20"/>
              </w:rPr>
              <w:t>Specify how the surplus is spent</w:t>
            </w:r>
          </w:p>
        </w:tc>
        <w:tc>
          <w:tcPr>
            <w:tcW w:w="0" w:type="auto"/>
            <w:tcBorders>
              <w:top w:val="single" w:sz="4" w:space="0" w:color="91278F"/>
              <w:left w:val="single" w:sz="4" w:space="0" w:color="91278F"/>
              <w:bottom w:val="single" w:sz="4" w:space="0" w:color="91278F"/>
              <w:right w:val="single" w:sz="4" w:space="0" w:color="91278F"/>
            </w:tcBorders>
            <w:hideMark/>
          </w:tcPr>
          <w:p w14:paraId="7920DB05" w14:textId="77777777" w:rsidR="003B07FA" w:rsidRPr="004B0CC1" w:rsidRDefault="003B07FA">
            <w:pPr>
              <w:spacing w:before="120" w:after="120"/>
              <w:rPr>
                <w:sz w:val="20"/>
                <w:szCs w:val="20"/>
              </w:rPr>
            </w:pPr>
            <w:r w:rsidRPr="004B0CC1">
              <w:rPr>
                <w:sz w:val="20"/>
                <w:szCs w:val="20"/>
              </w:rPr>
              <w:t>as mandated in the Code and section 55 of the Road Traffic Regulation Act 1984</w:t>
            </w:r>
          </w:p>
        </w:tc>
        <w:tc>
          <w:tcPr>
            <w:tcW w:w="0" w:type="auto"/>
            <w:tcBorders>
              <w:top w:val="single" w:sz="4" w:space="0" w:color="91278F"/>
              <w:left w:val="single" w:sz="4" w:space="0" w:color="91278F"/>
              <w:bottom w:val="single" w:sz="4" w:space="0" w:color="91278F"/>
              <w:right w:val="single" w:sz="4" w:space="0" w:color="91278F"/>
            </w:tcBorders>
            <w:hideMark/>
          </w:tcPr>
          <w:p w14:paraId="7C7F3A1C" w14:textId="77777777" w:rsidR="003B07FA" w:rsidRPr="004B0CC1" w:rsidRDefault="003B07FA">
            <w:pPr>
              <w:rPr>
                <w:sz w:val="20"/>
                <w:szCs w:val="20"/>
              </w:rPr>
            </w:pPr>
            <w:r w:rsidRPr="004B0CC1">
              <w:rPr>
                <w:sz w:val="20"/>
                <w:szCs w:val="20"/>
              </w:rPr>
              <w:t>Encoded list  which specifies how councils spend surplus in accordance with section 55 of Road Traffic regulation Act 1984 as follows:</w:t>
            </w:r>
          </w:p>
          <w:p w14:paraId="37E54892" w14:textId="77777777" w:rsidR="003B07FA" w:rsidRPr="004B0CC1" w:rsidRDefault="003B07FA" w:rsidP="00DC41B2">
            <w:pPr>
              <w:pStyle w:val="ListParagraph"/>
              <w:numPr>
                <w:ilvl w:val="0"/>
                <w:numId w:val="37"/>
              </w:numPr>
              <w:rPr>
                <w:sz w:val="20"/>
                <w:szCs w:val="20"/>
              </w:rPr>
            </w:pPr>
            <w:r w:rsidRPr="004B0CC1">
              <w:rPr>
                <w:sz w:val="20"/>
                <w:szCs w:val="20"/>
              </w:rPr>
              <w:t>providing additional parking facilities</w:t>
            </w:r>
          </w:p>
          <w:p w14:paraId="721DE160" w14:textId="77777777" w:rsidR="003B07FA" w:rsidRPr="004B0CC1" w:rsidRDefault="003B07FA" w:rsidP="00DC41B2">
            <w:pPr>
              <w:pStyle w:val="ListParagraph"/>
              <w:numPr>
                <w:ilvl w:val="0"/>
                <w:numId w:val="37"/>
              </w:numPr>
              <w:rPr>
                <w:sz w:val="20"/>
                <w:szCs w:val="20"/>
              </w:rPr>
            </w:pPr>
            <w:r w:rsidRPr="004B0CC1">
              <w:rPr>
                <w:sz w:val="20"/>
                <w:szCs w:val="20"/>
              </w:rPr>
              <w:t>public transport schemes</w:t>
            </w:r>
          </w:p>
          <w:p w14:paraId="7F5C25FE" w14:textId="77777777" w:rsidR="003B07FA" w:rsidRPr="004B0CC1" w:rsidRDefault="003B07FA" w:rsidP="00DC41B2">
            <w:pPr>
              <w:pStyle w:val="ListParagraph"/>
              <w:numPr>
                <w:ilvl w:val="0"/>
                <w:numId w:val="37"/>
              </w:numPr>
              <w:rPr>
                <w:sz w:val="20"/>
                <w:szCs w:val="20"/>
              </w:rPr>
            </w:pPr>
            <w:r w:rsidRPr="004B0CC1">
              <w:rPr>
                <w:sz w:val="20"/>
                <w:szCs w:val="20"/>
              </w:rPr>
              <w:t>highway improvements</w:t>
            </w:r>
          </w:p>
          <w:p w14:paraId="0D2A86E0" w14:textId="77777777" w:rsidR="003B07FA" w:rsidRPr="004B0CC1" w:rsidRDefault="003B07FA" w:rsidP="00DC41B2">
            <w:pPr>
              <w:pStyle w:val="ListParagraph"/>
              <w:numPr>
                <w:ilvl w:val="0"/>
                <w:numId w:val="37"/>
              </w:numPr>
              <w:rPr>
                <w:sz w:val="20"/>
                <w:szCs w:val="20"/>
              </w:rPr>
            </w:pPr>
            <w:r w:rsidRPr="004B0CC1">
              <w:rPr>
                <w:sz w:val="20"/>
                <w:szCs w:val="20"/>
              </w:rPr>
              <w:t>road maintenance</w:t>
            </w:r>
          </w:p>
          <w:p w14:paraId="3384EDC2" w14:textId="77777777" w:rsidR="003B07FA" w:rsidRPr="004B0CC1" w:rsidRDefault="003B07FA" w:rsidP="00DC41B2">
            <w:pPr>
              <w:pStyle w:val="ListParagraph"/>
              <w:numPr>
                <w:ilvl w:val="0"/>
                <w:numId w:val="37"/>
              </w:numPr>
              <w:rPr>
                <w:sz w:val="20"/>
                <w:szCs w:val="20"/>
              </w:rPr>
            </w:pPr>
            <w:r w:rsidRPr="004B0CC1">
              <w:rPr>
                <w:sz w:val="20"/>
                <w:szCs w:val="20"/>
              </w:rPr>
              <w:t>schemes supporting the Mayor of London’s strategy (for Greater London authorities)</w:t>
            </w:r>
          </w:p>
          <w:p w14:paraId="0DA1EFAA" w14:textId="77777777" w:rsidR="003B07FA" w:rsidRPr="004B0CC1" w:rsidRDefault="003B07FA" w:rsidP="00DC41B2">
            <w:pPr>
              <w:pStyle w:val="ListParagraph"/>
              <w:numPr>
                <w:ilvl w:val="0"/>
                <w:numId w:val="37"/>
              </w:numPr>
              <w:spacing w:before="120" w:after="120"/>
              <w:rPr>
                <w:sz w:val="20"/>
                <w:szCs w:val="20"/>
              </w:rPr>
            </w:pPr>
            <w:proofErr w:type="gramStart"/>
            <w:r w:rsidRPr="004B0CC1">
              <w:rPr>
                <w:sz w:val="20"/>
                <w:szCs w:val="20"/>
              </w:rPr>
              <w:t>environmental</w:t>
            </w:r>
            <w:proofErr w:type="gramEnd"/>
            <w:r w:rsidRPr="004B0CC1">
              <w:rPr>
                <w:sz w:val="20"/>
                <w:szCs w:val="20"/>
              </w:rPr>
              <w:t xml:space="preserve"> improvements.</w:t>
            </w:r>
          </w:p>
        </w:tc>
        <w:tc>
          <w:tcPr>
            <w:tcW w:w="0" w:type="auto"/>
            <w:tcBorders>
              <w:top w:val="single" w:sz="4" w:space="0" w:color="91278F"/>
              <w:left w:val="single" w:sz="4" w:space="0" w:color="91278F"/>
              <w:bottom w:val="single" w:sz="4" w:space="0" w:color="91278F"/>
              <w:right w:val="single" w:sz="4" w:space="0" w:color="91278F"/>
            </w:tcBorders>
            <w:hideMark/>
          </w:tcPr>
          <w:p w14:paraId="18740B7A" w14:textId="4C39BDDF" w:rsidR="003B07FA" w:rsidRPr="004B0CC1" w:rsidRDefault="003B07FA">
            <w:pPr>
              <w:spacing w:before="120" w:after="120"/>
              <w:rPr>
                <w:sz w:val="20"/>
                <w:szCs w:val="20"/>
              </w:rPr>
            </w:pPr>
            <w:r w:rsidRPr="004B0CC1">
              <w:rPr>
                <w:sz w:val="20"/>
                <w:szCs w:val="20"/>
              </w:rPr>
              <w:t>Mandated (not required if revenue shows a deficit)</w:t>
            </w:r>
          </w:p>
        </w:tc>
      </w:tr>
      <w:tr w:rsidR="003B07FA" w:rsidRPr="004B0CC1" w14:paraId="4E7C3B4C"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tcPr>
          <w:p w14:paraId="231B1396" w14:textId="018EEE08" w:rsidR="003B07FA" w:rsidRPr="004B0CC1" w:rsidRDefault="003B07FA">
            <w:pPr>
              <w:spacing w:before="120" w:after="120"/>
              <w:rPr>
                <w:sz w:val="20"/>
                <w:szCs w:val="20"/>
              </w:rPr>
            </w:pPr>
            <w:r w:rsidRPr="004B0CC1">
              <w:rPr>
                <w:sz w:val="20"/>
                <w:szCs w:val="20"/>
              </w:rPr>
              <w:t>12</w:t>
            </w:r>
          </w:p>
        </w:tc>
        <w:tc>
          <w:tcPr>
            <w:tcW w:w="0" w:type="auto"/>
            <w:tcBorders>
              <w:top w:val="single" w:sz="4" w:space="0" w:color="91278F"/>
              <w:left w:val="single" w:sz="4" w:space="0" w:color="91278F"/>
              <w:bottom w:val="single" w:sz="4" w:space="0" w:color="91278F"/>
              <w:right w:val="single" w:sz="4" w:space="0" w:color="91278F"/>
            </w:tcBorders>
            <w:hideMark/>
          </w:tcPr>
          <w:p w14:paraId="60CB1B2F" w14:textId="77777777" w:rsidR="003B07FA" w:rsidRPr="004B0CC1" w:rsidRDefault="003B07FA">
            <w:pPr>
              <w:spacing w:before="120" w:after="120"/>
              <w:rPr>
                <w:sz w:val="20"/>
                <w:szCs w:val="20"/>
              </w:rPr>
            </w:pPr>
            <w:r w:rsidRPr="004B0CC1">
              <w:rPr>
                <w:sz w:val="20"/>
                <w:szCs w:val="20"/>
              </w:rPr>
              <w:t>Surplus spend amount</w:t>
            </w:r>
          </w:p>
        </w:tc>
        <w:tc>
          <w:tcPr>
            <w:tcW w:w="0" w:type="auto"/>
            <w:tcBorders>
              <w:top w:val="single" w:sz="4" w:space="0" w:color="91278F"/>
              <w:left w:val="single" w:sz="4" w:space="0" w:color="91278F"/>
              <w:bottom w:val="single" w:sz="4" w:space="0" w:color="91278F"/>
              <w:right w:val="single" w:sz="4" w:space="0" w:color="91278F"/>
            </w:tcBorders>
            <w:hideMark/>
          </w:tcPr>
          <w:p w14:paraId="6ADED507" w14:textId="77777777" w:rsidR="003B07FA" w:rsidRPr="004B0CC1" w:rsidRDefault="003B07FA">
            <w:pPr>
              <w:spacing w:before="120" w:after="120"/>
              <w:rPr>
                <w:sz w:val="20"/>
                <w:szCs w:val="20"/>
              </w:rPr>
            </w:pPr>
            <w:r w:rsidRPr="004B0CC1">
              <w:rPr>
                <w:sz w:val="20"/>
                <w:szCs w:val="20"/>
              </w:rPr>
              <w:t>Specify the amount of  surplus spent</w:t>
            </w:r>
          </w:p>
        </w:tc>
        <w:tc>
          <w:tcPr>
            <w:tcW w:w="0" w:type="auto"/>
            <w:tcBorders>
              <w:top w:val="single" w:sz="4" w:space="0" w:color="91278F"/>
              <w:left w:val="single" w:sz="4" w:space="0" w:color="91278F"/>
              <w:bottom w:val="single" w:sz="4" w:space="0" w:color="91278F"/>
              <w:right w:val="single" w:sz="4" w:space="0" w:color="91278F"/>
            </w:tcBorders>
          </w:tcPr>
          <w:p w14:paraId="019F7086" w14:textId="77777777" w:rsidR="003B07FA" w:rsidRPr="004B0CC1" w:rsidRDefault="003B07FA">
            <w:pPr>
              <w:spacing w:before="120" w:after="120"/>
              <w:rPr>
                <w:sz w:val="20"/>
                <w:szCs w:val="20"/>
              </w:rPr>
            </w:pPr>
          </w:p>
        </w:tc>
        <w:tc>
          <w:tcPr>
            <w:tcW w:w="0" w:type="auto"/>
            <w:tcBorders>
              <w:top w:val="single" w:sz="4" w:space="0" w:color="91278F"/>
              <w:left w:val="single" w:sz="4" w:space="0" w:color="91278F"/>
              <w:bottom w:val="single" w:sz="4" w:space="0" w:color="91278F"/>
              <w:right w:val="single" w:sz="4" w:space="0" w:color="91278F"/>
            </w:tcBorders>
            <w:hideMark/>
          </w:tcPr>
          <w:p w14:paraId="5CAC6546" w14:textId="77777777" w:rsidR="003B07FA" w:rsidRPr="004B0CC1" w:rsidRDefault="003B07FA">
            <w:pPr>
              <w:spacing w:line="320" w:lineRule="exact"/>
              <w:rPr>
                <w:sz w:val="20"/>
                <w:szCs w:val="20"/>
              </w:rPr>
            </w:pPr>
            <w:r w:rsidRPr="004B0CC1">
              <w:rPr>
                <w:sz w:val="20"/>
                <w:szCs w:val="20"/>
              </w:rPr>
              <w:t>Specify amount spent by type</w:t>
            </w:r>
          </w:p>
        </w:tc>
        <w:tc>
          <w:tcPr>
            <w:tcW w:w="0" w:type="auto"/>
            <w:tcBorders>
              <w:top w:val="single" w:sz="4" w:space="0" w:color="91278F"/>
              <w:left w:val="single" w:sz="4" w:space="0" w:color="91278F"/>
              <w:bottom w:val="single" w:sz="4" w:space="0" w:color="91278F"/>
              <w:right w:val="single" w:sz="4" w:space="0" w:color="91278F"/>
            </w:tcBorders>
            <w:hideMark/>
          </w:tcPr>
          <w:p w14:paraId="5CB608CB" w14:textId="2EEFF7C4" w:rsidR="003B07FA" w:rsidRPr="004B0CC1" w:rsidRDefault="003B07FA">
            <w:pPr>
              <w:spacing w:before="120" w:after="120"/>
              <w:rPr>
                <w:sz w:val="20"/>
                <w:szCs w:val="20"/>
              </w:rPr>
            </w:pPr>
            <w:r w:rsidRPr="004B0CC1">
              <w:rPr>
                <w:sz w:val="20"/>
                <w:szCs w:val="20"/>
              </w:rPr>
              <w:t>Mandated (not required if revenue shows a deficit)</w:t>
            </w:r>
          </w:p>
        </w:tc>
      </w:tr>
      <w:tr w:rsidR="003B07FA" w:rsidRPr="004B0CC1" w14:paraId="08C04224"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tcPr>
          <w:p w14:paraId="5ACA63FE" w14:textId="17301158" w:rsidR="003B07FA" w:rsidRPr="004B0CC1" w:rsidRDefault="003B07FA">
            <w:pPr>
              <w:spacing w:before="120" w:after="120"/>
              <w:rPr>
                <w:sz w:val="20"/>
                <w:szCs w:val="20"/>
              </w:rPr>
            </w:pPr>
            <w:r w:rsidRPr="004B0CC1">
              <w:rPr>
                <w:sz w:val="20"/>
                <w:szCs w:val="20"/>
              </w:rPr>
              <w:t>13</w:t>
            </w:r>
          </w:p>
        </w:tc>
        <w:tc>
          <w:tcPr>
            <w:tcW w:w="0" w:type="auto"/>
            <w:tcBorders>
              <w:top w:val="single" w:sz="4" w:space="0" w:color="91278F"/>
              <w:left w:val="single" w:sz="4" w:space="0" w:color="91278F"/>
              <w:bottom w:val="single" w:sz="4" w:space="0" w:color="91278F"/>
              <w:right w:val="single" w:sz="4" w:space="0" w:color="91278F"/>
            </w:tcBorders>
            <w:hideMark/>
          </w:tcPr>
          <w:p w14:paraId="216AFA84" w14:textId="77777777" w:rsidR="003B07FA" w:rsidRPr="004B0CC1" w:rsidRDefault="003B07FA">
            <w:pPr>
              <w:spacing w:before="120" w:after="120"/>
              <w:rPr>
                <w:sz w:val="20"/>
                <w:szCs w:val="20"/>
              </w:rPr>
            </w:pPr>
            <w:r w:rsidRPr="004B0CC1">
              <w:rPr>
                <w:sz w:val="20"/>
                <w:szCs w:val="20"/>
              </w:rPr>
              <w:t>Parking spaces number</w:t>
            </w:r>
          </w:p>
        </w:tc>
        <w:tc>
          <w:tcPr>
            <w:tcW w:w="0" w:type="auto"/>
            <w:tcBorders>
              <w:top w:val="single" w:sz="4" w:space="0" w:color="91278F"/>
              <w:left w:val="single" w:sz="4" w:space="0" w:color="91278F"/>
              <w:bottom w:val="single" w:sz="4" w:space="0" w:color="91278F"/>
              <w:right w:val="single" w:sz="4" w:space="0" w:color="91278F"/>
            </w:tcBorders>
            <w:hideMark/>
          </w:tcPr>
          <w:p w14:paraId="20195B5E" w14:textId="77777777" w:rsidR="003B07FA" w:rsidRPr="004B0CC1" w:rsidRDefault="003B07FA">
            <w:pPr>
              <w:spacing w:before="120" w:after="120"/>
              <w:rPr>
                <w:sz w:val="20"/>
                <w:szCs w:val="20"/>
              </w:rPr>
            </w:pPr>
            <w:r w:rsidRPr="004B0CC1">
              <w:rPr>
                <w:sz w:val="20"/>
                <w:szCs w:val="20"/>
              </w:rPr>
              <w:t>number of controlled on and off-street parking spaces within their area</w:t>
            </w:r>
          </w:p>
        </w:tc>
        <w:tc>
          <w:tcPr>
            <w:tcW w:w="0" w:type="auto"/>
            <w:tcBorders>
              <w:top w:val="single" w:sz="4" w:space="0" w:color="91278F"/>
              <w:left w:val="single" w:sz="4" w:space="0" w:color="91278F"/>
              <w:bottom w:val="single" w:sz="4" w:space="0" w:color="91278F"/>
              <w:right w:val="single" w:sz="4" w:space="0" w:color="91278F"/>
            </w:tcBorders>
            <w:hideMark/>
          </w:tcPr>
          <w:p w14:paraId="07D2EE95" w14:textId="77777777" w:rsidR="003B07FA" w:rsidRPr="004B0CC1" w:rsidRDefault="003B07FA">
            <w:pPr>
              <w:spacing w:before="120" w:after="120"/>
              <w:rPr>
                <w:sz w:val="20"/>
                <w:szCs w:val="20"/>
              </w:rPr>
            </w:pPr>
            <w:r w:rsidRPr="004B0CC1">
              <w:rPr>
                <w:sz w:val="20"/>
                <w:szCs w:val="20"/>
              </w:rPr>
              <w:t>As mandated in the Code</w:t>
            </w:r>
          </w:p>
        </w:tc>
        <w:tc>
          <w:tcPr>
            <w:tcW w:w="0" w:type="auto"/>
            <w:tcBorders>
              <w:top w:val="single" w:sz="4" w:space="0" w:color="91278F"/>
              <w:left w:val="single" w:sz="4" w:space="0" w:color="91278F"/>
              <w:bottom w:val="single" w:sz="4" w:space="0" w:color="91278F"/>
              <w:right w:val="single" w:sz="4" w:space="0" w:color="91278F"/>
            </w:tcBorders>
            <w:hideMark/>
          </w:tcPr>
          <w:p w14:paraId="42177DE8" w14:textId="77777777" w:rsidR="003B07FA" w:rsidRPr="004B0CC1" w:rsidRDefault="003B07FA">
            <w:pPr>
              <w:spacing w:line="320" w:lineRule="exact"/>
              <w:rPr>
                <w:sz w:val="20"/>
                <w:szCs w:val="20"/>
              </w:rPr>
            </w:pPr>
            <w:r w:rsidRPr="004B0CC1">
              <w:rPr>
                <w:sz w:val="20"/>
                <w:szCs w:val="20"/>
              </w:rPr>
              <w:t xml:space="preserve">Marked out or an estimate of the number of spaces where controlled parking space is not marked out in individual </w:t>
            </w:r>
            <w:r w:rsidRPr="004B0CC1">
              <w:rPr>
                <w:sz w:val="20"/>
                <w:szCs w:val="20"/>
              </w:rPr>
              <w:lastRenderedPageBreak/>
              <w:t>parking bays or spaces</w:t>
            </w:r>
          </w:p>
        </w:tc>
        <w:tc>
          <w:tcPr>
            <w:tcW w:w="0" w:type="auto"/>
            <w:tcBorders>
              <w:top w:val="single" w:sz="4" w:space="0" w:color="91278F"/>
              <w:left w:val="single" w:sz="4" w:space="0" w:color="91278F"/>
              <w:bottom w:val="single" w:sz="4" w:space="0" w:color="91278F"/>
              <w:right w:val="single" w:sz="4" w:space="0" w:color="91278F"/>
            </w:tcBorders>
            <w:hideMark/>
          </w:tcPr>
          <w:p w14:paraId="1A45F477" w14:textId="77777777" w:rsidR="003B07FA" w:rsidRPr="004B0CC1" w:rsidRDefault="003B07FA">
            <w:pPr>
              <w:spacing w:before="120" w:after="120"/>
              <w:rPr>
                <w:sz w:val="20"/>
                <w:szCs w:val="20"/>
              </w:rPr>
            </w:pPr>
            <w:r w:rsidRPr="004B0CC1">
              <w:rPr>
                <w:sz w:val="20"/>
                <w:szCs w:val="20"/>
              </w:rPr>
              <w:lastRenderedPageBreak/>
              <w:t>Mandated</w:t>
            </w:r>
          </w:p>
        </w:tc>
      </w:tr>
      <w:tr w:rsidR="003B07FA" w:rsidRPr="004B0CC1" w14:paraId="1282E344"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tcPr>
          <w:p w14:paraId="52B60870" w14:textId="2A16135E" w:rsidR="003B07FA" w:rsidRPr="004B0CC1" w:rsidRDefault="003B07FA">
            <w:pPr>
              <w:spacing w:before="120" w:after="120"/>
              <w:rPr>
                <w:sz w:val="20"/>
                <w:szCs w:val="20"/>
              </w:rPr>
            </w:pPr>
            <w:r w:rsidRPr="004B0CC1">
              <w:rPr>
                <w:sz w:val="20"/>
                <w:szCs w:val="20"/>
              </w:rPr>
              <w:lastRenderedPageBreak/>
              <w:t>14</w:t>
            </w:r>
          </w:p>
        </w:tc>
        <w:tc>
          <w:tcPr>
            <w:tcW w:w="0" w:type="auto"/>
            <w:tcBorders>
              <w:top w:val="single" w:sz="4" w:space="0" w:color="91278F"/>
              <w:left w:val="single" w:sz="4" w:space="0" w:color="91278F"/>
              <w:bottom w:val="single" w:sz="4" w:space="0" w:color="91278F"/>
              <w:right w:val="single" w:sz="4" w:space="0" w:color="91278F"/>
            </w:tcBorders>
            <w:hideMark/>
          </w:tcPr>
          <w:p w14:paraId="2C6E94B8" w14:textId="77777777" w:rsidR="003B07FA" w:rsidRPr="004B0CC1" w:rsidRDefault="003B07FA">
            <w:pPr>
              <w:spacing w:before="120" w:after="120"/>
              <w:rPr>
                <w:sz w:val="20"/>
                <w:szCs w:val="20"/>
              </w:rPr>
            </w:pPr>
            <w:r w:rsidRPr="004B0CC1">
              <w:rPr>
                <w:sz w:val="20"/>
                <w:szCs w:val="20"/>
              </w:rPr>
              <w:t xml:space="preserve">Free parking spaces number </w:t>
            </w:r>
          </w:p>
        </w:tc>
        <w:tc>
          <w:tcPr>
            <w:tcW w:w="0" w:type="auto"/>
            <w:tcBorders>
              <w:top w:val="single" w:sz="4" w:space="0" w:color="91278F"/>
              <w:left w:val="single" w:sz="4" w:space="0" w:color="91278F"/>
              <w:bottom w:val="single" w:sz="4" w:space="0" w:color="91278F"/>
              <w:right w:val="single" w:sz="4" w:space="0" w:color="91278F"/>
            </w:tcBorders>
            <w:hideMark/>
          </w:tcPr>
          <w:p w14:paraId="294C1D21" w14:textId="77777777" w:rsidR="003B07FA" w:rsidRPr="004B0CC1" w:rsidRDefault="003B07FA">
            <w:pPr>
              <w:spacing w:before="120" w:after="120"/>
              <w:rPr>
                <w:sz w:val="20"/>
                <w:szCs w:val="20"/>
              </w:rPr>
            </w:pPr>
            <w:r w:rsidRPr="004B0CC1">
              <w:rPr>
                <w:sz w:val="20"/>
                <w:szCs w:val="20"/>
              </w:rPr>
              <w:t>free parking spaces available in the local authority’s area and which are provided directly by the local authority</w:t>
            </w:r>
          </w:p>
        </w:tc>
        <w:tc>
          <w:tcPr>
            <w:tcW w:w="0" w:type="auto"/>
            <w:tcBorders>
              <w:top w:val="single" w:sz="4" w:space="0" w:color="91278F"/>
              <w:left w:val="single" w:sz="4" w:space="0" w:color="91278F"/>
              <w:bottom w:val="single" w:sz="4" w:space="0" w:color="91278F"/>
              <w:right w:val="single" w:sz="4" w:space="0" w:color="91278F"/>
            </w:tcBorders>
            <w:hideMark/>
          </w:tcPr>
          <w:p w14:paraId="68063CFF" w14:textId="77777777" w:rsidR="003B07FA" w:rsidRPr="004B0CC1" w:rsidRDefault="003B07FA">
            <w:pPr>
              <w:spacing w:before="120" w:after="120"/>
              <w:rPr>
                <w:sz w:val="20"/>
                <w:szCs w:val="20"/>
              </w:rPr>
            </w:pPr>
            <w:r w:rsidRPr="004B0CC1">
              <w:rPr>
                <w:sz w:val="20"/>
                <w:szCs w:val="20"/>
              </w:rPr>
              <w:t>As recommended in the Code</w:t>
            </w:r>
          </w:p>
        </w:tc>
        <w:tc>
          <w:tcPr>
            <w:tcW w:w="0" w:type="auto"/>
            <w:tcBorders>
              <w:top w:val="single" w:sz="4" w:space="0" w:color="91278F"/>
              <w:left w:val="single" w:sz="4" w:space="0" w:color="91278F"/>
              <w:bottom w:val="single" w:sz="4" w:space="0" w:color="91278F"/>
              <w:right w:val="single" w:sz="4" w:space="0" w:color="91278F"/>
            </w:tcBorders>
            <w:hideMark/>
          </w:tcPr>
          <w:p w14:paraId="525F03D0" w14:textId="77777777" w:rsidR="003B07FA" w:rsidRPr="004B0CC1" w:rsidRDefault="003B07FA">
            <w:pPr>
              <w:spacing w:line="320" w:lineRule="exact"/>
              <w:rPr>
                <w:sz w:val="20"/>
                <w:szCs w:val="20"/>
              </w:rPr>
            </w:pPr>
            <w:r w:rsidRPr="004B0CC1">
              <w:rPr>
                <w:sz w:val="20"/>
                <w:szCs w:val="20"/>
              </w:rPr>
              <w:t>Where parking spaces are not marked out in individual parking bays or spaces, local authorities should estimate the number of spaces available</w:t>
            </w:r>
          </w:p>
        </w:tc>
        <w:tc>
          <w:tcPr>
            <w:tcW w:w="0" w:type="auto"/>
            <w:tcBorders>
              <w:top w:val="single" w:sz="4" w:space="0" w:color="91278F"/>
              <w:left w:val="single" w:sz="4" w:space="0" w:color="91278F"/>
              <w:bottom w:val="single" w:sz="4" w:space="0" w:color="91278F"/>
              <w:right w:val="single" w:sz="4" w:space="0" w:color="91278F"/>
            </w:tcBorders>
            <w:hideMark/>
          </w:tcPr>
          <w:p w14:paraId="22222219" w14:textId="77777777" w:rsidR="003B07FA" w:rsidRPr="004B0CC1" w:rsidRDefault="003B07FA">
            <w:pPr>
              <w:spacing w:before="120" w:after="120"/>
              <w:rPr>
                <w:sz w:val="20"/>
                <w:szCs w:val="20"/>
              </w:rPr>
            </w:pPr>
            <w:r w:rsidRPr="004B0CC1">
              <w:rPr>
                <w:sz w:val="20"/>
                <w:szCs w:val="20"/>
              </w:rPr>
              <w:t>Recommended</w:t>
            </w:r>
          </w:p>
        </w:tc>
      </w:tr>
      <w:tr w:rsidR="003B07FA" w:rsidRPr="004B0CC1" w14:paraId="41DBA1B5" w14:textId="77777777" w:rsidTr="00DC41B2">
        <w:trPr>
          <w:tblCellSpacing w:w="0" w:type="dxa"/>
        </w:trPr>
        <w:tc>
          <w:tcPr>
            <w:tcW w:w="0" w:type="auto"/>
            <w:tcBorders>
              <w:top w:val="single" w:sz="4" w:space="0" w:color="91278F"/>
              <w:left w:val="single" w:sz="4" w:space="0" w:color="91278F"/>
              <w:bottom w:val="single" w:sz="4" w:space="0" w:color="91278F"/>
              <w:right w:val="single" w:sz="4" w:space="0" w:color="91278F"/>
            </w:tcBorders>
          </w:tcPr>
          <w:p w14:paraId="4255546F" w14:textId="2BF1D20B" w:rsidR="003B07FA" w:rsidRPr="004B0CC1" w:rsidRDefault="003B07FA">
            <w:pPr>
              <w:spacing w:before="120" w:after="120"/>
              <w:rPr>
                <w:sz w:val="20"/>
                <w:szCs w:val="20"/>
              </w:rPr>
            </w:pPr>
            <w:r w:rsidRPr="004B0CC1">
              <w:rPr>
                <w:sz w:val="20"/>
                <w:szCs w:val="20"/>
              </w:rPr>
              <w:t>15</w:t>
            </w:r>
          </w:p>
        </w:tc>
        <w:tc>
          <w:tcPr>
            <w:tcW w:w="0" w:type="auto"/>
            <w:tcBorders>
              <w:top w:val="single" w:sz="4" w:space="0" w:color="91278F"/>
              <w:left w:val="single" w:sz="4" w:space="0" w:color="91278F"/>
              <w:bottom w:val="single" w:sz="4" w:space="0" w:color="91278F"/>
              <w:right w:val="single" w:sz="4" w:space="0" w:color="91278F"/>
            </w:tcBorders>
            <w:hideMark/>
          </w:tcPr>
          <w:p w14:paraId="5E951105" w14:textId="77777777" w:rsidR="003B07FA" w:rsidRPr="004B0CC1" w:rsidRDefault="003B07FA">
            <w:pPr>
              <w:spacing w:before="120" w:after="120"/>
              <w:rPr>
                <w:sz w:val="20"/>
                <w:szCs w:val="20"/>
              </w:rPr>
            </w:pPr>
            <w:r w:rsidRPr="004B0CC1">
              <w:rPr>
                <w:sz w:val="20"/>
                <w:szCs w:val="20"/>
              </w:rPr>
              <w:t>Charged-for parking spaces number</w:t>
            </w:r>
          </w:p>
        </w:tc>
        <w:tc>
          <w:tcPr>
            <w:tcW w:w="0" w:type="auto"/>
            <w:tcBorders>
              <w:top w:val="single" w:sz="4" w:space="0" w:color="91278F"/>
              <w:left w:val="single" w:sz="4" w:space="0" w:color="91278F"/>
              <w:bottom w:val="single" w:sz="4" w:space="0" w:color="91278F"/>
              <w:right w:val="single" w:sz="4" w:space="0" w:color="91278F"/>
            </w:tcBorders>
            <w:hideMark/>
          </w:tcPr>
          <w:p w14:paraId="17BADFD6" w14:textId="77777777" w:rsidR="003B07FA" w:rsidRPr="004B0CC1" w:rsidRDefault="003B07FA">
            <w:pPr>
              <w:spacing w:before="120" w:after="120"/>
              <w:rPr>
                <w:sz w:val="20"/>
                <w:szCs w:val="20"/>
              </w:rPr>
            </w:pPr>
            <w:r w:rsidRPr="004B0CC1">
              <w:rPr>
                <w:sz w:val="20"/>
                <w:szCs w:val="20"/>
              </w:rPr>
              <w:t>parking spaces where charges apply that are available in the local authority’s area and which are provided directly by the local authority</w:t>
            </w:r>
          </w:p>
        </w:tc>
        <w:tc>
          <w:tcPr>
            <w:tcW w:w="0" w:type="auto"/>
            <w:tcBorders>
              <w:top w:val="single" w:sz="4" w:space="0" w:color="91278F"/>
              <w:left w:val="single" w:sz="4" w:space="0" w:color="91278F"/>
              <w:bottom w:val="single" w:sz="4" w:space="0" w:color="91278F"/>
              <w:right w:val="single" w:sz="4" w:space="0" w:color="91278F"/>
            </w:tcBorders>
            <w:hideMark/>
          </w:tcPr>
          <w:p w14:paraId="7729C13F" w14:textId="77777777" w:rsidR="003B07FA" w:rsidRPr="004B0CC1" w:rsidRDefault="003B07FA">
            <w:pPr>
              <w:spacing w:before="120" w:after="120"/>
              <w:rPr>
                <w:sz w:val="20"/>
                <w:szCs w:val="20"/>
              </w:rPr>
            </w:pPr>
            <w:r w:rsidRPr="004B0CC1">
              <w:rPr>
                <w:sz w:val="20"/>
                <w:szCs w:val="20"/>
              </w:rPr>
              <w:t>As recommended in the Code</w:t>
            </w:r>
          </w:p>
        </w:tc>
        <w:tc>
          <w:tcPr>
            <w:tcW w:w="0" w:type="auto"/>
            <w:tcBorders>
              <w:top w:val="single" w:sz="4" w:space="0" w:color="91278F"/>
              <w:left w:val="single" w:sz="4" w:space="0" w:color="91278F"/>
              <w:bottom w:val="single" w:sz="4" w:space="0" w:color="91278F"/>
              <w:right w:val="single" w:sz="4" w:space="0" w:color="91278F"/>
            </w:tcBorders>
            <w:hideMark/>
          </w:tcPr>
          <w:p w14:paraId="17E78A0C" w14:textId="77777777" w:rsidR="003B07FA" w:rsidRPr="004B0CC1" w:rsidRDefault="003B07FA">
            <w:pPr>
              <w:spacing w:line="320" w:lineRule="exact"/>
              <w:rPr>
                <w:sz w:val="20"/>
                <w:szCs w:val="20"/>
              </w:rPr>
            </w:pPr>
            <w:r w:rsidRPr="004B0CC1">
              <w:rPr>
                <w:sz w:val="20"/>
                <w:szCs w:val="20"/>
              </w:rPr>
              <w:t>Where parking spaces are not marked out in individual parking bays or spaces, local authorities should estimate the number of spaces available</w:t>
            </w:r>
          </w:p>
        </w:tc>
        <w:tc>
          <w:tcPr>
            <w:tcW w:w="0" w:type="auto"/>
            <w:tcBorders>
              <w:top w:val="single" w:sz="4" w:space="0" w:color="91278F"/>
              <w:left w:val="single" w:sz="4" w:space="0" w:color="91278F"/>
              <w:bottom w:val="single" w:sz="4" w:space="0" w:color="91278F"/>
              <w:right w:val="single" w:sz="4" w:space="0" w:color="91278F"/>
            </w:tcBorders>
            <w:hideMark/>
          </w:tcPr>
          <w:p w14:paraId="28A7A116" w14:textId="77777777" w:rsidR="003B07FA" w:rsidRPr="004B0CC1" w:rsidRDefault="003B07FA">
            <w:pPr>
              <w:spacing w:before="120" w:after="120"/>
              <w:rPr>
                <w:sz w:val="20"/>
                <w:szCs w:val="20"/>
              </w:rPr>
            </w:pPr>
            <w:r w:rsidRPr="004B0CC1">
              <w:rPr>
                <w:sz w:val="20"/>
                <w:szCs w:val="20"/>
              </w:rPr>
              <w:t>Recommended</w:t>
            </w:r>
          </w:p>
        </w:tc>
      </w:tr>
    </w:tbl>
    <w:p w14:paraId="21D778FE" w14:textId="77777777" w:rsidR="00DC41B2" w:rsidRDefault="00DC41B2" w:rsidP="00DC41B2">
      <w:pPr>
        <w:spacing w:before="0" w:after="120"/>
        <w:rPr>
          <w:sz w:val="24"/>
          <w:szCs w:val="24"/>
        </w:rPr>
      </w:pPr>
    </w:p>
    <w:p w14:paraId="0FAFD10D" w14:textId="6551E372" w:rsidR="00DC41B2" w:rsidRDefault="00DC41B2">
      <w:pPr>
        <w:widowControl/>
        <w:spacing w:before="0" w:after="0"/>
        <w:rPr>
          <w:bCs/>
          <w:color w:val="91278F"/>
          <w:kern w:val="32"/>
          <w:sz w:val="24"/>
          <w:szCs w:val="24"/>
        </w:rPr>
      </w:pPr>
    </w:p>
    <w:p w14:paraId="2C093EAE" w14:textId="77777777" w:rsidR="001A2CE9" w:rsidRDefault="001A2CE9" w:rsidP="00CF5082">
      <w:pPr>
        <w:widowControl/>
        <w:spacing w:before="0" w:after="0"/>
        <w:rPr>
          <w:bCs/>
          <w:color w:val="91278F"/>
          <w:kern w:val="32"/>
          <w:sz w:val="24"/>
          <w:szCs w:val="24"/>
        </w:rPr>
      </w:pPr>
    </w:p>
    <w:p w14:paraId="79B6651C" w14:textId="77777777" w:rsidR="00DC41B2" w:rsidRPr="00CF5082" w:rsidRDefault="00DC41B2" w:rsidP="00CF5082">
      <w:pPr>
        <w:widowControl/>
        <w:spacing w:before="0" w:after="0"/>
        <w:rPr>
          <w:bCs/>
          <w:color w:val="91278F"/>
          <w:kern w:val="32"/>
          <w:sz w:val="24"/>
          <w:szCs w:val="24"/>
        </w:rPr>
        <w:sectPr w:rsidR="00DC41B2" w:rsidRPr="00CF5082" w:rsidSect="001A2CE9">
          <w:pgSz w:w="16838" w:h="11906" w:orient="landscape"/>
          <w:pgMar w:top="851" w:right="1440" w:bottom="851" w:left="1620" w:header="709" w:footer="709" w:gutter="0"/>
          <w:cols w:space="708"/>
          <w:docGrid w:linePitch="360"/>
        </w:sectPr>
      </w:pPr>
    </w:p>
    <w:p w14:paraId="5E5AC104" w14:textId="3F0546B6" w:rsidR="00D47AC9" w:rsidRPr="006376A5" w:rsidRDefault="00D47AC9" w:rsidP="00ED5571">
      <w:pPr>
        <w:pStyle w:val="Heading1"/>
      </w:pPr>
      <w:bookmarkStart w:id="29" w:name="_Toc421280181"/>
      <w:r w:rsidRPr="006376A5">
        <w:lastRenderedPageBreak/>
        <w:t xml:space="preserve">Annex II: </w:t>
      </w:r>
      <w:r w:rsidR="002C3FA3">
        <w:t>Published</w:t>
      </w:r>
      <w:r w:rsidRPr="006376A5">
        <w:t xml:space="preserve"> examples</w:t>
      </w:r>
      <w:bookmarkEnd w:id="29"/>
    </w:p>
    <w:p w14:paraId="1E15584C" w14:textId="45A50D0A" w:rsidR="006376A5" w:rsidRDefault="006376A5" w:rsidP="000D385B">
      <w:pPr>
        <w:pStyle w:val="Heading2"/>
      </w:pPr>
      <w:bookmarkStart w:id="30" w:name="_Toc421280182"/>
      <w:r>
        <w:t xml:space="preserve">Local </w:t>
      </w:r>
      <w:r w:rsidRPr="000D385B">
        <w:t>authority</w:t>
      </w:r>
      <w:r>
        <w:t xml:space="preserve"> land</w:t>
      </w:r>
      <w:bookmarkEnd w:id="30"/>
    </w:p>
    <w:p w14:paraId="33E90F29" w14:textId="5318D4B3" w:rsidR="006376A5" w:rsidRDefault="00D33B7E" w:rsidP="006A3468">
      <w:pPr>
        <w:rPr>
          <w:sz w:val="24"/>
          <w:szCs w:val="24"/>
        </w:rPr>
      </w:pPr>
      <w:r>
        <w:rPr>
          <w:sz w:val="24"/>
          <w:szCs w:val="24"/>
        </w:rPr>
        <w:t xml:space="preserve">Essex County Council Property information as an example for published local authority land as part of the Essex Public Asset Mapping Project: the </w:t>
      </w:r>
      <w:hyperlink r:id="rId60" w:history="1">
        <w:r w:rsidRPr="00835C51">
          <w:rPr>
            <w:rStyle w:val="Hyperlink"/>
            <w:rFonts w:cs="Arial"/>
            <w:sz w:val="24"/>
            <w:szCs w:val="24"/>
          </w:rPr>
          <w:t>https://www.essex.gov.uk/your-council/council-property/Pages/Council-Property.aspx</w:t>
        </w:r>
      </w:hyperlink>
      <w:r>
        <w:rPr>
          <w:sz w:val="24"/>
          <w:szCs w:val="24"/>
        </w:rPr>
        <w:t xml:space="preserve"> </w:t>
      </w:r>
    </w:p>
    <w:p w14:paraId="0EF7708A" w14:textId="5029C160" w:rsidR="006376A5" w:rsidRDefault="00D33B7E" w:rsidP="006A3468">
      <w:pPr>
        <w:rPr>
          <w:sz w:val="24"/>
          <w:szCs w:val="24"/>
        </w:rPr>
      </w:pPr>
      <w:r>
        <w:rPr>
          <w:sz w:val="24"/>
          <w:szCs w:val="24"/>
        </w:rPr>
        <w:t xml:space="preserve">Bristol Total Place: Interactive Mapping Service showing all public land within Bristol and Gloucester. </w:t>
      </w:r>
      <w:hyperlink r:id="rId61" w:history="1">
        <w:r w:rsidRPr="00835C51">
          <w:rPr>
            <w:rStyle w:val="Hyperlink"/>
            <w:rFonts w:cs="Arial"/>
            <w:sz w:val="24"/>
            <w:szCs w:val="24"/>
          </w:rPr>
          <w:t>http://maps.bristol.gov.uk/assetinformation/</w:t>
        </w:r>
      </w:hyperlink>
      <w:r>
        <w:rPr>
          <w:sz w:val="24"/>
          <w:szCs w:val="24"/>
        </w:rPr>
        <w:t xml:space="preserve"> </w:t>
      </w:r>
    </w:p>
    <w:p w14:paraId="7AA4C492" w14:textId="64861A08" w:rsidR="00766354" w:rsidRDefault="00766354" w:rsidP="006A3468">
      <w:pPr>
        <w:rPr>
          <w:sz w:val="24"/>
          <w:szCs w:val="24"/>
        </w:rPr>
      </w:pPr>
      <w:r>
        <w:rPr>
          <w:sz w:val="24"/>
          <w:szCs w:val="24"/>
        </w:rPr>
        <w:t xml:space="preserve">Richmond upon Thames: Map of principles property assets with downloadable text file. </w:t>
      </w:r>
      <w:hyperlink r:id="rId62" w:history="1">
        <w:r w:rsidRPr="00CE69D7">
          <w:rPr>
            <w:rStyle w:val="Hyperlink"/>
            <w:rFonts w:cs="Arial"/>
            <w:sz w:val="24"/>
            <w:szCs w:val="24"/>
          </w:rPr>
          <w:t>http://gis.richmond.gov.uk/WebMap/counciLLand.aspx?basemap=google</w:t>
        </w:r>
      </w:hyperlink>
      <w:r>
        <w:rPr>
          <w:sz w:val="24"/>
          <w:szCs w:val="24"/>
        </w:rPr>
        <w:t xml:space="preserve"> </w:t>
      </w:r>
    </w:p>
    <w:p w14:paraId="3F7749A1" w14:textId="77777777" w:rsidR="00D33B7E" w:rsidRDefault="00D33B7E" w:rsidP="006A3468">
      <w:pPr>
        <w:rPr>
          <w:sz w:val="24"/>
          <w:szCs w:val="24"/>
        </w:rPr>
      </w:pPr>
    </w:p>
    <w:p w14:paraId="6D08467D" w14:textId="1844AFB4" w:rsidR="006376A5" w:rsidRDefault="006376A5" w:rsidP="006A3468">
      <w:pPr>
        <w:pStyle w:val="Heading2"/>
      </w:pPr>
      <w:bookmarkStart w:id="31" w:name="_Toc421280183"/>
      <w:r>
        <w:t>Car Parking</w:t>
      </w:r>
      <w:bookmarkEnd w:id="31"/>
    </w:p>
    <w:p w14:paraId="46388012" w14:textId="1C3A340F" w:rsidR="00B22EE0" w:rsidRPr="001E5267" w:rsidRDefault="00B22EE0" w:rsidP="006A3468">
      <w:pPr>
        <w:rPr>
          <w:sz w:val="24"/>
          <w:szCs w:val="24"/>
        </w:rPr>
      </w:pPr>
      <w:r w:rsidRPr="001E5267">
        <w:rPr>
          <w:sz w:val="24"/>
          <w:szCs w:val="24"/>
        </w:rPr>
        <w:t xml:space="preserve">Croydon detailed </w:t>
      </w:r>
      <w:r w:rsidR="00C334A8">
        <w:rPr>
          <w:sz w:val="24"/>
          <w:szCs w:val="24"/>
        </w:rPr>
        <w:t>p</w:t>
      </w:r>
      <w:r w:rsidR="00C334A8" w:rsidRPr="001E5267">
        <w:rPr>
          <w:sz w:val="24"/>
          <w:szCs w:val="24"/>
        </w:rPr>
        <w:t xml:space="preserve">arking </w:t>
      </w:r>
      <w:r w:rsidRPr="001E5267">
        <w:rPr>
          <w:sz w:val="24"/>
          <w:szCs w:val="24"/>
        </w:rPr>
        <w:t xml:space="preserve">account report: </w:t>
      </w:r>
      <w:hyperlink r:id="rId63" w:history="1">
        <w:r w:rsidRPr="00ED5571">
          <w:rPr>
            <w:rStyle w:val="Hyperlink"/>
            <w:rFonts w:cs="Arial"/>
            <w:sz w:val="24"/>
            <w:szCs w:val="24"/>
          </w:rPr>
          <w:t>http://www.croydon.gov.uk/contents/departments/transportandstreets/pdf/tma-account12-13.pdf</w:t>
        </w:r>
      </w:hyperlink>
      <w:r w:rsidRPr="001E5267">
        <w:rPr>
          <w:sz w:val="24"/>
          <w:szCs w:val="24"/>
        </w:rPr>
        <w:t xml:space="preserve"> </w:t>
      </w:r>
    </w:p>
    <w:p w14:paraId="0095FF1F" w14:textId="150E7A5E" w:rsidR="00B22EE0" w:rsidRPr="001E5267" w:rsidRDefault="00C334A8" w:rsidP="006A3468">
      <w:pPr>
        <w:rPr>
          <w:sz w:val="24"/>
          <w:szCs w:val="24"/>
        </w:rPr>
      </w:pPr>
      <w:r>
        <w:rPr>
          <w:sz w:val="24"/>
          <w:szCs w:val="24"/>
        </w:rPr>
        <w:t xml:space="preserve">Bristol City Council parking strategy and </w:t>
      </w:r>
      <w:r w:rsidR="00B22EE0" w:rsidRPr="00846432">
        <w:rPr>
          <w:sz w:val="24"/>
          <w:szCs w:val="24"/>
        </w:rPr>
        <w:t>annual report</w:t>
      </w:r>
      <w:r>
        <w:rPr>
          <w:sz w:val="24"/>
          <w:szCs w:val="24"/>
        </w:rPr>
        <w:t>s</w:t>
      </w:r>
      <w:r w:rsidR="00B22EE0" w:rsidRPr="00846432">
        <w:rPr>
          <w:sz w:val="24"/>
          <w:szCs w:val="24"/>
        </w:rPr>
        <w:t xml:space="preserve">: </w:t>
      </w:r>
      <w:hyperlink r:id="rId64" w:history="1">
        <w:r w:rsidRPr="008E2E36">
          <w:rPr>
            <w:rStyle w:val="Hyperlink"/>
            <w:rFonts w:cs="Arial"/>
          </w:rPr>
          <w:t>http://www.bristol.gov.uk/page/transport-and-streets/parking-policies-and-reports</w:t>
        </w:r>
      </w:hyperlink>
      <w:r>
        <w:t xml:space="preserve"> </w:t>
      </w:r>
    </w:p>
    <w:p w14:paraId="3BF5E279" w14:textId="54BFE38A" w:rsidR="00B22EE0" w:rsidRPr="006A3468" w:rsidRDefault="00B22EE0" w:rsidP="006A3468">
      <w:pPr>
        <w:rPr>
          <w:sz w:val="24"/>
          <w:szCs w:val="24"/>
        </w:rPr>
      </w:pPr>
      <w:r w:rsidRPr="00846432">
        <w:rPr>
          <w:sz w:val="24"/>
          <w:szCs w:val="24"/>
        </w:rPr>
        <w:t>North Devon</w:t>
      </w:r>
      <w:r w:rsidR="00C334A8">
        <w:rPr>
          <w:sz w:val="24"/>
          <w:szCs w:val="24"/>
        </w:rPr>
        <w:t xml:space="preserve"> reporting on annual parking account</w:t>
      </w:r>
      <w:r w:rsidRPr="00846432">
        <w:rPr>
          <w:sz w:val="24"/>
          <w:szCs w:val="24"/>
        </w:rPr>
        <w:t xml:space="preserve">: </w:t>
      </w:r>
      <w:hyperlink r:id="rId65" w:history="1">
        <w:r w:rsidRPr="00ED5571">
          <w:rPr>
            <w:rStyle w:val="Hyperlink"/>
            <w:rFonts w:cs="Arial"/>
            <w:sz w:val="24"/>
            <w:szCs w:val="24"/>
          </w:rPr>
          <w:t>http://www.northdevon.gov.uk/index/lgcl_transport_and_streets/lgcl_motor_vehicles_roads_and_parking/lgcl_parking/north_devon_annual_parking_report_2012_2013.htm</w:t>
        </w:r>
      </w:hyperlink>
      <w:r w:rsidRPr="006A3468">
        <w:rPr>
          <w:sz w:val="24"/>
          <w:szCs w:val="24"/>
        </w:rPr>
        <w:t xml:space="preserve"> </w:t>
      </w:r>
    </w:p>
    <w:p w14:paraId="3AA02071" w14:textId="1B54EE54" w:rsidR="005E17D5" w:rsidRPr="006A3468" w:rsidRDefault="00052D66" w:rsidP="00F218E1">
      <w:pPr>
        <w:rPr>
          <w:sz w:val="24"/>
          <w:szCs w:val="24"/>
          <w:lang w:eastAsia="en-US"/>
        </w:rPr>
      </w:pPr>
      <w:r w:rsidRPr="006A3468">
        <w:rPr>
          <w:sz w:val="24"/>
          <w:szCs w:val="24"/>
        </w:rPr>
        <w:br w:type="page"/>
      </w:r>
      <w:bookmarkEnd w:id="2"/>
      <w:r w:rsidR="005E17D5" w:rsidRPr="006A3468">
        <w:rPr>
          <w:sz w:val="24"/>
          <w:szCs w:val="24"/>
          <w:lang w:eastAsia="en-US"/>
        </w:rPr>
        <w:lastRenderedPageBreak/>
        <w:t xml:space="preserve">For more information please contact </w:t>
      </w:r>
    </w:p>
    <w:p w14:paraId="3AA02073" w14:textId="58E68D0A" w:rsidR="005E17D5" w:rsidRPr="006A3468" w:rsidRDefault="001826EE" w:rsidP="006A3468">
      <w:pPr>
        <w:pStyle w:val="BookingText"/>
        <w:spacing w:before="0" w:after="120"/>
        <w:rPr>
          <w:sz w:val="24"/>
          <w:szCs w:val="24"/>
          <w:lang w:eastAsia="en-US"/>
        </w:rPr>
      </w:pPr>
      <w:r>
        <w:rPr>
          <w:sz w:val="24"/>
          <w:szCs w:val="24"/>
          <w:lang w:eastAsia="en-US"/>
        </w:rPr>
        <w:t>Research and Information</w:t>
      </w:r>
    </w:p>
    <w:p w14:paraId="3AA02074" w14:textId="77777777" w:rsidR="005E17D5" w:rsidRPr="006A3468" w:rsidRDefault="005E17D5" w:rsidP="006A3468">
      <w:pPr>
        <w:pStyle w:val="BookingText"/>
        <w:spacing w:before="0" w:after="120"/>
        <w:rPr>
          <w:sz w:val="24"/>
          <w:szCs w:val="24"/>
          <w:lang w:eastAsia="en-US"/>
        </w:rPr>
      </w:pPr>
      <w:r w:rsidRPr="006A3468">
        <w:rPr>
          <w:sz w:val="24"/>
          <w:szCs w:val="24"/>
          <w:lang w:eastAsia="en-US"/>
        </w:rPr>
        <w:t>Local Government Association</w:t>
      </w:r>
    </w:p>
    <w:p w14:paraId="3AA02075" w14:textId="77777777" w:rsidR="005E17D5" w:rsidRPr="006A3468" w:rsidRDefault="005E17D5" w:rsidP="006A3468">
      <w:pPr>
        <w:pStyle w:val="BookingText"/>
        <w:spacing w:before="0"/>
        <w:rPr>
          <w:sz w:val="24"/>
          <w:szCs w:val="24"/>
          <w:lang w:eastAsia="en-US"/>
        </w:rPr>
      </w:pPr>
    </w:p>
    <w:p w14:paraId="3AA02076" w14:textId="77777777" w:rsidR="005E17D5" w:rsidRPr="006A3468" w:rsidRDefault="005E17D5" w:rsidP="006A3468">
      <w:pPr>
        <w:pStyle w:val="BookingText"/>
        <w:spacing w:before="0" w:after="120"/>
        <w:rPr>
          <w:sz w:val="24"/>
          <w:szCs w:val="24"/>
          <w:lang w:eastAsia="en-US"/>
        </w:rPr>
      </w:pPr>
      <w:r w:rsidRPr="006A3468">
        <w:rPr>
          <w:sz w:val="24"/>
          <w:szCs w:val="24"/>
          <w:lang w:eastAsia="en-US"/>
        </w:rPr>
        <w:t>Local Government House</w:t>
      </w:r>
    </w:p>
    <w:p w14:paraId="3AA02077" w14:textId="77777777" w:rsidR="005E17D5" w:rsidRPr="006A3468" w:rsidRDefault="005E17D5" w:rsidP="006A3468">
      <w:pPr>
        <w:pStyle w:val="BookingText"/>
        <w:spacing w:before="0" w:after="120"/>
        <w:rPr>
          <w:sz w:val="24"/>
          <w:szCs w:val="24"/>
          <w:lang w:eastAsia="en-US"/>
        </w:rPr>
      </w:pPr>
      <w:r w:rsidRPr="006A3468">
        <w:rPr>
          <w:sz w:val="24"/>
          <w:szCs w:val="24"/>
          <w:lang w:eastAsia="en-US"/>
        </w:rPr>
        <w:t>Smith Square</w:t>
      </w:r>
    </w:p>
    <w:p w14:paraId="3AA02078" w14:textId="77777777" w:rsidR="005E17D5" w:rsidRPr="006A3468" w:rsidRDefault="005E17D5" w:rsidP="006A3468">
      <w:pPr>
        <w:pStyle w:val="BookingText"/>
        <w:spacing w:before="0" w:after="120"/>
        <w:rPr>
          <w:sz w:val="24"/>
          <w:szCs w:val="24"/>
          <w:lang w:eastAsia="en-US"/>
        </w:rPr>
      </w:pPr>
      <w:r w:rsidRPr="006A3468">
        <w:rPr>
          <w:sz w:val="24"/>
          <w:szCs w:val="24"/>
          <w:lang w:eastAsia="en-US"/>
        </w:rPr>
        <w:t xml:space="preserve">London SW1P 3HZ </w:t>
      </w:r>
    </w:p>
    <w:p w14:paraId="62F3CDFB" w14:textId="77777777" w:rsidR="000475BA" w:rsidRDefault="000475BA" w:rsidP="006A3468">
      <w:pPr>
        <w:pStyle w:val="BookingText"/>
        <w:spacing w:before="0" w:after="120"/>
        <w:rPr>
          <w:sz w:val="24"/>
          <w:szCs w:val="24"/>
          <w:lang w:eastAsia="en-US"/>
        </w:rPr>
      </w:pPr>
    </w:p>
    <w:p w14:paraId="3AA0207A" w14:textId="137E2E0A" w:rsidR="005E17D5" w:rsidRPr="006A3468" w:rsidRDefault="00D64365" w:rsidP="006A3468">
      <w:pPr>
        <w:pStyle w:val="BookingText"/>
        <w:spacing w:before="0" w:after="120"/>
        <w:rPr>
          <w:sz w:val="24"/>
          <w:szCs w:val="24"/>
          <w:lang w:eastAsia="en-US"/>
        </w:rPr>
      </w:pPr>
      <w:r w:rsidRPr="006A3468">
        <w:rPr>
          <w:sz w:val="24"/>
          <w:szCs w:val="24"/>
          <w:lang w:eastAsia="en-US"/>
        </w:rPr>
        <w:t>Email</w:t>
      </w:r>
      <w:r w:rsidR="00E949A8" w:rsidRPr="006A3468">
        <w:rPr>
          <w:sz w:val="24"/>
          <w:szCs w:val="24"/>
          <w:lang w:eastAsia="en-US"/>
        </w:rPr>
        <w:t xml:space="preserve">: </w:t>
      </w:r>
      <w:r w:rsidR="00E01D2E" w:rsidRPr="006A3468">
        <w:rPr>
          <w:sz w:val="24"/>
          <w:szCs w:val="24"/>
          <w:lang w:eastAsia="en-US"/>
        </w:rPr>
        <w:t>transparency</w:t>
      </w:r>
      <w:r w:rsidR="005E17D5" w:rsidRPr="006A3468">
        <w:rPr>
          <w:sz w:val="24"/>
          <w:szCs w:val="24"/>
          <w:lang w:eastAsia="en-US"/>
        </w:rPr>
        <w:t xml:space="preserve">@local.gov.uk </w:t>
      </w:r>
    </w:p>
    <w:p w14:paraId="3AA0207C" w14:textId="77777777" w:rsidR="00743F79" w:rsidRPr="006A3468" w:rsidRDefault="00743F79" w:rsidP="006A3468">
      <w:pPr>
        <w:rPr>
          <w:sz w:val="24"/>
          <w:szCs w:val="24"/>
        </w:rPr>
      </w:pPr>
    </w:p>
    <w:p w14:paraId="025C2CBB" w14:textId="77777777" w:rsidR="00052D66" w:rsidRPr="006A3468" w:rsidRDefault="00052D66" w:rsidP="006A3468">
      <w:pPr>
        <w:rPr>
          <w:sz w:val="24"/>
          <w:szCs w:val="24"/>
        </w:rPr>
      </w:pPr>
    </w:p>
    <w:p w14:paraId="3AA02089" w14:textId="5B42F54B" w:rsidR="005E17D5" w:rsidRPr="006A3468" w:rsidRDefault="00AD37FB" w:rsidP="006A3468">
      <w:pPr>
        <w:rPr>
          <w:sz w:val="24"/>
          <w:szCs w:val="24"/>
        </w:rPr>
      </w:pPr>
      <w:r w:rsidRPr="006A3468">
        <w:rPr>
          <w:noProof/>
          <w:sz w:val="24"/>
          <w:szCs w:val="24"/>
        </w:rPr>
        <w:drawing>
          <wp:anchor distT="0" distB="0" distL="114300" distR="114300" simplePos="0" relativeHeight="251661824" behindDoc="0" locked="0" layoutInCell="1" allowOverlap="1" wp14:anchorId="3AA020A2" wp14:editId="2E06F071">
            <wp:simplePos x="0" y="0"/>
            <wp:positionH relativeFrom="column">
              <wp:posOffset>0</wp:posOffset>
            </wp:positionH>
            <wp:positionV relativeFrom="paragraph">
              <wp:posOffset>116840</wp:posOffset>
            </wp:positionV>
            <wp:extent cx="1257300" cy="746760"/>
            <wp:effectExtent l="0" t="0" r="0" b="0"/>
            <wp:wrapNone/>
            <wp:docPr id="13" name="Picture 13"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G_Association_RGB for A4 45mm"/>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57300" cy="746760"/>
                    </a:xfrm>
                    <a:prstGeom prst="rect">
                      <a:avLst/>
                    </a:prstGeom>
                    <a:noFill/>
                  </pic:spPr>
                </pic:pic>
              </a:graphicData>
            </a:graphic>
            <wp14:sizeRelH relativeFrom="page">
              <wp14:pctWidth>0</wp14:pctWidth>
            </wp14:sizeRelH>
            <wp14:sizeRelV relativeFrom="page">
              <wp14:pctHeight>0</wp14:pctHeight>
            </wp14:sizeRelV>
          </wp:anchor>
        </w:drawing>
      </w:r>
    </w:p>
    <w:p w14:paraId="3AA0208A" w14:textId="77777777" w:rsidR="005E17D5" w:rsidRPr="006A3468" w:rsidRDefault="005E17D5" w:rsidP="006A3468">
      <w:pPr>
        <w:rPr>
          <w:sz w:val="24"/>
          <w:szCs w:val="24"/>
        </w:rPr>
      </w:pPr>
    </w:p>
    <w:p w14:paraId="3AA0208B" w14:textId="77777777" w:rsidR="005E17D5" w:rsidRPr="006A3468" w:rsidRDefault="005E17D5" w:rsidP="006A3468">
      <w:pPr>
        <w:rPr>
          <w:sz w:val="24"/>
          <w:szCs w:val="24"/>
        </w:rPr>
      </w:pPr>
    </w:p>
    <w:p w14:paraId="3AA0208E" w14:textId="77777777" w:rsidR="00743F79" w:rsidRPr="006A3468" w:rsidRDefault="00743F79" w:rsidP="006A3468">
      <w:pPr>
        <w:rPr>
          <w:sz w:val="24"/>
          <w:szCs w:val="24"/>
        </w:rPr>
      </w:pPr>
    </w:p>
    <w:p w14:paraId="3AA0208F" w14:textId="77777777" w:rsidR="005E17D5" w:rsidRPr="006A3468" w:rsidRDefault="00E37B1E" w:rsidP="006A3468">
      <w:pPr>
        <w:spacing w:before="0" w:after="120"/>
        <w:rPr>
          <w:sz w:val="24"/>
          <w:szCs w:val="24"/>
          <w:lang w:eastAsia="en-US"/>
        </w:rPr>
      </w:pPr>
      <w:r w:rsidRPr="006A3468">
        <w:rPr>
          <w:sz w:val="24"/>
          <w:szCs w:val="24"/>
          <w:lang w:eastAsia="en-US"/>
        </w:rPr>
        <w:t>Contact the Local Government Association</w:t>
      </w:r>
    </w:p>
    <w:p w14:paraId="3AA02090" w14:textId="77777777" w:rsidR="00743F79" w:rsidRPr="006A3468" w:rsidRDefault="00743F79" w:rsidP="006A3468">
      <w:pPr>
        <w:spacing w:before="0" w:after="120"/>
        <w:rPr>
          <w:sz w:val="24"/>
          <w:szCs w:val="24"/>
          <w:lang w:eastAsia="en-US"/>
        </w:rPr>
      </w:pPr>
      <w:r w:rsidRPr="006A3468">
        <w:rPr>
          <w:sz w:val="24"/>
          <w:szCs w:val="24"/>
          <w:lang w:eastAsia="en-US"/>
        </w:rPr>
        <w:t>Telephone: 020 7664 3000</w:t>
      </w:r>
    </w:p>
    <w:p w14:paraId="3AA02091" w14:textId="77777777" w:rsidR="005E17D5" w:rsidRPr="006A3468" w:rsidRDefault="00743F79" w:rsidP="006A3468">
      <w:pPr>
        <w:spacing w:before="0" w:after="120"/>
        <w:rPr>
          <w:sz w:val="24"/>
          <w:szCs w:val="24"/>
          <w:lang w:eastAsia="en-US"/>
        </w:rPr>
      </w:pPr>
      <w:r w:rsidRPr="006A3468">
        <w:rPr>
          <w:sz w:val="24"/>
          <w:szCs w:val="24"/>
          <w:lang w:eastAsia="en-US"/>
        </w:rPr>
        <w:t>Email:</w:t>
      </w:r>
      <w:r w:rsidR="005E17D5" w:rsidRPr="006A3468">
        <w:rPr>
          <w:sz w:val="24"/>
          <w:szCs w:val="24"/>
          <w:lang w:eastAsia="en-US"/>
        </w:rPr>
        <w:t xml:space="preserve"> </w:t>
      </w:r>
      <w:hyperlink r:id="rId67" w:history="1">
        <w:r w:rsidR="005E17D5" w:rsidRPr="006A3468">
          <w:rPr>
            <w:sz w:val="24"/>
            <w:szCs w:val="24"/>
            <w:lang w:eastAsia="en-US"/>
          </w:rPr>
          <w:t>info@lga.gov.uk</w:t>
        </w:r>
      </w:hyperlink>
    </w:p>
    <w:p w14:paraId="3AA02092" w14:textId="77777777" w:rsidR="005E17D5" w:rsidRPr="006A3468" w:rsidRDefault="00743F79" w:rsidP="006A3468">
      <w:pPr>
        <w:spacing w:before="0" w:after="120"/>
        <w:rPr>
          <w:sz w:val="24"/>
          <w:szCs w:val="24"/>
          <w:lang w:eastAsia="en-US"/>
        </w:rPr>
      </w:pPr>
      <w:r w:rsidRPr="006A3468">
        <w:rPr>
          <w:sz w:val="24"/>
          <w:szCs w:val="24"/>
          <w:lang w:eastAsia="en-US"/>
        </w:rPr>
        <w:t xml:space="preserve">Website: </w:t>
      </w:r>
      <w:hyperlink r:id="rId68" w:history="1">
        <w:r w:rsidR="005E17D5" w:rsidRPr="006A3468">
          <w:rPr>
            <w:sz w:val="24"/>
            <w:szCs w:val="24"/>
            <w:lang w:eastAsia="en-US"/>
          </w:rPr>
          <w:t>www.local.gov.uk</w:t>
        </w:r>
      </w:hyperlink>
    </w:p>
    <w:p w14:paraId="3AA02093" w14:textId="77777777" w:rsidR="00743F79" w:rsidRPr="006A3468" w:rsidRDefault="00743F79" w:rsidP="006A3468">
      <w:pPr>
        <w:rPr>
          <w:sz w:val="24"/>
          <w:szCs w:val="24"/>
          <w:lang w:eastAsia="en-US"/>
        </w:rPr>
      </w:pPr>
    </w:p>
    <w:p w14:paraId="3AA02094" w14:textId="12754C99" w:rsidR="00743F79" w:rsidRPr="006A3468" w:rsidRDefault="00E949A8" w:rsidP="006A3468">
      <w:pPr>
        <w:rPr>
          <w:sz w:val="24"/>
          <w:szCs w:val="24"/>
          <w:lang w:eastAsia="en-US"/>
        </w:rPr>
      </w:pPr>
      <w:r w:rsidRPr="006A3468">
        <w:rPr>
          <w:sz w:val="24"/>
          <w:szCs w:val="24"/>
          <w:lang w:eastAsia="en-US"/>
        </w:rPr>
        <w:t>© Local Government</w:t>
      </w:r>
      <w:r w:rsidR="00743F79" w:rsidRPr="006A3468">
        <w:rPr>
          <w:sz w:val="24"/>
          <w:szCs w:val="24"/>
          <w:lang w:eastAsia="en-US"/>
        </w:rPr>
        <w:t xml:space="preserve"> </w:t>
      </w:r>
      <w:r w:rsidR="00E37B1E" w:rsidRPr="006A3468">
        <w:rPr>
          <w:sz w:val="24"/>
          <w:szCs w:val="24"/>
          <w:lang w:eastAsia="en-US"/>
        </w:rPr>
        <w:t>Association</w:t>
      </w:r>
      <w:r w:rsidRPr="006A3468">
        <w:rPr>
          <w:sz w:val="24"/>
          <w:szCs w:val="24"/>
          <w:lang w:eastAsia="en-US"/>
        </w:rPr>
        <w:t xml:space="preserve">, </w:t>
      </w:r>
      <w:r w:rsidR="00E80478">
        <w:rPr>
          <w:sz w:val="24"/>
          <w:szCs w:val="24"/>
          <w:lang w:eastAsia="en-US"/>
        </w:rPr>
        <w:t>April 2015</w:t>
      </w:r>
    </w:p>
    <w:p w14:paraId="3AA02095" w14:textId="77777777" w:rsidR="00E949A8" w:rsidRPr="006A3468" w:rsidRDefault="00E949A8" w:rsidP="006A3468">
      <w:pPr>
        <w:rPr>
          <w:sz w:val="24"/>
          <w:szCs w:val="24"/>
        </w:rPr>
      </w:pPr>
    </w:p>
    <w:p w14:paraId="3AA02096" w14:textId="3F1ACF10" w:rsidR="00E949A8" w:rsidRPr="006A3468" w:rsidRDefault="00E949A8" w:rsidP="006A3468">
      <w:pPr>
        <w:spacing w:before="0" w:after="120"/>
        <w:rPr>
          <w:sz w:val="24"/>
          <w:szCs w:val="24"/>
        </w:rPr>
      </w:pPr>
      <w:r w:rsidRPr="006A3468">
        <w:rPr>
          <w:sz w:val="24"/>
          <w:szCs w:val="24"/>
        </w:rPr>
        <w:t>For a copy in Braille, larger print or audio, please contact us on 020 7664 3000.</w:t>
      </w:r>
    </w:p>
    <w:p w14:paraId="3AA02098" w14:textId="08F7597E" w:rsidR="0050451E" w:rsidRPr="006A3468" w:rsidRDefault="00E949A8" w:rsidP="006A3468">
      <w:pPr>
        <w:spacing w:before="0" w:after="120"/>
        <w:rPr>
          <w:sz w:val="24"/>
          <w:szCs w:val="24"/>
        </w:rPr>
      </w:pPr>
      <w:r w:rsidRPr="006A3468">
        <w:rPr>
          <w:sz w:val="24"/>
          <w:szCs w:val="24"/>
        </w:rPr>
        <w:t xml:space="preserve">We consider all requests on an individual basis. </w:t>
      </w:r>
    </w:p>
    <w:sectPr w:rsidR="0050451E" w:rsidRPr="006A3468" w:rsidSect="001A2CE9">
      <w:pgSz w:w="11906" w:h="16838"/>
      <w:pgMar w:top="1440" w:right="851" w:bottom="16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2458B" w14:textId="77777777" w:rsidR="006F28EB" w:rsidRDefault="006F28EB" w:rsidP="00DD6160">
      <w:r>
        <w:separator/>
      </w:r>
    </w:p>
  </w:endnote>
  <w:endnote w:type="continuationSeparator" w:id="0">
    <w:p w14:paraId="3A57285B" w14:textId="77777777" w:rsidR="006F28EB" w:rsidRDefault="006F28EB" w:rsidP="00DD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panose1 w:val="020B0500000000000000"/>
    <w:charset w:val="00"/>
    <w:family w:val="swiss"/>
    <w:notTrueType/>
    <w:pitch w:val="variable"/>
    <w:sig w:usb0="00000003" w:usb1="00000000" w:usb2="00000000" w:usb3="00000000" w:csb0="00000001" w:csb1="00000000"/>
  </w:font>
  <w:font w:name="Frutiger 45 Light">
    <w:altName w:val="Arial"/>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76006"/>
      <w:docPartObj>
        <w:docPartGallery w:val="Page Numbers (Bottom of Page)"/>
        <w:docPartUnique/>
      </w:docPartObj>
    </w:sdtPr>
    <w:sdtEndPr>
      <w:rPr>
        <w:noProof/>
      </w:rPr>
    </w:sdtEndPr>
    <w:sdtContent>
      <w:p w14:paraId="76FF0F81" w14:textId="2E2138C0" w:rsidR="00247C08" w:rsidRDefault="00247C08">
        <w:pPr>
          <w:pStyle w:val="Footer"/>
          <w:jc w:val="center"/>
        </w:pPr>
        <w:r>
          <w:fldChar w:fldCharType="begin"/>
        </w:r>
        <w:r>
          <w:instrText xml:space="preserve"> PAGE   \* MERGEFORMAT </w:instrText>
        </w:r>
        <w:r>
          <w:fldChar w:fldCharType="separate"/>
        </w:r>
        <w:r w:rsidR="00583EBE">
          <w:rPr>
            <w:noProof/>
          </w:rPr>
          <w:t>2</w:t>
        </w:r>
        <w:r>
          <w:rPr>
            <w:noProof/>
          </w:rPr>
          <w:fldChar w:fldCharType="end"/>
        </w:r>
      </w:p>
    </w:sdtContent>
  </w:sdt>
  <w:p w14:paraId="27C8C16A" w14:textId="77777777" w:rsidR="00247C08" w:rsidRDefault="00247C08" w:rsidP="00DD6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161345"/>
      <w:docPartObj>
        <w:docPartGallery w:val="Page Numbers (Bottom of Page)"/>
        <w:docPartUnique/>
      </w:docPartObj>
    </w:sdtPr>
    <w:sdtEndPr>
      <w:rPr>
        <w:noProof/>
      </w:rPr>
    </w:sdtEndPr>
    <w:sdtContent>
      <w:p w14:paraId="4D78637D" w14:textId="39EDC688" w:rsidR="00247C08" w:rsidRDefault="00247C08">
        <w:pPr>
          <w:pStyle w:val="Footer"/>
          <w:jc w:val="center"/>
        </w:pPr>
        <w:r>
          <w:fldChar w:fldCharType="begin"/>
        </w:r>
        <w:r>
          <w:instrText xml:space="preserve"> PAGE   \* MERGEFORMAT </w:instrText>
        </w:r>
        <w:r>
          <w:fldChar w:fldCharType="separate"/>
        </w:r>
        <w:r w:rsidR="00583EBE">
          <w:rPr>
            <w:noProof/>
          </w:rPr>
          <w:t>23</w:t>
        </w:r>
        <w:r>
          <w:rPr>
            <w:noProof/>
          </w:rPr>
          <w:fldChar w:fldCharType="end"/>
        </w:r>
      </w:p>
    </w:sdtContent>
  </w:sdt>
  <w:p w14:paraId="35F5B6FB" w14:textId="77777777" w:rsidR="00247C08" w:rsidRPr="00052D66" w:rsidRDefault="00247C08" w:rsidP="00DD6160">
    <w:pPr>
      <w:pStyle w:val="Footer"/>
    </w:pPr>
  </w:p>
  <w:p w14:paraId="740963E9" w14:textId="77777777" w:rsidR="00247C08" w:rsidRDefault="00247C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6CFF3" w14:textId="77777777" w:rsidR="006F28EB" w:rsidRDefault="006F28EB" w:rsidP="00DD6160">
      <w:r>
        <w:separator/>
      </w:r>
    </w:p>
  </w:footnote>
  <w:footnote w:type="continuationSeparator" w:id="0">
    <w:p w14:paraId="04A950AD" w14:textId="77777777" w:rsidR="006F28EB" w:rsidRDefault="006F28EB" w:rsidP="00DD6160">
      <w:r>
        <w:continuationSeparator/>
      </w:r>
    </w:p>
  </w:footnote>
  <w:footnote w:id="1">
    <w:p w14:paraId="7EE183DE" w14:textId="5C414F9D" w:rsidR="00247C08" w:rsidRDefault="00247C08">
      <w:pPr>
        <w:pStyle w:val="FootnoteText"/>
      </w:pPr>
      <w:r>
        <w:rPr>
          <w:rStyle w:val="FootnoteReference"/>
        </w:rPr>
        <w:footnoteRef/>
      </w:r>
      <w:r>
        <w:t xml:space="preserve"> Please, note, that some of the FAQs referring to the Transparency Code 2014 are still published on </w:t>
      </w:r>
      <w:hyperlink r:id="rId1" w:history="1">
        <w:r w:rsidRPr="00A90E82">
          <w:rPr>
            <w:rStyle w:val="Hyperlink"/>
          </w:rPr>
          <w:t>https://www.gov.uk/government/publications/local-government-transparency-code-2014</w:t>
        </w:r>
      </w:hyperlink>
      <w:r>
        <w:rPr>
          <w:rStyle w:val="Hyperlink"/>
        </w:rPr>
        <w:t xml:space="preserve">. </w:t>
      </w:r>
    </w:p>
  </w:footnote>
  <w:footnote w:id="2">
    <w:p w14:paraId="0FEE83AE" w14:textId="1A37E6FF" w:rsidR="00247C08" w:rsidRDefault="00247C08">
      <w:pPr>
        <w:pStyle w:val="FootnoteText"/>
      </w:pPr>
      <w:r>
        <w:rPr>
          <w:rStyle w:val="FootnoteReference"/>
        </w:rPr>
        <w:footnoteRef/>
      </w:r>
      <w:r>
        <w:t xml:space="preserve"> </w:t>
      </w:r>
      <w:hyperlink r:id="rId2" w:history="1">
        <w:r w:rsidRPr="00321D1C">
          <w:rPr>
            <w:rStyle w:val="Hyperlink"/>
            <w:rFonts w:cs="Arial"/>
          </w:rPr>
          <w:t>https://www.gov.uk/start-a-public-service-mutual-the-process</w:t>
        </w:r>
      </w:hyperlink>
      <w:r>
        <w:t xml:space="preserve"> </w:t>
      </w:r>
    </w:p>
  </w:footnote>
  <w:footnote w:id="3">
    <w:p w14:paraId="2DF338E6" w14:textId="21FFCEF2" w:rsidR="00247C08" w:rsidRDefault="00247C08">
      <w:pPr>
        <w:pStyle w:val="FootnoteText"/>
      </w:pPr>
      <w:r>
        <w:rPr>
          <w:rStyle w:val="FootnoteReference"/>
        </w:rPr>
        <w:footnoteRef/>
      </w:r>
      <w:r>
        <w:t xml:space="preserve"> ICO tribunal decision notice FS 50259951: </w:t>
      </w:r>
      <w:r w:rsidRPr="00951ECB">
        <w:t>http://ico.org.uk/~/media/documents/decisionnotices/2010/FS_50259951.ashx</w:t>
      </w:r>
    </w:p>
  </w:footnote>
  <w:footnote w:id="4">
    <w:p w14:paraId="41030C59" w14:textId="77777777" w:rsidR="00247C08" w:rsidRDefault="00247C08" w:rsidP="000F4522">
      <w:pPr>
        <w:pStyle w:val="FootnoteText"/>
      </w:pPr>
      <w:r>
        <w:rPr>
          <w:rStyle w:val="FootnoteReference"/>
        </w:rPr>
        <w:footnoteRef/>
      </w:r>
      <w:r>
        <w:t xml:space="preserve"> </w:t>
      </w:r>
      <w:hyperlink r:id="rId3" w:history="1">
        <w:r>
          <w:rPr>
            <w:rStyle w:val="Hyperlink"/>
          </w:rPr>
          <w:t>http://www.cpni.gov.uk/about/cni/</w:t>
        </w:r>
      </w:hyperlink>
    </w:p>
  </w:footnote>
  <w:footnote w:id="5">
    <w:p w14:paraId="2CFD8042" w14:textId="77777777" w:rsidR="00247C08" w:rsidRDefault="00247C08" w:rsidP="000F4522">
      <w:pPr>
        <w:pStyle w:val="FootnoteText"/>
      </w:pPr>
      <w:r>
        <w:rPr>
          <w:rStyle w:val="FootnoteReference"/>
        </w:rPr>
        <w:footnoteRef/>
      </w:r>
      <w:r>
        <w:t xml:space="preserve"> </w:t>
      </w:r>
      <w:hyperlink r:id="rId4" w:history="1">
        <w:r>
          <w:rPr>
            <w:rStyle w:val="Hyperlink"/>
          </w:rPr>
          <w:t>https://www.gov.uk/government/uploads/system/uploads/attachment_data/file/62504/strategic-framework.pdf</w:t>
        </w:r>
      </w:hyperlink>
      <w:r>
        <w:t xml:space="preserve"> </w:t>
      </w:r>
    </w:p>
  </w:footnote>
  <w:footnote w:id="6">
    <w:p w14:paraId="72471D03" w14:textId="6FD98BDA" w:rsidR="00247C08" w:rsidRDefault="00247C08">
      <w:pPr>
        <w:pStyle w:val="FootnoteText"/>
      </w:pPr>
      <w:r>
        <w:rPr>
          <w:rStyle w:val="FootnoteReference"/>
        </w:rPr>
        <w:footnoteRef/>
      </w:r>
      <w:r>
        <w:t xml:space="preserve"> Local Government Transparency Code 2014 – Publishing Data (general guidance): </w:t>
      </w:r>
      <w:hyperlink r:id="rId5" w:history="1">
        <w:r w:rsidRPr="00756F64">
          <w:rPr>
            <w:rStyle w:val="Hyperlink"/>
            <w:rFonts w:cs="Arial"/>
          </w:rPr>
          <w:t>http://www.local.gov.uk/practitioners-guides-to-publishing-data</w:t>
        </w:r>
      </w:hyperlink>
    </w:p>
  </w:footnote>
  <w:footnote w:id="7">
    <w:p w14:paraId="26840C93" w14:textId="4236F76A" w:rsidR="00247C08" w:rsidRPr="00752E1C" w:rsidRDefault="00247C08">
      <w:pPr>
        <w:pStyle w:val="FootnoteText"/>
        <w:rPr>
          <w:lang w:val="en-US"/>
        </w:rPr>
      </w:pPr>
      <w:r>
        <w:rPr>
          <w:rStyle w:val="FootnoteReference"/>
        </w:rPr>
        <w:footnoteRef/>
      </w:r>
      <w:r>
        <w:t xml:space="preserve"> For further information about the UPRN see </w:t>
      </w:r>
      <w:hyperlink r:id="rId6" w:history="1">
        <w:r w:rsidRPr="00C773EC">
          <w:rPr>
            <w:rStyle w:val="Hyperlink"/>
            <w:rFonts w:cs="Arial"/>
            <w:lang w:val="en-US"/>
          </w:rPr>
          <w:t>http://www.nlpg.org.uk</w:t>
        </w:r>
      </w:hyperlink>
      <w:r>
        <w:rPr>
          <w:lang w:val="en-US"/>
        </w:rPr>
        <w:t xml:space="preserve"> </w:t>
      </w:r>
    </w:p>
  </w:footnote>
  <w:footnote w:id="8">
    <w:p w14:paraId="0482D8FE" w14:textId="7CABB154" w:rsidR="00247C08" w:rsidRDefault="00247C08">
      <w:pPr>
        <w:pStyle w:val="FootnoteText"/>
      </w:pPr>
      <w:r>
        <w:rPr>
          <w:rStyle w:val="FootnoteReference"/>
        </w:rPr>
        <w:footnoteRef/>
      </w:r>
      <w:r>
        <w:t xml:space="preserve"> Vacant properties are normally regarded as empty while vacant land is land without a building or structure. Vacant land can also be identified by the holding type if it is land only.</w:t>
      </w:r>
    </w:p>
  </w:footnote>
  <w:footnote w:id="9">
    <w:p w14:paraId="47772FA6" w14:textId="77777777" w:rsidR="00247C08" w:rsidRDefault="00247C08" w:rsidP="005D0859">
      <w:pPr>
        <w:pStyle w:val="FootnoteText"/>
      </w:pPr>
      <w:r>
        <w:rPr>
          <w:rStyle w:val="FootnoteReference"/>
        </w:rPr>
        <w:footnoteRef/>
      </w:r>
      <w:r>
        <w:t xml:space="preserve"> Where a local authority feels unable to verify rights of way information, for example, it should add a short narrative explaining why they are unable to identify and verify the information.</w:t>
      </w:r>
    </w:p>
  </w:footnote>
  <w:footnote w:id="10">
    <w:p w14:paraId="5AC355A5" w14:textId="77777777" w:rsidR="00247C08" w:rsidRDefault="00247C08" w:rsidP="00E96CDA">
      <w:pPr>
        <w:pStyle w:val="FootnoteText"/>
      </w:pPr>
      <w:r>
        <w:rPr>
          <w:rStyle w:val="FootnoteReference"/>
        </w:rPr>
        <w:footnoteRef/>
      </w:r>
      <w:r>
        <w:t xml:space="preserve"> Local authorities are not expected to re-measure buildings. Research undertaken for the Scottish Government offers one method of converting Net Internal Area to Gross Internal Area and can be found at: </w:t>
      </w:r>
      <w:hyperlink r:id="rId7" w:history="1">
        <w:r w:rsidRPr="00F80845">
          <w:rPr>
            <w:rStyle w:val="Hyperlink"/>
          </w:rPr>
          <w:t>http://www.scotland.gov.uk/Resource/Doc/217736/0121532.pdf</w:t>
        </w:r>
      </w:hyperlink>
      <w:r>
        <w:t xml:space="preserve"> </w:t>
      </w:r>
    </w:p>
  </w:footnote>
  <w:footnote w:id="11">
    <w:p w14:paraId="75A4A058" w14:textId="7B500E7C" w:rsidR="00247C08" w:rsidRPr="00704F88" w:rsidRDefault="00247C08" w:rsidP="00E96CDA">
      <w:pPr>
        <w:pStyle w:val="FootnoteText"/>
      </w:pPr>
      <w:r>
        <w:rPr>
          <w:rStyle w:val="FootnoteReference"/>
        </w:rPr>
        <w:footnoteRef/>
      </w:r>
      <w:r>
        <w:t xml:space="preserve"> More information on the PMSA can be found at </w:t>
      </w:r>
      <w:hyperlink r:id="rId8" w:history="1">
        <w:r w:rsidRPr="00321D1C">
          <w:rPr>
            <w:rStyle w:val="Hyperlink"/>
            <w:rFonts w:cs="Arial"/>
          </w:rPr>
          <w:t>http://www.ordnancesurvey.co.uk/oswebsite/public-sector/mapping-agreement/index.html</w:t>
        </w:r>
      </w:hyperlink>
      <w:r>
        <w:t xml:space="preserve"> </w:t>
      </w:r>
    </w:p>
  </w:footnote>
  <w:footnote w:id="12">
    <w:p w14:paraId="267162D3" w14:textId="3F1BFF29" w:rsidR="00247C08" w:rsidRDefault="00247C08">
      <w:pPr>
        <w:pStyle w:val="FootnoteText"/>
      </w:pPr>
      <w:r>
        <w:rPr>
          <w:rStyle w:val="FootnoteReference"/>
        </w:rPr>
        <w:footnoteRef/>
      </w:r>
      <w:r>
        <w:t xml:space="preserve"> Policy Statement on the use of UPRNs: </w:t>
      </w:r>
      <w:hyperlink r:id="rId9" w:history="1">
        <w:r w:rsidRPr="00966A7A">
          <w:rPr>
            <w:rStyle w:val="Hyperlink"/>
            <w:rFonts w:cs="Arial"/>
          </w:rPr>
          <w:t>http://www.ordnancesurvey.co.uk/about/governance/policies/addressbase-uprn.html</w:t>
        </w:r>
      </w:hyperlink>
      <w:r>
        <w:t xml:space="preserve"> </w:t>
      </w:r>
    </w:p>
  </w:footnote>
  <w:footnote w:id="13">
    <w:p w14:paraId="4F180362" w14:textId="77777777" w:rsidR="00F7779C" w:rsidRDefault="00F7779C" w:rsidP="00F7779C">
      <w:pPr>
        <w:pStyle w:val="FootnoteText"/>
      </w:pPr>
      <w:r>
        <w:rPr>
          <w:rStyle w:val="FootnoteReference"/>
        </w:rPr>
        <w:footnoteRef/>
      </w:r>
      <w:r>
        <w:t xml:space="preserve"> </w:t>
      </w:r>
      <w:hyperlink r:id="rId10" w:history="1">
        <w:r w:rsidRPr="00356443">
          <w:rPr>
            <w:rStyle w:val="Hyperlink"/>
          </w:rPr>
          <w:t>https://www.gov.uk/government/publications/the-housing-revenue-account-directions-2011</w:t>
        </w:r>
      </w:hyperlink>
      <w:r>
        <w:t xml:space="preserve"> </w:t>
      </w:r>
    </w:p>
  </w:footnote>
  <w:footnote w:id="14">
    <w:p w14:paraId="6746A2D6" w14:textId="77777777" w:rsidR="00F7779C" w:rsidRDefault="00F7779C" w:rsidP="00F7779C">
      <w:pPr>
        <w:pStyle w:val="FootnoteText"/>
      </w:pPr>
      <w:r>
        <w:rPr>
          <w:rStyle w:val="FootnoteReference"/>
        </w:rPr>
        <w:footnoteRef/>
      </w:r>
      <w:r>
        <w:t xml:space="preserve"> </w:t>
      </w:r>
      <w:r w:rsidRPr="008A6D55">
        <w:t>http://www.postcodeaddressfile.co.uk/products/postcodes/postcodes_explained.htm</w:t>
      </w:r>
    </w:p>
  </w:footnote>
  <w:footnote w:id="15">
    <w:p w14:paraId="1BE1DC96" w14:textId="77777777" w:rsidR="00F7779C" w:rsidRDefault="00F7779C" w:rsidP="00F7779C">
      <w:pPr>
        <w:pStyle w:val="FootnoteText"/>
      </w:pPr>
      <w:r>
        <w:rPr>
          <w:rStyle w:val="FootnoteReference"/>
        </w:rPr>
        <w:footnoteRef/>
      </w:r>
      <w:r>
        <w:t xml:space="preserve"> Dwellings per postcode sector: </w:t>
      </w:r>
      <w:hyperlink r:id="rId11" w:history="1">
        <w:r w:rsidRPr="00413CC4">
          <w:rPr>
            <w:rStyle w:val="Hyperlink"/>
          </w:rPr>
          <w:t>https://www.nomisweb.co.uk/census/2011/qs402ew</w:t>
        </w:r>
      </w:hyperlink>
      <w:r>
        <w:t>.</w:t>
      </w:r>
    </w:p>
  </w:footnote>
  <w:footnote w:id="16">
    <w:p w14:paraId="42D82F19" w14:textId="77777777" w:rsidR="00F7779C" w:rsidRDefault="00F7779C" w:rsidP="00F7779C">
      <w:pPr>
        <w:pStyle w:val="FootnoteText"/>
      </w:pPr>
      <w:r>
        <w:rPr>
          <w:rStyle w:val="FootnoteReference"/>
        </w:rPr>
        <w:footnoteRef/>
      </w:r>
      <w:r>
        <w:rPr>
          <w:i/>
        </w:rPr>
        <w:t xml:space="preserve">Guidance to </w:t>
      </w:r>
      <w:proofErr w:type="spellStart"/>
      <w:r>
        <w:rPr>
          <w:i/>
        </w:rPr>
        <w:t>Valuers</w:t>
      </w:r>
      <w:proofErr w:type="spellEnd"/>
      <w:r>
        <w:rPr>
          <w:i/>
        </w:rPr>
        <w:t xml:space="preserve"> on Stock Valuation for Resource Accounting 2010</w:t>
      </w:r>
      <w:r>
        <w:t xml:space="preserve">, DCLG January 2011, at:  </w:t>
      </w:r>
      <w:hyperlink r:id="rId12" w:history="1">
        <w:r w:rsidRPr="00822C92">
          <w:rPr>
            <w:rStyle w:val="Hyperlink"/>
            <w:rFonts w:cs="Arial"/>
          </w:rPr>
          <w:t>https://www.gov.uk/government/uploads/system/uploads/attachment_data/file/5939/1825886.pdf</w:t>
        </w:r>
      </w:hyperlink>
      <w:r>
        <w:t xml:space="preserve"> </w:t>
      </w:r>
    </w:p>
  </w:footnote>
  <w:footnote w:id="17">
    <w:p w14:paraId="10062593" w14:textId="77777777" w:rsidR="00247C08" w:rsidRDefault="00247C08" w:rsidP="00AB0F96">
      <w:pPr>
        <w:pStyle w:val="FootnoteText"/>
        <w:rPr>
          <w:color w:val="auto"/>
        </w:rPr>
      </w:pPr>
      <w:r>
        <w:rPr>
          <w:rStyle w:val="FootnoteReference"/>
        </w:rPr>
        <w:footnoteRef/>
      </w:r>
      <w:r>
        <w:t xml:space="preserve"> Section 55 (as amended) of the Road Traffic Regulation Act 1984 sets out how local authorities should use a surplus on their parking account. Local authorities should breakdown how they have spent a surplus on their parking account within the categories set out in section 55.</w:t>
      </w:r>
    </w:p>
  </w:footnote>
  <w:footnote w:id="18">
    <w:p w14:paraId="69AF240F" w14:textId="3C070C79" w:rsidR="00247C08" w:rsidRDefault="00247C08" w:rsidP="00A4784B">
      <w:pPr>
        <w:pStyle w:val="FootnoteText"/>
        <w:rPr>
          <w:rFonts w:cs="Times New Roman"/>
        </w:rPr>
      </w:pPr>
      <w:r>
        <w:rPr>
          <w:rStyle w:val="FootnoteReference"/>
        </w:rPr>
        <w:footnoteRef/>
      </w:r>
      <w:r>
        <w:t xml:space="preserve"> Local authorities should also have regard to both statutory guidance</w:t>
      </w:r>
      <w:r>
        <w:rPr>
          <w:i/>
        </w:rPr>
        <w:t>, The Secretary of State’s Statutory Guidance to Local Authorities on the Civil Enforcement of Parking Contraventions</w:t>
      </w:r>
      <w:r>
        <w:t xml:space="preserve">, </w:t>
      </w:r>
      <w:r w:rsidRPr="00B31000">
        <w:t>https://www.gov.uk/government/publications/civil-enforcement-of-parking-contraventions</w:t>
      </w:r>
      <w:r>
        <w:rPr>
          <w:bCs/>
          <w:color w:val="1F497D"/>
        </w:rPr>
        <w:t xml:space="preserve">, </w:t>
      </w:r>
      <w:r>
        <w:rPr>
          <w:bCs/>
        </w:rPr>
        <w:t xml:space="preserve">and non-statutory operational guidance, </w:t>
      </w:r>
      <w:r>
        <w:rPr>
          <w:bCs/>
          <w:i/>
        </w:rPr>
        <w:t>Operational Guidance to Local Authorities: Parking Policy and Enforcement</w:t>
      </w:r>
      <w:r>
        <w:rPr>
          <w:bCs/>
        </w:rPr>
        <w:t xml:space="preserve">, </w:t>
      </w:r>
      <w:hyperlink r:id="rId13" w:history="1">
        <w:r>
          <w:rPr>
            <w:rStyle w:val="Hyperlink"/>
            <w:sz w:val="19"/>
            <w:szCs w:val="19"/>
          </w:rPr>
          <w:t>https://www.gov.uk/government/uploads/system/uploads/attachment_data/file/212559/parkingenforcepolicy.pdf</w:t>
        </w:r>
      </w:hyperlink>
    </w:p>
  </w:footnote>
  <w:footnote w:id="19">
    <w:p w14:paraId="1FD40583" w14:textId="1AC73CA7" w:rsidR="00247C08" w:rsidRDefault="00247C08">
      <w:pPr>
        <w:pStyle w:val="FootnoteText"/>
      </w:pPr>
      <w:r>
        <w:rPr>
          <w:rStyle w:val="FootnoteReference"/>
        </w:rPr>
        <w:footnoteRef/>
      </w:r>
      <w:r>
        <w:t xml:space="preserve"> Local Government Transparency Code Frequently Asked Questions 2014: </w:t>
      </w:r>
      <w:hyperlink r:id="rId14" w:history="1">
        <w:r w:rsidRPr="008E2E36">
          <w:rPr>
            <w:rStyle w:val="Hyperlink"/>
            <w:rFonts w:cs="Arial"/>
          </w:rPr>
          <w:t>https://www.gov.uk/government/uploads/system/uploads/attachment_data/file/360713/Local_Government_Transparency_Code_2014__-_FAQ.pdf</w:t>
        </w:r>
      </w:hyperlink>
      <w:r>
        <w:t xml:space="preserve"> </w:t>
      </w:r>
    </w:p>
  </w:footnote>
  <w:footnote w:id="20">
    <w:p w14:paraId="4061EC05" w14:textId="77777777" w:rsidR="00247C08" w:rsidRDefault="00247C08" w:rsidP="00AF12DC">
      <w:pPr>
        <w:pStyle w:val="FootnoteText"/>
      </w:pPr>
      <w:r>
        <w:rPr>
          <w:rStyle w:val="FootnoteReference"/>
        </w:rPr>
        <w:footnoteRef/>
      </w:r>
      <w:r>
        <w:t xml:space="preserve"> Local authorities are not expected to re-measure buildings. Research undertaken for the Scottish Government offers one method of converting Net Internal Area to Gross Internal Area and can be found at: </w:t>
      </w:r>
      <w:hyperlink r:id="rId15" w:history="1">
        <w:r>
          <w:rPr>
            <w:rStyle w:val="Hyperlink"/>
          </w:rPr>
          <w:t>http://www.scotland.gov.uk/Resource/Doc/217736/0121532.pdf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020A7" w14:textId="77777777" w:rsidR="00247C08" w:rsidRDefault="00247C08" w:rsidP="00DD6160">
    <w:pPr>
      <w:pStyle w:val="Header"/>
    </w:pPr>
    <w:r>
      <w:t>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2D8"/>
    <w:multiLevelType w:val="hybridMultilevel"/>
    <w:tmpl w:val="41E4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04C44"/>
    <w:multiLevelType w:val="hybridMultilevel"/>
    <w:tmpl w:val="1D56D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181506"/>
    <w:multiLevelType w:val="hybridMultilevel"/>
    <w:tmpl w:val="5B46F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01D4D59"/>
    <w:multiLevelType w:val="hybridMultilevel"/>
    <w:tmpl w:val="433CC3B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156369"/>
    <w:multiLevelType w:val="hybridMultilevel"/>
    <w:tmpl w:val="EBCCA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1DDC2BE8"/>
    <w:multiLevelType w:val="hybridMultilevel"/>
    <w:tmpl w:val="5AD65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100314E"/>
    <w:multiLevelType w:val="hybridMultilevel"/>
    <w:tmpl w:val="70FC0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1E774B"/>
    <w:multiLevelType w:val="hybridMultilevel"/>
    <w:tmpl w:val="882EA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987F1B"/>
    <w:multiLevelType w:val="hybridMultilevel"/>
    <w:tmpl w:val="E4D0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B70E6"/>
    <w:multiLevelType w:val="hybridMultilevel"/>
    <w:tmpl w:val="04243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B13EF6"/>
    <w:multiLevelType w:val="hybridMultilevel"/>
    <w:tmpl w:val="39E68AF8"/>
    <w:lvl w:ilvl="0" w:tplc="FC68AD34">
      <w:start w:val="1"/>
      <w:numFmt w:val="bullet"/>
      <w:lvlText w:val=""/>
      <w:lvlJc w:val="left"/>
      <w:pPr>
        <w:tabs>
          <w:tab w:val="num" w:pos="360"/>
        </w:tabs>
        <w:ind w:left="360" w:hanging="360"/>
      </w:pPr>
      <w:rPr>
        <w:rFonts w:ascii="Symbol" w:hAnsi="Symbol" w:hint="default"/>
        <w:b w:val="0"/>
        <w:i w:val="0"/>
        <w:sz w:val="24"/>
        <w:szCs w:val="24"/>
      </w:rPr>
    </w:lvl>
    <w:lvl w:ilvl="1" w:tplc="08090019">
      <w:start w:val="1"/>
      <w:numFmt w:val="lowerLetter"/>
      <w:lvlText w:val="%2."/>
      <w:lvlJc w:val="left"/>
      <w:pPr>
        <w:tabs>
          <w:tab w:val="num" w:pos="1080"/>
        </w:tabs>
        <w:ind w:left="1080" w:hanging="360"/>
      </w:pPr>
      <w:rPr>
        <w:b w:val="0"/>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2">
    <w:nsid w:val="2D8868B8"/>
    <w:multiLevelType w:val="hybridMultilevel"/>
    <w:tmpl w:val="73BED000"/>
    <w:lvl w:ilvl="0" w:tplc="5338E6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D6228E"/>
    <w:multiLevelType w:val="hybridMultilevel"/>
    <w:tmpl w:val="AE0C7F34"/>
    <w:lvl w:ilvl="0" w:tplc="08090003">
      <w:start w:val="1"/>
      <w:numFmt w:val="bullet"/>
      <w:lvlText w:val="o"/>
      <w:lvlJc w:val="left"/>
      <w:pPr>
        <w:tabs>
          <w:tab w:val="num" w:pos="1440"/>
        </w:tabs>
        <w:ind w:left="1440" w:hanging="360"/>
      </w:pPr>
      <w:rPr>
        <w:rFonts w:ascii="Courier New" w:hAnsi="Courier New" w:cs="Courier New"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31C91F28"/>
    <w:multiLevelType w:val="hybridMultilevel"/>
    <w:tmpl w:val="FF9A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87AD1"/>
    <w:multiLevelType w:val="hybridMultilevel"/>
    <w:tmpl w:val="124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17CA0"/>
    <w:multiLevelType w:val="hybridMultilevel"/>
    <w:tmpl w:val="D764C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A7253A"/>
    <w:multiLevelType w:val="hybridMultilevel"/>
    <w:tmpl w:val="9ABA6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5FF4692"/>
    <w:multiLevelType w:val="hybridMultilevel"/>
    <w:tmpl w:val="30E6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293909"/>
    <w:multiLevelType w:val="hybridMultilevel"/>
    <w:tmpl w:val="8A2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5542B"/>
    <w:multiLevelType w:val="hybridMultilevel"/>
    <w:tmpl w:val="87543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A5286B"/>
    <w:multiLevelType w:val="hybridMultilevel"/>
    <w:tmpl w:val="A2E2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984B17"/>
    <w:multiLevelType w:val="hybridMultilevel"/>
    <w:tmpl w:val="E1BC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A46246"/>
    <w:multiLevelType w:val="hybridMultilevel"/>
    <w:tmpl w:val="E4D8B55A"/>
    <w:lvl w:ilvl="0" w:tplc="5338E6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C30D95"/>
    <w:multiLevelType w:val="hybridMultilevel"/>
    <w:tmpl w:val="7DA46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E892722"/>
    <w:multiLevelType w:val="hybridMultilevel"/>
    <w:tmpl w:val="F43887DE"/>
    <w:lvl w:ilvl="0" w:tplc="39FCCFC6">
      <w:start w:val="1"/>
      <w:numFmt w:val="decimal"/>
      <w:pStyle w:val="StyleBodyTextLeft159cm"/>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08D71EC"/>
    <w:multiLevelType w:val="hybridMultilevel"/>
    <w:tmpl w:val="75C6A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1B5556E"/>
    <w:multiLevelType w:val="multilevel"/>
    <w:tmpl w:val="3FFAD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20E1AE2"/>
    <w:multiLevelType w:val="hybridMultilevel"/>
    <w:tmpl w:val="D05E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6706C4"/>
    <w:multiLevelType w:val="hybridMultilevel"/>
    <w:tmpl w:val="620E1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532A10"/>
    <w:multiLevelType w:val="hybridMultilevel"/>
    <w:tmpl w:val="A89C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C06279"/>
    <w:multiLevelType w:val="multilevel"/>
    <w:tmpl w:val="1AA48420"/>
    <w:lvl w:ilvl="0">
      <w:start w:val="1"/>
      <w:numFmt w:val="bullet"/>
      <w:lvlText w:val=""/>
      <w:lvlJc w:val="left"/>
      <w:pPr>
        <w:tabs>
          <w:tab w:val="num" w:pos="1080"/>
        </w:tabs>
        <w:ind w:left="1080" w:hanging="360"/>
      </w:pPr>
      <w:rPr>
        <w:rFonts w:ascii="Symbol" w:hAnsi="Symbol" w:hint="default"/>
        <w:color w:val="auto"/>
      </w:rPr>
    </w:lvl>
    <w:lvl w:ilvl="1">
      <w:start w:val="2"/>
      <w:numFmt w:val="decimal"/>
      <w:lvlText w:val="%1.%2"/>
      <w:lvlJc w:val="left"/>
      <w:pPr>
        <w:tabs>
          <w:tab w:val="num" w:pos="720"/>
        </w:tabs>
        <w:ind w:left="720" w:hanging="720"/>
      </w:pPr>
    </w:lvl>
    <w:lvl w:ilvl="2">
      <w:start w:val="1"/>
      <w:numFmt w:val="bullet"/>
      <w:lvlText w:val=""/>
      <w:lvlJc w:val="left"/>
      <w:pPr>
        <w:tabs>
          <w:tab w:val="num" w:pos="360"/>
        </w:tabs>
        <w:ind w:left="360" w:hanging="360"/>
      </w:pPr>
      <w:rPr>
        <w:rFonts w:ascii="Symbol" w:hAnsi="Symbol" w:hint="default"/>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nsid w:val="587427F8"/>
    <w:multiLevelType w:val="hybridMultilevel"/>
    <w:tmpl w:val="306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nsid w:val="66AF1A22"/>
    <w:multiLevelType w:val="hybridMultilevel"/>
    <w:tmpl w:val="8C808CAA"/>
    <w:lvl w:ilvl="0" w:tplc="5338E6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FF07A6"/>
    <w:multiLevelType w:val="hybridMultilevel"/>
    <w:tmpl w:val="3F4E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2B6EB8"/>
    <w:multiLevelType w:val="hybridMultilevel"/>
    <w:tmpl w:val="CD00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54568A"/>
    <w:multiLevelType w:val="hybridMultilevel"/>
    <w:tmpl w:val="55F65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2043A1"/>
    <w:multiLevelType w:val="hybridMultilevel"/>
    <w:tmpl w:val="735ACE0A"/>
    <w:lvl w:ilvl="0" w:tplc="5338E6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4A47A0"/>
    <w:multiLevelType w:val="hybridMultilevel"/>
    <w:tmpl w:val="2160E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57F5368"/>
    <w:multiLevelType w:val="hybridMultilevel"/>
    <w:tmpl w:val="FDAAE7A6"/>
    <w:lvl w:ilvl="0" w:tplc="5338E6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6521B5"/>
    <w:multiLevelType w:val="hybridMultilevel"/>
    <w:tmpl w:val="CA14D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A10069C"/>
    <w:multiLevelType w:val="hybridMultilevel"/>
    <w:tmpl w:val="696C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BE0E83"/>
    <w:multiLevelType w:val="hybridMultilevel"/>
    <w:tmpl w:val="E56C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CC1DE5"/>
    <w:multiLevelType w:val="hybridMultilevel"/>
    <w:tmpl w:val="2CF05868"/>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5"/>
  </w:num>
  <w:num w:numId="3">
    <w:abstractNumId w:val="33"/>
  </w:num>
  <w:num w:numId="4">
    <w:abstractNumId w:val="13"/>
  </w:num>
  <w:num w:numId="5">
    <w:abstractNumId w:val="29"/>
  </w:num>
  <w:num w:numId="6">
    <w:abstractNumId w:val="10"/>
  </w:num>
  <w:num w:numId="7">
    <w:abstractNumId w:val="7"/>
  </w:num>
  <w:num w:numId="8">
    <w:abstractNumId w:val="26"/>
  </w:num>
  <w:num w:numId="9">
    <w:abstractNumId w:val="8"/>
  </w:num>
  <w:num w:numId="10">
    <w:abstractNumId w:val="12"/>
  </w:num>
  <w:num w:numId="11">
    <w:abstractNumId w:val="34"/>
  </w:num>
  <w:num w:numId="12">
    <w:abstractNumId w:val="40"/>
  </w:num>
  <w:num w:numId="13">
    <w:abstractNumId w:val="23"/>
  </w:num>
  <w:num w:numId="14">
    <w:abstractNumId w:val="38"/>
  </w:num>
  <w:num w:numId="15">
    <w:abstractNumId w:val="1"/>
  </w:num>
  <w:num w:numId="16">
    <w:abstractNumId w:val="17"/>
  </w:num>
  <w:num w:numId="17">
    <w:abstractNumId w:val="3"/>
  </w:num>
  <w:num w:numId="18">
    <w:abstractNumId w:val="30"/>
  </w:num>
  <w:num w:numId="19">
    <w:abstractNumId w:val="36"/>
  </w:num>
  <w:num w:numId="20">
    <w:abstractNumId w:val="43"/>
  </w:num>
  <w:num w:numId="21">
    <w:abstractNumId w:val="37"/>
  </w:num>
  <w:num w:numId="22">
    <w:abstractNumId w:val="0"/>
  </w:num>
  <w:num w:numId="23">
    <w:abstractNumId w:val="9"/>
  </w:num>
  <w:num w:numId="24">
    <w:abstractNumId w:val="44"/>
  </w:num>
  <w:num w:numId="25">
    <w:abstractNumId w:val="41"/>
  </w:num>
  <w:num w:numId="26">
    <w:abstractNumId w:val="42"/>
  </w:num>
  <w:num w:numId="27">
    <w:abstractNumId w:val="16"/>
  </w:num>
  <w:num w:numId="28">
    <w:abstractNumId w:val="20"/>
  </w:num>
  <w:num w:numId="29">
    <w:abstractNumId w:val="18"/>
  </w:num>
  <w:num w:numId="30">
    <w:abstractNumId w:val="6"/>
  </w:num>
  <w:num w:numId="31">
    <w:abstractNumId w:val="22"/>
  </w:num>
  <w:num w:numId="32">
    <w:abstractNumId w:val="39"/>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
  </w:num>
  <w:num w:numId="37">
    <w:abstractNumId w:val="37"/>
  </w:num>
  <w:num w:numId="38">
    <w:abstractNumId w:val="11"/>
  </w:num>
  <w:num w:numId="39">
    <w:abstractNumId w:val="32"/>
  </w:num>
  <w:num w:numId="40">
    <w:abstractNumId w:val="4"/>
  </w:num>
  <w:num w:numId="41">
    <w:abstractNumId w:val="42"/>
  </w:num>
  <w:num w:numId="42">
    <w:abstractNumId w:val="20"/>
  </w:num>
  <w:num w:numId="43">
    <w:abstractNumId w:val="16"/>
  </w:num>
  <w:num w:numId="44">
    <w:abstractNumId w:val="7"/>
  </w:num>
  <w:num w:numId="45">
    <w:abstractNumId w:val="8"/>
  </w:num>
  <w:num w:numId="46">
    <w:abstractNumId w:val="29"/>
  </w:num>
  <w:num w:numId="47">
    <w:abstractNumId w:val="13"/>
  </w:num>
  <w:num w:numId="48">
    <w:abstractNumId w:val="2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9">
    <w:abstractNumId w:val="24"/>
  </w:num>
  <w:num w:numId="50">
    <w:abstractNumId w:val="21"/>
  </w:num>
  <w:num w:numId="51">
    <w:abstractNumId w:val="14"/>
  </w:num>
  <w:num w:numId="52">
    <w:abstractNumId w:val="19"/>
  </w:num>
  <w:num w:numId="53">
    <w:abstractNumId w:val="15"/>
  </w:num>
  <w:num w:numId="54">
    <w:abstractNumId w:val="35"/>
  </w:num>
  <w:num w:numId="55">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46"/>
    <w:rsid w:val="000056EA"/>
    <w:rsid w:val="00005B2A"/>
    <w:rsid w:val="00007F47"/>
    <w:rsid w:val="000114EE"/>
    <w:rsid w:val="0001436C"/>
    <w:rsid w:val="000475BA"/>
    <w:rsid w:val="00047F2A"/>
    <w:rsid w:val="000517A1"/>
    <w:rsid w:val="00052D66"/>
    <w:rsid w:val="000563A9"/>
    <w:rsid w:val="00057BCB"/>
    <w:rsid w:val="00062A5C"/>
    <w:rsid w:val="00067378"/>
    <w:rsid w:val="00071C36"/>
    <w:rsid w:val="000742A2"/>
    <w:rsid w:val="0008576C"/>
    <w:rsid w:val="0009376F"/>
    <w:rsid w:val="000A2504"/>
    <w:rsid w:val="000A401A"/>
    <w:rsid w:val="000A49C9"/>
    <w:rsid w:val="000B053B"/>
    <w:rsid w:val="000B0760"/>
    <w:rsid w:val="000B10C2"/>
    <w:rsid w:val="000C3508"/>
    <w:rsid w:val="000C6D93"/>
    <w:rsid w:val="000D21D4"/>
    <w:rsid w:val="000D3641"/>
    <w:rsid w:val="000D385B"/>
    <w:rsid w:val="000D6446"/>
    <w:rsid w:val="000F0765"/>
    <w:rsid w:val="000F1B4C"/>
    <w:rsid w:val="000F4522"/>
    <w:rsid w:val="000F65CF"/>
    <w:rsid w:val="0010221D"/>
    <w:rsid w:val="0010245B"/>
    <w:rsid w:val="00113E54"/>
    <w:rsid w:val="00114247"/>
    <w:rsid w:val="00114674"/>
    <w:rsid w:val="0011469A"/>
    <w:rsid w:val="00115D33"/>
    <w:rsid w:val="001163FF"/>
    <w:rsid w:val="00116936"/>
    <w:rsid w:val="00117654"/>
    <w:rsid w:val="0012150E"/>
    <w:rsid w:val="00130C81"/>
    <w:rsid w:val="00134026"/>
    <w:rsid w:val="00140EEA"/>
    <w:rsid w:val="001412C4"/>
    <w:rsid w:val="0014575F"/>
    <w:rsid w:val="00150A6C"/>
    <w:rsid w:val="00151C00"/>
    <w:rsid w:val="00157619"/>
    <w:rsid w:val="0016136B"/>
    <w:rsid w:val="001623A5"/>
    <w:rsid w:val="001638D8"/>
    <w:rsid w:val="00165D3D"/>
    <w:rsid w:val="0016670F"/>
    <w:rsid w:val="00171B35"/>
    <w:rsid w:val="001742C0"/>
    <w:rsid w:val="00175684"/>
    <w:rsid w:val="001826EE"/>
    <w:rsid w:val="00184506"/>
    <w:rsid w:val="00187205"/>
    <w:rsid w:val="00187C9E"/>
    <w:rsid w:val="00194651"/>
    <w:rsid w:val="001A0426"/>
    <w:rsid w:val="001A15F7"/>
    <w:rsid w:val="001A1D06"/>
    <w:rsid w:val="001A2CE9"/>
    <w:rsid w:val="001A50DD"/>
    <w:rsid w:val="001A6EC0"/>
    <w:rsid w:val="001B137F"/>
    <w:rsid w:val="001B3814"/>
    <w:rsid w:val="001C199F"/>
    <w:rsid w:val="001C7B78"/>
    <w:rsid w:val="001D6FAF"/>
    <w:rsid w:val="001E48CC"/>
    <w:rsid w:val="001E5267"/>
    <w:rsid w:val="001E67E4"/>
    <w:rsid w:val="001E77CA"/>
    <w:rsid w:val="001F0F23"/>
    <w:rsid w:val="001F5B0C"/>
    <w:rsid w:val="001F7349"/>
    <w:rsid w:val="00201667"/>
    <w:rsid w:val="00210616"/>
    <w:rsid w:val="002114A9"/>
    <w:rsid w:val="0021222E"/>
    <w:rsid w:val="00220D8B"/>
    <w:rsid w:val="002215F8"/>
    <w:rsid w:val="0022313A"/>
    <w:rsid w:val="002309AB"/>
    <w:rsid w:val="00232152"/>
    <w:rsid w:val="002324C6"/>
    <w:rsid w:val="0023465D"/>
    <w:rsid w:val="00245BE1"/>
    <w:rsid w:val="00245C17"/>
    <w:rsid w:val="00247ABB"/>
    <w:rsid w:val="00247C08"/>
    <w:rsid w:val="00254F3A"/>
    <w:rsid w:val="00260D54"/>
    <w:rsid w:val="00263510"/>
    <w:rsid w:val="00270854"/>
    <w:rsid w:val="002714AF"/>
    <w:rsid w:val="0027182F"/>
    <w:rsid w:val="002819F4"/>
    <w:rsid w:val="00286CE9"/>
    <w:rsid w:val="002909FD"/>
    <w:rsid w:val="00291B2F"/>
    <w:rsid w:val="002A25C7"/>
    <w:rsid w:val="002A332D"/>
    <w:rsid w:val="002A4DD8"/>
    <w:rsid w:val="002C3FA3"/>
    <w:rsid w:val="002C48F3"/>
    <w:rsid w:val="002C5634"/>
    <w:rsid w:val="002C6D7C"/>
    <w:rsid w:val="002C75F2"/>
    <w:rsid w:val="002D05CB"/>
    <w:rsid w:val="002D6281"/>
    <w:rsid w:val="002F0F4E"/>
    <w:rsid w:val="002F0FF2"/>
    <w:rsid w:val="002F4DC0"/>
    <w:rsid w:val="002F5DAB"/>
    <w:rsid w:val="002F66CC"/>
    <w:rsid w:val="002F6E50"/>
    <w:rsid w:val="00305647"/>
    <w:rsid w:val="003158AB"/>
    <w:rsid w:val="00315AD4"/>
    <w:rsid w:val="00316CF8"/>
    <w:rsid w:val="003202E8"/>
    <w:rsid w:val="0032082A"/>
    <w:rsid w:val="00323EBD"/>
    <w:rsid w:val="00324261"/>
    <w:rsid w:val="003259C6"/>
    <w:rsid w:val="003316A5"/>
    <w:rsid w:val="00331999"/>
    <w:rsid w:val="00343264"/>
    <w:rsid w:val="003436E9"/>
    <w:rsid w:val="003452E0"/>
    <w:rsid w:val="00346652"/>
    <w:rsid w:val="00362913"/>
    <w:rsid w:val="003640C9"/>
    <w:rsid w:val="003707D7"/>
    <w:rsid w:val="00372B8A"/>
    <w:rsid w:val="00373C3C"/>
    <w:rsid w:val="00382BE8"/>
    <w:rsid w:val="00385548"/>
    <w:rsid w:val="00385EB4"/>
    <w:rsid w:val="00386C52"/>
    <w:rsid w:val="00387A7C"/>
    <w:rsid w:val="003A58E2"/>
    <w:rsid w:val="003A6FB5"/>
    <w:rsid w:val="003B07FA"/>
    <w:rsid w:val="003B16E3"/>
    <w:rsid w:val="003B2B0E"/>
    <w:rsid w:val="003B4296"/>
    <w:rsid w:val="003C171F"/>
    <w:rsid w:val="003C2123"/>
    <w:rsid w:val="003D7343"/>
    <w:rsid w:val="003D7748"/>
    <w:rsid w:val="003E3E84"/>
    <w:rsid w:val="003E773F"/>
    <w:rsid w:val="003F2374"/>
    <w:rsid w:val="00400E42"/>
    <w:rsid w:val="00403DD1"/>
    <w:rsid w:val="00403E42"/>
    <w:rsid w:val="004078DE"/>
    <w:rsid w:val="00411080"/>
    <w:rsid w:val="00416C97"/>
    <w:rsid w:val="00417576"/>
    <w:rsid w:val="004179D3"/>
    <w:rsid w:val="004221B3"/>
    <w:rsid w:val="00433922"/>
    <w:rsid w:val="004400C6"/>
    <w:rsid w:val="0044132A"/>
    <w:rsid w:val="00453C69"/>
    <w:rsid w:val="00462CB3"/>
    <w:rsid w:val="00464C3D"/>
    <w:rsid w:val="00465C72"/>
    <w:rsid w:val="0046675D"/>
    <w:rsid w:val="00472870"/>
    <w:rsid w:val="00485BC8"/>
    <w:rsid w:val="004874EF"/>
    <w:rsid w:val="004928C8"/>
    <w:rsid w:val="00492939"/>
    <w:rsid w:val="004972E2"/>
    <w:rsid w:val="0049753E"/>
    <w:rsid w:val="004A76BA"/>
    <w:rsid w:val="004B0CC1"/>
    <w:rsid w:val="004B40E9"/>
    <w:rsid w:val="004B4191"/>
    <w:rsid w:val="004B64D0"/>
    <w:rsid w:val="004B6C36"/>
    <w:rsid w:val="004C63DB"/>
    <w:rsid w:val="004C6A41"/>
    <w:rsid w:val="004C6EB8"/>
    <w:rsid w:val="004C7B71"/>
    <w:rsid w:val="004D10AC"/>
    <w:rsid w:val="004D21E0"/>
    <w:rsid w:val="004E0865"/>
    <w:rsid w:val="004E0992"/>
    <w:rsid w:val="004E7F1D"/>
    <w:rsid w:val="004F1546"/>
    <w:rsid w:val="004F1A81"/>
    <w:rsid w:val="004F47A7"/>
    <w:rsid w:val="004F590B"/>
    <w:rsid w:val="004F5D02"/>
    <w:rsid w:val="00502536"/>
    <w:rsid w:val="005032D2"/>
    <w:rsid w:val="0050451E"/>
    <w:rsid w:val="005146FD"/>
    <w:rsid w:val="005161FA"/>
    <w:rsid w:val="00516F9A"/>
    <w:rsid w:val="0051755E"/>
    <w:rsid w:val="0052214B"/>
    <w:rsid w:val="00523274"/>
    <w:rsid w:val="00526EA1"/>
    <w:rsid w:val="00531855"/>
    <w:rsid w:val="00531AC3"/>
    <w:rsid w:val="0053307F"/>
    <w:rsid w:val="005348BB"/>
    <w:rsid w:val="0053505B"/>
    <w:rsid w:val="00537F7D"/>
    <w:rsid w:val="005446EB"/>
    <w:rsid w:val="00545C46"/>
    <w:rsid w:val="00551DF9"/>
    <w:rsid w:val="005557ED"/>
    <w:rsid w:val="00556EE0"/>
    <w:rsid w:val="005610DD"/>
    <w:rsid w:val="005640BA"/>
    <w:rsid w:val="00564506"/>
    <w:rsid w:val="00564A3A"/>
    <w:rsid w:val="00567613"/>
    <w:rsid w:val="00570FE0"/>
    <w:rsid w:val="00574F12"/>
    <w:rsid w:val="00583EBE"/>
    <w:rsid w:val="00584923"/>
    <w:rsid w:val="00585F1C"/>
    <w:rsid w:val="00585F9F"/>
    <w:rsid w:val="00590193"/>
    <w:rsid w:val="00593F13"/>
    <w:rsid w:val="005952AF"/>
    <w:rsid w:val="005953D0"/>
    <w:rsid w:val="00596C13"/>
    <w:rsid w:val="005A1491"/>
    <w:rsid w:val="005A164B"/>
    <w:rsid w:val="005A2139"/>
    <w:rsid w:val="005A32E5"/>
    <w:rsid w:val="005A3540"/>
    <w:rsid w:val="005A57C2"/>
    <w:rsid w:val="005B5BBF"/>
    <w:rsid w:val="005C26D6"/>
    <w:rsid w:val="005C6D67"/>
    <w:rsid w:val="005C7174"/>
    <w:rsid w:val="005D0859"/>
    <w:rsid w:val="005D096B"/>
    <w:rsid w:val="005D1FAC"/>
    <w:rsid w:val="005D2EA2"/>
    <w:rsid w:val="005E0972"/>
    <w:rsid w:val="005E17D5"/>
    <w:rsid w:val="005E32ED"/>
    <w:rsid w:val="005E7724"/>
    <w:rsid w:val="005F0FF0"/>
    <w:rsid w:val="005F4EF6"/>
    <w:rsid w:val="00601719"/>
    <w:rsid w:val="00610D2F"/>
    <w:rsid w:val="00612F3C"/>
    <w:rsid w:val="00613B13"/>
    <w:rsid w:val="006218A9"/>
    <w:rsid w:val="0063003B"/>
    <w:rsid w:val="006306AA"/>
    <w:rsid w:val="00631708"/>
    <w:rsid w:val="006361B8"/>
    <w:rsid w:val="00636779"/>
    <w:rsid w:val="006376A5"/>
    <w:rsid w:val="006418A0"/>
    <w:rsid w:val="00646215"/>
    <w:rsid w:val="00653A0B"/>
    <w:rsid w:val="00656E54"/>
    <w:rsid w:val="00664C14"/>
    <w:rsid w:val="0066637D"/>
    <w:rsid w:val="00667F16"/>
    <w:rsid w:val="00670E72"/>
    <w:rsid w:val="00676102"/>
    <w:rsid w:val="00680AFA"/>
    <w:rsid w:val="00681F53"/>
    <w:rsid w:val="0068366E"/>
    <w:rsid w:val="00684B92"/>
    <w:rsid w:val="006971BA"/>
    <w:rsid w:val="006A3468"/>
    <w:rsid w:val="006C24EC"/>
    <w:rsid w:val="006C40AD"/>
    <w:rsid w:val="006C4498"/>
    <w:rsid w:val="006C76B9"/>
    <w:rsid w:val="006C7DE5"/>
    <w:rsid w:val="006C7F1A"/>
    <w:rsid w:val="006D1405"/>
    <w:rsid w:val="006D354F"/>
    <w:rsid w:val="006D3EA5"/>
    <w:rsid w:val="006D4392"/>
    <w:rsid w:val="006D4909"/>
    <w:rsid w:val="006D7D53"/>
    <w:rsid w:val="006E2314"/>
    <w:rsid w:val="006E25D3"/>
    <w:rsid w:val="006E3052"/>
    <w:rsid w:val="006F00CB"/>
    <w:rsid w:val="006F28EB"/>
    <w:rsid w:val="006F320F"/>
    <w:rsid w:val="0070500D"/>
    <w:rsid w:val="00711340"/>
    <w:rsid w:val="0071240E"/>
    <w:rsid w:val="00715E70"/>
    <w:rsid w:val="007177DA"/>
    <w:rsid w:val="00720EB6"/>
    <w:rsid w:val="00721D2A"/>
    <w:rsid w:val="00731299"/>
    <w:rsid w:val="00735AEB"/>
    <w:rsid w:val="007365EE"/>
    <w:rsid w:val="00740109"/>
    <w:rsid w:val="007417D1"/>
    <w:rsid w:val="00743F79"/>
    <w:rsid w:val="00752E1C"/>
    <w:rsid w:val="00763818"/>
    <w:rsid w:val="00765CB2"/>
    <w:rsid w:val="00766354"/>
    <w:rsid w:val="007726BB"/>
    <w:rsid w:val="00774D8B"/>
    <w:rsid w:val="00775A76"/>
    <w:rsid w:val="0077786E"/>
    <w:rsid w:val="00777DE2"/>
    <w:rsid w:val="00785F1F"/>
    <w:rsid w:val="0079092D"/>
    <w:rsid w:val="00791450"/>
    <w:rsid w:val="00795151"/>
    <w:rsid w:val="007959B2"/>
    <w:rsid w:val="00795F8E"/>
    <w:rsid w:val="007971A6"/>
    <w:rsid w:val="007B41D7"/>
    <w:rsid w:val="007B78BE"/>
    <w:rsid w:val="007C0ED0"/>
    <w:rsid w:val="007C4EF8"/>
    <w:rsid w:val="007C51B9"/>
    <w:rsid w:val="007D11E0"/>
    <w:rsid w:val="007D4460"/>
    <w:rsid w:val="007D4601"/>
    <w:rsid w:val="007D5642"/>
    <w:rsid w:val="007D7C0B"/>
    <w:rsid w:val="007E06F0"/>
    <w:rsid w:val="007E27CE"/>
    <w:rsid w:val="007E2854"/>
    <w:rsid w:val="007E30E7"/>
    <w:rsid w:val="007E32AC"/>
    <w:rsid w:val="007E4359"/>
    <w:rsid w:val="007E5E69"/>
    <w:rsid w:val="007E6145"/>
    <w:rsid w:val="007F390D"/>
    <w:rsid w:val="0080283A"/>
    <w:rsid w:val="008031BD"/>
    <w:rsid w:val="00804CCF"/>
    <w:rsid w:val="008060CE"/>
    <w:rsid w:val="00807D67"/>
    <w:rsid w:val="0081321F"/>
    <w:rsid w:val="00814C1F"/>
    <w:rsid w:val="008200F6"/>
    <w:rsid w:val="00823C4F"/>
    <w:rsid w:val="008249A4"/>
    <w:rsid w:val="008260BF"/>
    <w:rsid w:val="00830AE4"/>
    <w:rsid w:val="00830E95"/>
    <w:rsid w:val="00831209"/>
    <w:rsid w:val="00834F4D"/>
    <w:rsid w:val="00840D68"/>
    <w:rsid w:val="0084144A"/>
    <w:rsid w:val="00846432"/>
    <w:rsid w:val="0085026B"/>
    <w:rsid w:val="0085205F"/>
    <w:rsid w:val="00852EB8"/>
    <w:rsid w:val="008603EC"/>
    <w:rsid w:val="00861FD6"/>
    <w:rsid w:val="00863C80"/>
    <w:rsid w:val="00867137"/>
    <w:rsid w:val="00870808"/>
    <w:rsid w:val="00870DC9"/>
    <w:rsid w:val="0087128B"/>
    <w:rsid w:val="008749BE"/>
    <w:rsid w:val="00877239"/>
    <w:rsid w:val="00881DF1"/>
    <w:rsid w:val="00883597"/>
    <w:rsid w:val="008875A5"/>
    <w:rsid w:val="008969AC"/>
    <w:rsid w:val="008A2971"/>
    <w:rsid w:val="008A6374"/>
    <w:rsid w:val="008A6D55"/>
    <w:rsid w:val="008B3B78"/>
    <w:rsid w:val="008B64C5"/>
    <w:rsid w:val="008D64EF"/>
    <w:rsid w:val="008E3921"/>
    <w:rsid w:val="008E41D6"/>
    <w:rsid w:val="008F1A9A"/>
    <w:rsid w:val="008F1C5C"/>
    <w:rsid w:val="008F2C7F"/>
    <w:rsid w:val="00900972"/>
    <w:rsid w:val="00903AD1"/>
    <w:rsid w:val="00904952"/>
    <w:rsid w:val="009066CE"/>
    <w:rsid w:val="00907631"/>
    <w:rsid w:val="0091241F"/>
    <w:rsid w:val="00912D50"/>
    <w:rsid w:val="009174CA"/>
    <w:rsid w:val="0092288B"/>
    <w:rsid w:val="00925C77"/>
    <w:rsid w:val="00930984"/>
    <w:rsid w:val="00930D8F"/>
    <w:rsid w:val="00932DAF"/>
    <w:rsid w:val="009347A6"/>
    <w:rsid w:val="00935E52"/>
    <w:rsid w:val="009365BD"/>
    <w:rsid w:val="00936792"/>
    <w:rsid w:val="00940367"/>
    <w:rsid w:val="009517A8"/>
    <w:rsid w:val="00951ECB"/>
    <w:rsid w:val="00952B09"/>
    <w:rsid w:val="009534DE"/>
    <w:rsid w:val="00961B73"/>
    <w:rsid w:val="009639F1"/>
    <w:rsid w:val="00966842"/>
    <w:rsid w:val="009754F6"/>
    <w:rsid w:val="00976EFD"/>
    <w:rsid w:val="00981045"/>
    <w:rsid w:val="00982F54"/>
    <w:rsid w:val="009879E7"/>
    <w:rsid w:val="00987D4A"/>
    <w:rsid w:val="009918C9"/>
    <w:rsid w:val="00994FEA"/>
    <w:rsid w:val="009A02BC"/>
    <w:rsid w:val="009A1A3A"/>
    <w:rsid w:val="009A7C3C"/>
    <w:rsid w:val="009B1651"/>
    <w:rsid w:val="009B5300"/>
    <w:rsid w:val="009B53D2"/>
    <w:rsid w:val="009C48B6"/>
    <w:rsid w:val="009C65AB"/>
    <w:rsid w:val="009D26E3"/>
    <w:rsid w:val="009D50B7"/>
    <w:rsid w:val="009E0272"/>
    <w:rsid w:val="009E08C4"/>
    <w:rsid w:val="009E57B4"/>
    <w:rsid w:val="009F04B2"/>
    <w:rsid w:val="009F3EF7"/>
    <w:rsid w:val="009F612B"/>
    <w:rsid w:val="00A01C0A"/>
    <w:rsid w:val="00A05B1D"/>
    <w:rsid w:val="00A10271"/>
    <w:rsid w:val="00A14F84"/>
    <w:rsid w:val="00A16F85"/>
    <w:rsid w:val="00A1781F"/>
    <w:rsid w:val="00A20B34"/>
    <w:rsid w:val="00A21306"/>
    <w:rsid w:val="00A21D20"/>
    <w:rsid w:val="00A21F25"/>
    <w:rsid w:val="00A25079"/>
    <w:rsid w:val="00A269C9"/>
    <w:rsid w:val="00A31FB2"/>
    <w:rsid w:val="00A32E1F"/>
    <w:rsid w:val="00A34AA4"/>
    <w:rsid w:val="00A46DAE"/>
    <w:rsid w:val="00A4784B"/>
    <w:rsid w:val="00A51D05"/>
    <w:rsid w:val="00A54983"/>
    <w:rsid w:val="00A62CB1"/>
    <w:rsid w:val="00A75F07"/>
    <w:rsid w:val="00A81C34"/>
    <w:rsid w:val="00A8202B"/>
    <w:rsid w:val="00A83E79"/>
    <w:rsid w:val="00A84C48"/>
    <w:rsid w:val="00A8682D"/>
    <w:rsid w:val="00A90911"/>
    <w:rsid w:val="00A91824"/>
    <w:rsid w:val="00A924E0"/>
    <w:rsid w:val="00A92E7F"/>
    <w:rsid w:val="00A975D9"/>
    <w:rsid w:val="00AA00AC"/>
    <w:rsid w:val="00AA1CCE"/>
    <w:rsid w:val="00AA5074"/>
    <w:rsid w:val="00AA6374"/>
    <w:rsid w:val="00AA7277"/>
    <w:rsid w:val="00AB0F96"/>
    <w:rsid w:val="00AB15DC"/>
    <w:rsid w:val="00AB3F78"/>
    <w:rsid w:val="00AC067E"/>
    <w:rsid w:val="00AC391F"/>
    <w:rsid w:val="00AC6709"/>
    <w:rsid w:val="00AD0DB3"/>
    <w:rsid w:val="00AD37FB"/>
    <w:rsid w:val="00AD427B"/>
    <w:rsid w:val="00AD57E2"/>
    <w:rsid w:val="00AE1AD2"/>
    <w:rsid w:val="00AE1EF3"/>
    <w:rsid w:val="00AE3AB9"/>
    <w:rsid w:val="00AE5833"/>
    <w:rsid w:val="00AF0E43"/>
    <w:rsid w:val="00AF12DC"/>
    <w:rsid w:val="00B01336"/>
    <w:rsid w:val="00B014FA"/>
    <w:rsid w:val="00B041B5"/>
    <w:rsid w:val="00B22EE0"/>
    <w:rsid w:val="00B271F7"/>
    <w:rsid w:val="00B31000"/>
    <w:rsid w:val="00B31E33"/>
    <w:rsid w:val="00B37299"/>
    <w:rsid w:val="00B374F8"/>
    <w:rsid w:val="00B438EE"/>
    <w:rsid w:val="00B4391C"/>
    <w:rsid w:val="00B44D27"/>
    <w:rsid w:val="00B533AC"/>
    <w:rsid w:val="00B6250B"/>
    <w:rsid w:val="00B62CD5"/>
    <w:rsid w:val="00B63C33"/>
    <w:rsid w:val="00B73076"/>
    <w:rsid w:val="00B74EC2"/>
    <w:rsid w:val="00B75BD1"/>
    <w:rsid w:val="00B8097D"/>
    <w:rsid w:val="00B81402"/>
    <w:rsid w:val="00B8174C"/>
    <w:rsid w:val="00B81F3B"/>
    <w:rsid w:val="00B83EFE"/>
    <w:rsid w:val="00B87C6D"/>
    <w:rsid w:val="00B903DF"/>
    <w:rsid w:val="00B93BA8"/>
    <w:rsid w:val="00BA20DF"/>
    <w:rsid w:val="00BA2D46"/>
    <w:rsid w:val="00BA43AC"/>
    <w:rsid w:val="00BB3D31"/>
    <w:rsid w:val="00BB5632"/>
    <w:rsid w:val="00BB5F99"/>
    <w:rsid w:val="00BC016C"/>
    <w:rsid w:val="00BC02B4"/>
    <w:rsid w:val="00BC2E6E"/>
    <w:rsid w:val="00BC2EDB"/>
    <w:rsid w:val="00BC496A"/>
    <w:rsid w:val="00BC58AC"/>
    <w:rsid w:val="00BD033F"/>
    <w:rsid w:val="00BD5001"/>
    <w:rsid w:val="00BD51AF"/>
    <w:rsid w:val="00BD5C56"/>
    <w:rsid w:val="00C0089F"/>
    <w:rsid w:val="00C01109"/>
    <w:rsid w:val="00C0747A"/>
    <w:rsid w:val="00C12A76"/>
    <w:rsid w:val="00C2193D"/>
    <w:rsid w:val="00C221CD"/>
    <w:rsid w:val="00C25454"/>
    <w:rsid w:val="00C263C1"/>
    <w:rsid w:val="00C32C87"/>
    <w:rsid w:val="00C334A8"/>
    <w:rsid w:val="00C33BEA"/>
    <w:rsid w:val="00C35596"/>
    <w:rsid w:val="00C37413"/>
    <w:rsid w:val="00C40399"/>
    <w:rsid w:val="00C458D8"/>
    <w:rsid w:val="00C547D8"/>
    <w:rsid w:val="00C54A6E"/>
    <w:rsid w:val="00C55C7C"/>
    <w:rsid w:val="00C56BE5"/>
    <w:rsid w:val="00C56BF1"/>
    <w:rsid w:val="00C75D50"/>
    <w:rsid w:val="00C81023"/>
    <w:rsid w:val="00C9004F"/>
    <w:rsid w:val="00CA4624"/>
    <w:rsid w:val="00CA6D53"/>
    <w:rsid w:val="00CA75CF"/>
    <w:rsid w:val="00CB15B3"/>
    <w:rsid w:val="00CB4A08"/>
    <w:rsid w:val="00CB58A0"/>
    <w:rsid w:val="00CC1CE8"/>
    <w:rsid w:val="00CC2ACB"/>
    <w:rsid w:val="00CC36FC"/>
    <w:rsid w:val="00CC4B05"/>
    <w:rsid w:val="00CC7837"/>
    <w:rsid w:val="00CD2323"/>
    <w:rsid w:val="00CD3A90"/>
    <w:rsid w:val="00CD5CF3"/>
    <w:rsid w:val="00CF01E1"/>
    <w:rsid w:val="00CF08F7"/>
    <w:rsid w:val="00CF1ED2"/>
    <w:rsid w:val="00CF2381"/>
    <w:rsid w:val="00CF5082"/>
    <w:rsid w:val="00CF7663"/>
    <w:rsid w:val="00CF7AD9"/>
    <w:rsid w:val="00D01A48"/>
    <w:rsid w:val="00D054C7"/>
    <w:rsid w:val="00D05926"/>
    <w:rsid w:val="00D10D94"/>
    <w:rsid w:val="00D11578"/>
    <w:rsid w:val="00D12EB9"/>
    <w:rsid w:val="00D15AD9"/>
    <w:rsid w:val="00D1771A"/>
    <w:rsid w:val="00D22B7F"/>
    <w:rsid w:val="00D2407D"/>
    <w:rsid w:val="00D311F9"/>
    <w:rsid w:val="00D31579"/>
    <w:rsid w:val="00D31CBF"/>
    <w:rsid w:val="00D335E3"/>
    <w:rsid w:val="00D3393A"/>
    <w:rsid w:val="00D33B7E"/>
    <w:rsid w:val="00D34B3F"/>
    <w:rsid w:val="00D34BB6"/>
    <w:rsid w:val="00D40CFD"/>
    <w:rsid w:val="00D4539E"/>
    <w:rsid w:val="00D47AC9"/>
    <w:rsid w:val="00D47E31"/>
    <w:rsid w:val="00D507AB"/>
    <w:rsid w:val="00D50FFD"/>
    <w:rsid w:val="00D51EE0"/>
    <w:rsid w:val="00D53E81"/>
    <w:rsid w:val="00D54B7A"/>
    <w:rsid w:val="00D60439"/>
    <w:rsid w:val="00D60E40"/>
    <w:rsid w:val="00D6124B"/>
    <w:rsid w:val="00D64365"/>
    <w:rsid w:val="00D654CF"/>
    <w:rsid w:val="00D73D3D"/>
    <w:rsid w:val="00D741BA"/>
    <w:rsid w:val="00D75599"/>
    <w:rsid w:val="00D756B8"/>
    <w:rsid w:val="00D77A93"/>
    <w:rsid w:val="00D83313"/>
    <w:rsid w:val="00D91610"/>
    <w:rsid w:val="00D92133"/>
    <w:rsid w:val="00DA05E8"/>
    <w:rsid w:val="00DA4490"/>
    <w:rsid w:val="00DB1B71"/>
    <w:rsid w:val="00DB2792"/>
    <w:rsid w:val="00DC0A78"/>
    <w:rsid w:val="00DC41B2"/>
    <w:rsid w:val="00DC5A32"/>
    <w:rsid w:val="00DC6F2B"/>
    <w:rsid w:val="00DD1D9A"/>
    <w:rsid w:val="00DD2D4B"/>
    <w:rsid w:val="00DD6160"/>
    <w:rsid w:val="00DD66F4"/>
    <w:rsid w:val="00DE2BAB"/>
    <w:rsid w:val="00DE47ED"/>
    <w:rsid w:val="00DE6EB3"/>
    <w:rsid w:val="00DE6EBF"/>
    <w:rsid w:val="00DF5A6C"/>
    <w:rsid w:val="00DF625A"/>
    <w:rsid w:val="00E01D2E"/>
    <w:rsid w:val="00E07965"/>
    <w:rsid w:val="00E10E4F"/>
    <w:rsid w:val="00E13FE8"/>
    <w:rsid w:val="00E20F62"/>
    <w:rsid w:val="00E2348A"/>
    <w:rsid w:val="00E3216D"/>
    <w:rsid w:val="00E35395"/>
    <w:rsid w:val="00E37769"/>
    <w:rsid w:val="00E37B1E"/>
    <w:rsid w:val="00E44726"/>
    <w:rsid w:val="00E44EFE"/>
    <w:rsid w:val="00E52B35"/>
    <w:rsid w:val="00E704E0"/>
    <w:rsid w:val="00E70EF4"/>
    <w:rsid w:val="00E75DB2"/>
    <w:rsid w:val="00E80478"/>
    <w:rsid w:val="00E82CB0"/>
    <w:rsid w:val="00E866C1"/>
    <w:rsid w:val="00E9293B"/>
    <w:rsid w:val="00E949A8"/>
    <w:rsid w:val="00E9560C"/>
    <w:rsid w:val="00E96CDA"/>
    <w:rsid w:val="00E974F7"/>
    <w:rsid w:val="00EA1678"/>
    <w:rsid w:val="00EA26C6"/>
    <w:rsid w:val="00EA7C28"/>
    <w:rsid w:val="00EB4847"/>
    <w:rsid w:val="00EC0037"/>
    <w:rsid w:val="00EC0ABB"/>
    <w:rsid w:val="00EC0FA8"/>
    <w:rsid w:val="00EC7BC3"/>
    <w:rsid w:val="00ED452F"/>
    <w:rsid w:val="00ED5571"/>
    <w:rsid w:val="00ED5DDF"/>
    <w:rsid w:val="00ED6249"/>
    <w:rsid w:val="00ED7F24"/>
    <w:rsid w:val="00EE38FA"/>
    <w:rsid w:val="00EE4104"/>
    <w:rsid w:val="00EF5705"/>
    <w:rsid w:val="00EF574B"/>
    <w:rsid w:val="00EF7722"/>
    <w:rsid w:val="00F036B8"/>
    <w:rsid w:val="00F03E14"/>
    <w:rsid w:val="00F05928"/>
    <w:rsid w:val="00F05BCC"/>
    <w:rsid w:val="00F11658"/>
    <w:rsid w:val="00F12FAE"/>
    <w:rsid w:val="00F20CFA"/>
    <w:rsid w:val="00F218E1"/>
    <w:rsid w:val="00F22B7F"/>
    <w:rsid w:val="00F24716"/>
    <w:rsid w:val="00F255B0"/>
    <w:rsid w:val="00F25BD0"/>
    <w:rsid w:val="00F32F50"/>
    <w:rsid w:val="00F42311"/>
    <w:rsid w:val="00F44131"/>
    <w:rsid w:val="00F44AE2"/>
    <w:rsid w:val="00F44EC2"/>
    <w:rsid w:val="00F5543D"/>
    <w:rsid w:val="00F55F2C"/>
    <w:rsid w:val="00F5697F"/>
    <w:rsid w:val="00F6112A"/>
    <w:rsid w:val="00F61426"/>
    <w:rsid w:val="00F664A3"/>
    <w:rsid w:val="00F70D14"/>
    <w:rsid w:val="00F745D7"/>
    <w:rsid w:val="00F7779C"/>
    <w:rsid w:val="00F8117C"/>
    <w:rsid w:val="00F820AF"/>
    <w:rsid w:val="00F95919"/>
    <w:rsid w:val="00F95C76"/>
    <w:rsid w:val="00F961F0"/>
    <w:rsid w:val="00FA14B5"/>
    <w:rsid w:val="00FA19DA"/>
    <w:rsid w:val="00FA2B35"/>
    <w:rsid w:val="00FB0BFC"/>
    <w:rsid w:val="00FB6A63"/>
    <w:rsid w:val="00FC78F7"/>
    <w:rsid w:val="00FE2BED"/>
    <w:rsid w:val="00FE6691"/>
    <w:rsid w:val="00FE6941"/>
    <w:rsid w:val="00FE6E77"/>
    <w:rsid w:val="00FF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b2c98"/>
    </o:shapedefaults>
    <o:shapelayout v:ext="edit">
      <o:idmap v:ext="edit" data="1"/>
    </o:shapelayout>
  </w:shapeDefaults>
  <w:decimalSymbol w:val="."/>
  <w:listSeparator w:val=","/>
  <w14:docId w14:val="3AA0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97"/>
    <w:pPr>
      <w:widowControl w:val="0"/>
      <w:spacing w:before="240" w:after="240"/>
    </w:pPr>
    <w:rPr>
      <w:rFonts w:ascii="Arial" w:hAnsi="Arial" w:cs="Arial"/>
      <w:color w:val="000000"/>
      <w:sz w:val="22"/>
      <w:szCs w:val="22"/>
    </w:rPr>
  </w:style>
  <w:style w:type="paragraph" w:styleId="Heading1">
    <w:name w:val="heading 1"/>
    <w:basedOn w:val="Normal"/>
    <w:next w:val="Normal"/>
    <w:link w:val="Heading1Char"/>
    <w:qFormat/>
    <w:rsid w:val="00E01D2E"/>
    <w:pPr>
      <w:widowControl/>
      <w:autoSpaceDE w:val="0"/>
      <w:autoSpaceDN w:val="0"/>
      <w:adjustRightInd w:val="0"/>
      <w:spacing w:after="60"/>
      <w:outlineLvl w:val="0"/>
    </w:pPr>
    <w:rPr>
      <w:bCs/>
      <w:color w:val="91278F"/>
      <w:kern w:val="32"/>
      <w:sz w:val="36"/>
      <w:szCs w:val="32"/>
    </w:rPr>
  </w:style>
  <w:style w:type="paragraph" w:styleId="Heading2">
    <w:name w:val="heading 2"/>
    <w:basedOn w:val="Normal"/>
    <w:next w:val="Normal"/>
    <w:link w:val="Heading2Char"/>
    <w:qFormat/>
    <w:rsid w:val="000056EA"/>
    <w:pPr>
      <w:keepNext/>
      <w:widowControl/>
      <w:spacing w:after="60"/>
      <w:outlineLvl w:val="1"/>
    </w:pPr>
    <w:rPr>
      <w:bCs/>
      <w:iCs/>
      <w:color w:val="91278F"/>
      <w:sz w:val="28"/>
      <w:szCs w:val="28"/>
    </w:rPr>
  </w:style>
  <w:style w:type="paragraph" w:styleId="Heading3">
    <w:name w:val="heading 3"/>
    <w:basedOn w:val="Normal"/>
    <w:next w:val="Normal"/>
    <w:link w:val="Heading3Char"/>
    <w:qFormat/>
    <w:rsid w:val="007E0665"/>
    <w:pPr>
      <w:spacing w:line="480" w:lineRule="exact"/>
      <w:outlineLvl w:val="2"/>
    </w:pPr>
    <w:rPr>
      <w:sz w:val="26"/>
      <w:szCs w:val="26"/>
    </w:rPr>
  </w:style>
  <w:style w:type="paragraph" w:styleId="Heading4">
    <w:name w:val="heading 4"/>
    <w:basedOn w:val="Normal"/>
    <w:next w:val="Normal"/>
    <w:link w:val="Heading4Char"/>
    <w:qFormat/>
    <w:rsid w:val="007E0665"/>
    <w:pPr>
      <w:spacing w:line="480" w:lineRule="exact"/>
      <w:outlineLvl w:val="3"/>
    </w:pPr>
    <w:rPr>
      <w:rFonts w:ascii="Calibri" w:hAnsi="Calibri"/>
      <w:b/>
      <w:bCs/>
      <w:sz w:val="28"/>
      <w:szCs w:val="28"/>
      <w:lang w:val="x-none"/>
    </w:rPr>
  </w:style>
  <w:style w:type="paragraph" w:styleId="Heading5">
    <w:name w:val="heading 5"/>
    <w:basedOn w:val="Normal"/>
    <w:next w:val="Normal"/>
    <w:link w:val="Heading5Char"/>
    <w:qFormat/>
    <w:rsid w:val="007E0665"/>
    <w:pPr>
      <w:tabs>
        <w:tab w:val="left" w:pos="280"/>
      </w:tabs>
      <w:spacing w:line="480" w:lineRule="exact"/>
      <w:outlineLvl w:val="4"/>
    </w:pPr>
    <w:rPr>
      <w:rFonts w:ascii="Calibri" w:hAnsi="Calibri"/>
      <w:b/>
      <w:bCs/>
      <w:i/>
      <w:iCs/>
      <w:sz w:val="26"/>
      <w:szCs w:val="26"/>
      <w:lang w:val="x-none"/>
    </w:rPr>
  </w:style>
  <w:style w:type="paragraph" w:styleId="Heading6">
    <w:name w:val="heading 6"/>
    <w:basedOn w:val="Normal"/>
    <w:next w:val="Normal"/>
    <w:link w:val="Heading6Char"/>
    <w:qFormat/>
    <w:rsid w:val="007E0665"/>
    <w:pPr>
      <w:spacing w:line="340" w:lineRule="exact"/>
      <w:outlineLvl w:val="5"/>
    </w:pPr>
    <w:rPr>
      <w:rFonts w:ascii="Calibri" w:hAnsi="Calibri"/>
      <w:b/>
      <w:bCs/>
      <w:lang w:val="x-none"/>
    </w:rPr>
  </w:style>
  <w:style w:type="paragraph" w:styleId="Heading7">
    <w:name w:val="heading 7"/>
    <w:basedOn w:val="Normal"/>
    <w:next w:val="Normal"/>
    <w:link w:val="Heading7Char"/>
    <w:qFormat/>
    <w:rsid w:val="007E0665"/>
    <w:pPr>
      <w:ind w:left="278"/>
      <w:outlineLvl w:val="6"/>
    </w:pPr>
    <w:rPr>
      <w:rFonts w:ascii="Calibri" w:hAnsi="Calibri"/>
      <w:lang w:val="x-none"/>
    </w:rPr>
  </w:style>
  <w:style w:type="paragraph" w:styleId="Heading8">
    <w:name w:val="heading 8"/>
    <w:basedOn w:val="Normal"/>
    <w:next w:val="Normal"/>
    <w:link w:val="Heading8Char"/>
    <w:qFormat/>
    <w:rsid w:val="007E0665"/>
    <w:pPr>
      <w:spacing w:line="340" w:lineRule="exact"/>
      <w:outlineLvl w:val="7"/>
    </w:pPr>
    <w:rPr>
      <w:rFonts w:ascii="Calibri" w:hAnsi="Calibri"/>
      <w:i/>
      <w:iCs/>
      <w:lang w:val="x-none"/>
    </w:rPr>
  </w:style>
  <w:style w:type="paragraph" w:styleId="Heading9">
    <w:name w:val="heading 9"/>
    <w:basedOn w:val="Normal"/>
    <w:next w:val="Normal"/>
    <w:link w:val="Heading9Char"/>
    <w:qFormat/>
    <w:rsid w:val="008260BF"/>
    <w:pPr>
      <w:widowControl/>
      <w:tabs>
        <w:tab w:val="num" w:pos="1584"/>
      </w:tabs>
      <w:spacing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01D2E"/>
    <w:rPr>
      <w:rFonts w:ascii="Arial" w:hAnsi="Arial" w:cs="Arial"/>
      <w:bCs/>
      <w:color w:val="91278F"/>
      <w:kern w:val="32"/>
      <w:sz w:val="36"/>
      <w:szCs w:val="32"/>
    </w:rPr>
  </w:style>
  <w:style w:type="character" w:customStyle="1" w:styleId="Heading2Char">
    <w:name w:val="Heading 2 Char"/>
    <w:link w:val="Heading2"/>
    <w:locked/>
    <w:rsid w:val="000056EA"/>
    <w:rPr>
      <w:rFonts w:ascii="Arial" w:hAnsi="Arial" w:cs="Arial"/>
      <w:bCs/>
      <w:iCs/>
      <w:color w:val="91278F"/>
      <w:sz w:val="28"/>
      <w:szCs w:val="28"/>
    </w:rPr>
  </w:style>
  <w:style w:type="character" w:customStyle="1" w:styleId="Heading3Char">
    <w:name w:val="Heading 3 Char"/>
    <w:link w:val="Heading3"/>
    <w:locked/>
    <w:rsid w:val="0003137F"/>
    <w:rPr>
      <w:rFonts w:ascii="Frutiger 55 Roman" w:hAnsi="Frutiger 55 Roman" w:cs="Arial"/>
      <w:sz w:val="26"/>
      <w:szCs w:val="26"/>
      <w:lang w:val="en-GB" w:eastAsia="en-US" w:bidi="ar-SA"/>
    </w:rPr>
  </w:style>
  <w:style w:type="character" w:customStyle="1" w:styleId="Heading4Char">
    <w:name w:val="Heading 4 Char"/>
    <w:link w:val="Heading4"/>
    <w:uiPriority w:val="9"/>
    <w:locked/>
    <w:rsid w:val="00940367"/>
    <w:rPr>
      <w:rFonts w:ascii="Calibri" w:hAnsi="Calibri" w:cs="Times New Roman"/>
      <w:b/>
      <w:bCs/>
      <w:sz w:val="28"/>
      <w:szCs w:val="28"/>
      <w:lang w:eastAsia="en-US"/>
    </w:rPr>
  </w:style>
  <w:style w:type="character" w:customStyle="1" w:styleId="Heading5Char">
    <w:name w:val="Heading 5 Char"/>
    <w:link w:val="Heading5"/>
    <w:locked/>
    <w:rsid w:val="00940367"/>
    <w:rPr>
      <w:rFonts w:ascii="Calibri" w:hAnsi="Calibri" w:cs="Times New Roman"/>
      <w:b/>
      <w:bCs/>
      <w:i/>
      <w:iCs/>
      <w:sz w:val="26"/>
      <w:szCs w:val="26"/>
      <w:lang w:eastAsia="en-US"/>
    </w:rPr>
  </w:style>
  <w:style w:type="character" w:customStyle="1" w:styleId="Heading6Char">
    <w:name w:val="Heading 6 Char"/>
    <w:link w:val="Heading6"/>
    <w:locked/>
    <w:rsid w:val="00940367"/>
    <w:rPr>
      <w:rFonts w:ascii="Calibri" w:hAnsi="Calibri" w:cs="Times New Roman"/>
      <w:b/>
      <w:bCs/>
      <w:sz w:val="22"/>
      <w:szCs w:val="22"/>
      <w:lang w:eastAsia="en-US"/>
    </w:rPr>
  </w:style>
  <w:style w:type="character" w:customStyle="1" w:styleId="Heading7Char">
    <w:name w:val="Heading 7 Char"/>
    <w:link w:val="Heading7"/>
    <w:locked/>
    <w:rsid w:val="00940367"/>
    <w:rPr>
      <w:rFonts w:ascii="Calibri" w:hAnsi="Calibri" w:cs="Times New Roman"/>
      <w:sz w:val="24"/>
      <w:szCs w:val="24"/>
      <w:lang w:eastAsia="en-US"/>
    </w:rPr>
  </w:style>
  <w:style w:type="character" w:customStyle="1" w:styleId="Heading8Char">
    <w:name w:val="Heading 8 Char"/>
    <w:link w:val="Heading8"/>
    <w:locked/>
    <w:rsid w:val="00940367"/>
    <w:rPr>
      <w:rFonts w:ascii="Calibri" w:hAnsi="Calibri" w:cs="Times New Roman"/>
      <w:i/>
      <w:iCs/>
      <w:sz w:val="24"/>
      <w:szCs w:val="24"/>
      <w:lang w:eastAsia="en-US"/>
    </w:rPr>
  </w:style>
  <w:style w:type="paragraph" w:customStyle="1" w:styleId="Heading3Indent">
    <w:name w:val="Heading 3 (Indent)"/>
    <w:basedOn w:val="Heading3"/>
    <w:rsid w:val="007E0665"/>
    <w:pPr>
      <w:ind w:left="278"/>
    </w:pPr>
    <w:rPr>
      <w:b/>
      <w:bCs/>
    </w:rPr>
  </w:style>
  <w:style w:type="paragraph" w:styleId="BodyText">
    <w:name w:val="Body Text"/>
    <w:basedOn w:val="Normal"/>
    <w:link w:val="BodyTextChar"/>
    <w:uiPriority w:val="99"/>
    <w:qFormat/>
    <w:rsid w:val="007E0665"/>
    <w:pPr>
      <w:spacing w:line="340" w:lineRule="exact"/>
    </w:pPr>
    <w:rPr>
      <w:lang w:val="x-none"/>
    </w:rPr>
  </w:style>
  <w:style w:type="character" w:customStyle="1" w:styleId="BodyTextChar">
    <w:name w:val="Body Text Char"/>
    <w:link w:val="BodyText"/>
    <w:uiPriority w:val="99"/>
    <w:locked/>
    <w:rsid w:val="00940367"/>
    <w:rPr>
      <w:rFonts w:ascii="Frutiger 55 Roman" w:hAnsi="Frutiger 55 Roman" w:cs="Times New Roman"/>
      <w:sz w:val="24"/>
      <w:szCs w:val="24"/>
      <w:lang w:eastAsia="en-US"/>
    </w:rPr>
  </w:style>
  <w:style w:type="paragraph" w:styleId="BodyText2">
    <w:name w:val="Body Text 2"/>
    <w:basedOn w:val="Normal"/>
    <w:link w:val="BodyText2Char"/>
    <w:uiPriority w:val="99"/>
    <w:rsid w:val="007E0665"/>
    <w:pPr>
      <w:ind w:left="278" w:hanging="278"/>
    </w:pPr>
    <w:rPr>
      <w:lang w:val="x-none"/>
    </w:rPr>
  </w:style>
  <w:style w:type="character" w:customStyle="1" w:styleId="BodyText2Char">
    <w:name w:val="Body Text 2 Char"/>
    <w:link w:val="BodyText2"/>
    <w:uiPriority w:val="99"/>
    <w:semiHidden/>
    <w:locked/>
    <w:rsid w:val="00940367"/>
    <w:rPr>
      <w:rFonts w:ascii="Frutiger 55 Roman" w:hAnsi="Frutiger 55 Roman" w:cs="Times New Roman"/>
      <w:sz w:val="24"/>
      <w:szCs w:val="24"/>
      <w:lang w:eastAsia="en-US"/>
    </w:rPr>
  </w:style>
  <w:style w:type="paragraph" w:styleId="Footer">
    <w:name w:val="footer"/>
    <w:basedOn w:val="Normal"/>
    <w:link w:val="FooterChar"/>
    <w:uiPriority w:val="99"/>
    <w:rsid w:val="007E0665"/>
    <w:pPr>
      <w:tabs>
        <w:tab w:val="center" w:pos="4153"/>
        <w:tab w:val="right" w:pos="8306"/>
      </w:tabs>
      <w:spacing w:line="260" w:lineRule="exact"/>
    </w:pPr>
    <w:rPr>
      <w:lang w:val="x-none"/>
    </w:rPr>
  </w:style>
  <w:style w:type="character" w:customStyle="1" w:styleId="FooterChar">
    <w:name w:val="Footer Char"/>
    <w:link w:val="Footer"/>
    <w:uiPriority w:val="99"/>
    <w:locked/>
    <w:rsid w:val="00940367"/>
    <w:rPr>
      <w:rFonts w:ascii="Frutiger 55 Roman" w:hAnsi="Frutiger 55 Roman" w:cs="Times New Roman"/>
      <w:sz w:val="24"/>
      <w:szCs w:val="24"/>
      <w:lang w:eastAsia="en-US"/>
    </w:rPr>
  </w:style>
  <w:style w:type="paragraph" w:customStyle="1" w:styleId="TableText">
    <w:name w:val="Table Text"/>
    <w:basedOn w:val="Normal"/>
    <w:rsid w:val="007E0665"/>
    <w:pPr>
      <w:spacing w:line="400" w:lineRule="exact"/>
    </w:pPr>
    <w:rPr>
      <w:rFonts w:ascii="Frutiger 45 Light" w:hAnsi="Frutiger 45 Light"/>
      <w:noProof/>
      <w:lang w:val="en-US"/>
    </w:rPr>
  </w:style>
  <w:style w:type="paragraph" w:customStyle="1" w:styleId="TableHeading">
    <w:name w:val="Table Heading"/>
    <w:basedOn w:val="TableText"/>
    <w:rsid w:val="007E0665"/>
    <w:rPr>
      <w:rFonts w:ascii="Frutiger 55 Roman" w:hAnsi="Frutiger 55 Roman"/>
      <w:b/>
      <w:bCs/>
    </w:rPr>
  </w:style>
  <w:style w:type="paragraph" w:customStyle="1" w:styleId="TableTextItalic">
    <w:name w:val="Table Text Italic"/>
    <w:basedOn w:val="TableText"/>
    <w:rsid w:val="007E0665"/>
    <w:rPr>
      <w:i/>
      <w:iCs/>
    </w:rPr>
  </w:style>
  <w:style w:type="paragraph" w:styleId="BlockText">
    <w:name w:val="Block Text"/>
    <w:basedOn w:val="Normal"/>
    <w:uiPriority w:val="99"/>
    <w:rsid w:val="007E0665"/>
    <w:pPr>
      <w:spacing w:line="280" w:lineRule="exact"/>
    </w:pPr>
    <w:rPr>
      <w:sz w:val="18"/>
    </w:rPr>
  </w:style>
  <w:style w:type="paragraph" w:customStyle="1" w:styleId="Conditions">
    <w:name w:val="Conditions"/>
    <w:basedOn w:val="Normal"/>
    <w:rsid w:val="007E0665"/>
    <w:pPr>
      <w:spacing w:line="180" w:lineRule="exact"/>
    </w:pPr>
    <w:rPr>
      <w:rFonts w:ascii="Frutiger 45 Light" w:hAnsi="Frutiger 45 Light"/>
      <w:sz w:val="14"/>
    </w:rPr>
  </w:style>
  <w:style w:type="paragraph" w:customStyle="1" w:styleId="BookingText">
    <w:name w:val="Booking Text"/>
    <w:basedOn w:val="Normal"/>
    <w:rsid w:val="007E0665"/>
    <w:rPr>
      <w:sz w:val="18"/>
    </w:rPr>
  </w:style>
  <w:style w:type="paragraph" w:customStyle="1" w:styleId="BookingLight">
    <w:name w:val="Booking Light"/>
    <w:basedOn w:val="BookingText"/>
    <w:rsid w:val="007E0665"/>
    <w:rPr>
      <w:rFonts w:ascii="Frutiger 45 Light" w:hAnsi="Frutiger 45 Light"/>
      <w:noProof/>
      <w:lang w:val="en-US"/>
    </w:rPr>
  </w:style>
  <w:style w:type="paragraph" w:customStyle="1" w:styleId="BookingTextRH">
    <w:name w:val="Booking Text RH"/>
    <w:basedOn w:val="BookingText"/>
    <w:rsid w:val="007E0665"/>
    <w:pPr>
      <w:spacing w:line="280" w:lineRule="exact"/>
    </w:pPr>
  </w:style>
  <w:style w:type="paragraph" w:customStyle="1" w:styleId="BookingLightRH">
    <w:name w:val="Booking Light RH"/>
    <w:basedOn w:val="BookingLight"/>
    <w:rsid w:val="007E0665"/>
    <w:pPr>
      <w:spacing w:line="260" w:lineRule="exact"/>
    </w:pPr>
  </w:style>
  <w:style w:type="paragraph" w:customStyle="1" w:styleId="BookingTextRHI">
    <w:name w:val="Booking Text RHI"/>
    <w:basedOn w:val="BookingTextRH"/>
    <w:rsid w:val="007E0665"/>
    <w:pPr>
      <w:ind w:firstLine="454"/>
    </w:pPr>
    <w:rPr>
      <w:sz w:val="20"/>
    </w:rPr>
  </w:style>
  <w:style w:type="paragraph" w:customStyle="1" w:styleId="BookingLightRHI">
    <w:name w:val="Booking Light RHI"/>
    <w:basedOn w:val="BookingTextRHI"/>
    <w:rsid w:val="007E0665"/>
    <w:rPr>
      <w:rFonts w:ascii="Frutiger 45 Light" w:hAnsi="Frutiger 45 Light"/>
      <w:sz w:val="18"/>
    </w:rPr>
  </w:style>
  <w:style w:type="paragraph" w:customStyle="1" w:styleId="BlockTextLight">
    <w:name w:val="Block Text Light"/>
    <w:basedOn w:val="BlockText"/>
    <w:rsid w:val="007E0665"/>
    <w:rPr>
      <w:rFonts w:ascii="Frutiger 45 Light" w:hAnsi="Frutiger 45 Light"/>
    </w:rPr>
  </w:style>
  <w:style w:type="paragraph" w:customStyle="1" w:styleId="Payment">
    <w:name w:val="Payment"/>
    <w:basedOn w:val="BookingTextRH"/>
    <w:rsid w:val="007E0665"/>
    <w:rPr>
      <w:spacing w:val="-2"/>
    </w:rPr>
  </w:style>
  <w:style w:type="paragraph" w:customStyle="1" w:styleId="Advance">
    <w:name w:val="Advance"/>
    <w:basedOn w:val="BodyText"/>
    <w:rsid w:val="007E0665"/>
    <w:pPr>
      <w:spacing w:line="510" w:lineRule="exact"/>
    </w:pPr>
  </w:style>
  <w:style w:type="paragraph" w:customStyle="1" w:styleId="end">
    <w:name w:val="end"/>
    <w:basedOn w:val="BookingText"/>
    <w:rsid w:val="007E0665"/>
    <w:pPr>
      <w:spacing w:line="20" w:lineRule="exact"/>
    </w:pPr>
    <w:rPr>
      <w:sz w:val="2"/>
    </w:rPr>
  </w:style>
  <w:style w:type="character" w:styleId="Hyperlink">
    <w:name w:val="Hyperlink"/>
    <w:uiPriority w:val="99"/>
    <w:rsid w:val="007E0665"/>
    <w:rPr>
      <w:rFonts w:cs="Times New Roman"/>
      <w:color w:val="0000FF"/>
      <w:u w:val="single"/>
    </w:rPr>
  </w:style>
  <w:style w:type="paragraph" w:customStyle="1" w:styleId="ConditionsBold">
    <w:name w:val="Conditions Bold"/>
    <w:basedOn w:val="Conditions"/>
    <w:rsid w:val="007E0665"/>
    <w:rPr>
      <w:rFonts w:ascii="Frutiger 55 Roman" w:hAnsi="Frutiger 55 Roman"/>
      <w:b/>
      <w:bCs/>
    </w:rPr>
  </w:style>
  <w:style w:type="paragraph" w:customStyle="1" w:styleId="BlockTextBold">
    <w:name w:val="Block Text Bold"/>
    <w:basedOn w:val="BlockTextLight"/>
    <w:rsid w:val="007E0665"/>
    <w:rPr>
      <w:rFonts w:ascii="Frutiger 55 Roman" w:hAnsi="Frutiger 55 Roman"/>
      <w:b/>
    </w:rPr>
  </w:style>
  <w:style w:type="paragraph" w:styleId="NormalWeb">
    <w:name w:val="Normal (Web)"/>
    <w:basedOn w:val="Normal"/>
    <w:uiPriority w:val="99"/>
    <w:rsid w:val="00C54121"/>
    <w:pPr>
      <w:widowControl/>
      <w:spacing w:before="100" w:beforeAutospacing="1" w:after="100" w:afterAutospacing="1"/>
    </w:pPr>
    <w:rPr>
      <w:rFonts w:ascii="Times New Roman" w:hAnsi="Times New Roman"/>
      <w:lang w:val="en-US"/>
    </w:rPr>
  </w:style>
  <w:style w:type="table" w:styleId="TableGrid">
    <w:name w:val="Table Grid"/>
    <w:basedOn w:val="TableNormal"/>
    <w:rsid w:val="000D44F5"/>
    <w:pPr>
      <w:widowControl w:val="0"/>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0420"/>
    <w:rPr>
      <w:rFonts w:cs="Times New Roman"/>
      <w:color w:val="800080"/>
      <w:u w:val="single"/>
    </w:rPr>
  </w:style>
  <w:style w:type="character" w:styleId="Strong">
    <w:name w:val="Strong"/>
    <w:qFormat/>
    <w:rsid w:val="00AE5833"/>
    <w:rPr>
      <w:b/>
      <w:bCs/>
    </w:rPr>
  </w:style>
  <w:style w:type="paragraph" w:styleId="Header">
    <w:name w:val="header"/>
    <w:basedOn w:val="Normal"/>
    <w:link w:val="HeaderChar"/>
    <w:rsid w:val="002C5634"/>
    <w:pPr>
      <w:tabs>
        <w:tab w:val="center" w:pos="4153"/>
        <w:tab w:val="right" w:pos="8306"/>
      </w:tabs>
    </w:pPr>
  </w:style>
  <w:style w:type="character" w:styleId="CommentReference">
    <w:name w:val="annotation reference"/>
    <w:basedOn w:val="DefaultParagraphFont"/>
    <w:rsid w:val="0050451E"/>
    <w:rPr>
      <w:sz w:val="16"/>
      <w:szCs w:val="16"/>
    </w:rPr>
  </w:style>
  <w:style w:type="paragraph" w:styleId="CommentText">
    <w:name w:val="annotation text"/>
    <w:basedOn w:val="Normal"/>
    <w:link w:val="CommentTextChar"/>
    <w:rsid w:val="0050451E"/>
    <w:pPr>
      <w:widowControl/>
    </w:pPr>
    <w:rPr>
      <w:rFonts w:ascii="Times New Roman" w:hAnsi="Times New Roman"/>
      <w:sz w:val="20"/>
      <w:szCs w:val="20"/>
    </w:rPr>
  </w:style>
  <w:style w:type="paragraph" w:styleId="CommentSubject">
    <w:name w:val="annotation subject"/>
    <w:basedOn w:val="CommentText"/>
    <w:next w:val="CommentText"/>
    <w:link w:val="CommentSubjectChar"/>
    <w:semiHidden/>
    <w:rsid w:val="0050451E"/>
    <w:rPr>
      <w:b/>
      <w:bCs/>
    </w:rPr>
  </w:style>
  <w:style w:type="paragraph" w:styleId="BalloonText">
    <w:name w:val="Balloon Text"/>
    <w:basedOn w:val="Normal"/>
    <w:link w:val="BalloonTextChar"/>
    <w:semiHidden/>
    <w:rsid w:val="0050451E"/>
    <w:pPr>
      <w:widowControl/>
    </w:pPr>
    <w:rPr>
      <w:rFonts w:ascii="Tahoma" w:hAnsi="Tahoma" w:cs="Tahoma"/>
      <w:sz w:val="16"/>
      <w:szCs w:val="16"/>
    </w:rPr>
  </w:style>
  <w:style w:type="paragraph" w:styleId="FootnoteText">
    <w:name w:val="footnote text"/>
    <w:basedOn w:val="Normal"/>
    <w:link w:val="FootnoteTextChar"/>
    <w:rsid w:val="0050451E"/>
    <w:pPr>
      <w:widowControl/>
    </w:pPr>
    <w:rPr>
      <w:rFonts w:ascii="Times New Roman" w:hAnsi="Times New Roman"/>
      <w:sz w:val="20"/>
      <w:szCs w:val="20"/>
    </w:rPr>
  </w:style>
  <w:style w:type="character" w:styleId="FootnoteReference">
    <w:name w:val="footnote reference"/>
    <w:basedOn w:val="DefaultParagraphFont"/>
    <w:rsid w:val="0050451E"/>
    <w:rPr>
      <w:vertAlign w:val="superscript"/>
    </w:rPr>
  </w:style>
  <w:style w:type="paragraph" w:styleId="EndnoteText">
    <w:name w:val="endnote text"/>
    <w:basedOn w:val="Normal"/>
    <w:link w:val="EndnoteTextChar"/>
    <w:rsid w:val="0050451E"/>
    <w:pPr>
      <w:widowControl/>
    </w:pPr>
    <w:rPr>
      <w:rFonts w:ascii="Times New Roman" w:hAnsi="Times New Roman"/>
      <w:sz w:val="20"/>
      <w:szCs w:val="20"/>
    </w:rPr>
  </w:style>
  <w:style w:type="character" w:styleId="EndnoteReference">
    <w:name w:val="endnote reference"/>
    <w:basedOn w:val="DefaultParagraphFont"/>
    <w:rsid w:val="0050451E"/>
    <w:rPr>
      <w:vertAlign w:val="superscript"/>
    </w:rPr>
  </w:style>
  <w:style w:type="paragraph" w:customStyle="1" w:styleId="Default">
    <w:name w:val="Default"/>
    <w:rsid w:val="0050451E"/>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8260BF"/>
    <w:rPr>
      <w:rFonts w:ascii="Arial" w:hAnsi="Arial" w:cs="Arial"/>
      <w:sz w:val="22"/>
      <w:szCs w:val="22"/>
    </w:rPr>
  </w:style>
  <w:style w:type="numbering" w:customStyle="1" w:styleId="NoList1">
    <w:name w:val="No List1"/>
    <w:next w:val="NoList"/>
    <w:uiPriority w:val="99"/>
    <w:semiHidden/>
    <w:unhideWhenUsed/>
    <w:rsid w:val="008260BF"/>
  </w:style>
  <w:style w:type="paragraph" w:customStyle="1" w:styleId="A4Body">
    <w:name w:val="A4 Body"/>
    <w:basedOn w:val="Normal"/>
    <w:rsid w:val="008260BF"/>
    <w:pPr>
      <w:suppressAutoHyphens/>
      <w:autoSpaceDE w:val="0"/>
      <w:autoSpaceDN w:val="0"/>
      <w:adjustRightInd w:val="0"/>
      <w:spacing w:after="227" w:line="320" w:lineRule="atLeast"/>
      <w:textAlignment w:val="center"/>
    </w:pPr>
    <w:rPr>
      <w:rFonts w:ascii="ArialMT" w:eastAsia="MS Mincho" w:hAnsi="ArialMT" w:cs="ArialMT"/>
    </w:rPr>
  </w:style>
  <w:style w:type="character" w:customStyle="1" w:styleId="WEBLINK">
    <w:name w:val="WEBLINK"/>
    <w:rsid w:val="008260BF"/>
    <w:rPr>
      <w:u w:val="thick" w:color="000000"/>
    </w:rPr>
  </w:style>
  <w:style w:type="character" w:customStyle="1" w:styleId="Largeprint">
    <w:name w:val="Large print"/>
    <w:rsid w:val="008260BF"/>
    <w:rPr>
      <w:sz w:val="28"/>
      <w:szCs w:val="28"/>
      <w:lang w:val="en-US"/>
    </w:rPr>
  </w:style>
  <w:style w:type="character" w:customStyle="1" w:styleId="BalloonTextChar">
    <w:name w:val="Balloon Text Char"/>
    <w:basedOn w:val="DefaultParagraphFont"/>
    <w:link w:val="BalloonText"/>
    <w:semiHidden/>
    <w:rsid w:val="008260BF"/>
    <w:rPr>
      <w:rFonts w:ascii="Tahoma" w:hAnsi="Tahoma" w:cs="Tahoma"/>
      <w:sz w:val="16"/>
      <w:szCs w:val="16"/>
    </w:rPr>
  </w:style>
  <w:style w:type="character" w:customStyle="1" w:styleId="CommentTextChar">
    <w:name w:val="Comment Text Char"/>
    <w:basedOn w:val="DefaultParagraphFont"/>
    <w:link w:val="CommentText"/>
    <w:rsid w:val="008260BF"/>
  </w:style>
  <w:style w:type="character" w:customStyle="1" w:styleId="FootnoteTextChar">
    <w:name w:val="Footnote Text Char"/>
    <w:basedOn w:val="DefaultParagraphFont"/>
    <w:link w:val="FootnoteText"/>
    <w:rsid w:val="008260BF"/>
  </w:style>
  <w:style w:type="paragraph" w:styleId="TOC1">
    <w:name w:val="toc 1"/>
    <w:basedOn w:val="Normal"/>
    <w:next w:val="Normal"/>
    <w:autoRedefine/>
    <w:uiPriority w:val="39"/>
    <w:qFormat/>
    <w:rsid w:val="00134026"/>
    <w:pPr>
      <w:tabs>
        <w:tab w:val="right" w:leader="dot" w:pos="8296"/>
      </w:tabs>
      <w:spacing w:before="120" w:after="120"/>
    </w:pPr>
    <w:rPr>
      <w:noProof/>
    </w:rPr>
  </w:style>
  <w:style w:type="paragraph" w:styleId="TOC2">
    <w:name w:val="toc 2"/>
    <w:basedOn w:val="Normal"/>
    <w:next w:val="Normal"/>
    <w:autoRedefine/>
    <w:uiPriority w:val="39"/>
    <w:qFormat/>
    <w:rsid w:val="008260BF"/>
    <w:pPr>
      <w:tabs>
        <w:tab w:val="right" w:leader="dot" w:pos="8296"/>
      </w:tabs>
      <w:spacing w:before="120" w:after="120"/>
      <w:ind w:left="238"/>
    </w:pPr>
    <w:rPr>
      <w:noProof/>
    </w:rPr>
  </w:style>
  <w:style w:type="paragraph" w:customStyle="1" w:styleId="StyleBodyTextLeft159cm">
    <w:name w:val="Style Body Text + Left:  1.59 cm"/>
    <w:basedOn w:val="BodyText"/>
    <w:rsid w:val="008260BF"/>
    <w:pPr>
      <w:numPr>
        <w:numId w:val="1"/>
      </w:numPr>
      <w:spacing w:line="320" w:lineRule="exact"/>
    </w:pPr>
    <w:rPr>
      <w:szCs w:val="20"/>
      <w:lang w:val="en-GB"/>
    </w:rPr>
  </w:style>
  <w:style w:type="paragraph" w:styleId="Caption">
    <w:name w:val="caption"/>
    <w:basedOn w:val="Normal"/>
    <w:next w:val="Normal"/>
    <w:uiPriority w:val="35"/>
    <w:qFormat/>
    <w:rsid w:val="008260BF"/>
    <w:pPr>
      <w:keepNext/>
      <w:widowControl/>
    </w:pPr>
    <w:rPr>
      <w:b/>
      <w:bCs/>
    </w:rPr>
  </w:style>
  <w:style w:type="paragraph" w:styleId="TableofFigures">
    <w:name w:val="table of figures"/>
    <w:basedOn w:val="Normal"/>
    <w:next w:val="Normal"/>
    <w:semiHidden/>
    <w:rsid w:val="008260BF"/>
    <w:pPr>
      <w:widowControl/>
    </w:pPr>
  </w:style>
  <w:style w:type="table" w:customStyle="1" w:styleId="TableGrid1">
    <w:name w:val="Table Grid1"/>
    <w:basedOn w:val="TableNormal"/>
    <w:next w:val="TableGrid"/>
    <w:rsid w:val="008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260BF"/>
    <w:rPr>
      <w:b/>
      <w:bCs/>
    </w:rPr>
  </w:style>
  <w:style w:type="character" w:customStyle="1" w:styleId="HeaderChar">
    <w:name w:val="Header Char"/>
    <w:basedOn w:val="DefaultParagraphFont"/>
    <w:link w:val="Header"/>
    <w:rsid w:val="008260BF"/>
    <w:rPr>
      <w:rFonts w:ascii="Frutiger 55 Roman" w:hAnsi="Frutiger 55 Roman"/>
      <w:sz w:val="24"/>
      <w:szCs w:val="24"/>
      <w:lang w:eastAsia="en-US"/>
    </w:rPr>
  </w:style>
  <w:style w:type="character" w:styleId="PageNumber">
    <w:name w:val="page number"/>
    <w:basedOn w:val="DefaultParagraphFont"/>
    <w:rsid w:val="008260BF"/>
  </w:style>
  <w:style w:type="paragraph" w:customStyle="1" w:styleId="tempstyle">
    <w:name w:val="temp style"/>
    <w:basedOn w:val="BodyText"/>
    <w:link w:val="tempstyleChar"/>
    <w:rsid w:val="008260BF"/>
    <w:pPr>
      <w:spacing w:line="320" w:lineRule="exact"/>
    </w:pPr>
    <w:rPr>
      <w:noProof/>
      <w:lang w:val="en-GB"/>
    </w:rPr>
  </w:style>
  <w:style w:type="paragraph" w:styleId="Title">
    <w:name w:val="Title"/>
    <w:basedOn w:val="Normal"/>
    <w:next w:val="Normal"/>
    <w:link w:val="TitleChar"/>
    <w:qFormat/>
    <w:rsid w:val="000C3508"/>
    <w:pPr>
      <w:widowControl/>
    </w:pPr>
    <w:rPr>
      <w:b/>
      <w:color w:val="FFFFFF" w:themeColor="background1"/>
      <w:sz w:val="70"/>
      <w:szCs w:val="70"/>
    </w:rPr>
  </w:style>
  <w:style w:type="character" w:customStyle="1" w:styleId="TitleChar">
    <w:name w:val="Title Char"/>
    <w:basedOn w:val="DefaultParagraphFont"/>
    <w:link w:val="Title"/>
    <w:rsid w:val="000C3508"/>
    <w:rPr>
      <w:rFonts w:ascii="Arial" w:hAnsi="Arial" w:cs="Arial"/>
      <w:b/>
      <w:color w:val="FFFFFF" w:themeColor="background1"/>
      <w:sz w:val="70"/>
      <w:szCs w:val="70"/>
    </w:rPr>
  </w:style>
  <w:style w:type="character" w:customStyle="1" w:styleId="tempstyleChar">
    <w:name w:val="temp style Char"/>
    <w:basedOn w:val="BodyTextChar"/>
    <w:link w:val="tempstyle"/>
    <w:rsid w:val="008260BF"/>
    <w:rPr>
      <w:rFonts w:ascii="Arial" w:hAnsi="Arial" w:cs="Arial"/>
      <w:noProof/>
      <w:color w:val="000000"/>
      <w:sz w:val="24"/>
      <w:szCs w:val="24"/>
      <w:lang w:eastAsia="en-US"/>
    </w:rPr>
  </w:style>
  <w:style w:type="paragraph" w:styleId="Subtitle">
    <w:name w:val="Subtitle"/>
    <w:basedOn w:val="Normal"/>
    <w:next w:val="Normal"/>
    <w:link w:val="SubtitleChar"/>
    <w:qFormat/>
    <w:rsid w:val="008260BF"/>
    <w:pPr>
      <w:widowControl/>
    </w:pPr>
    <w:rPr>
      <w:b/>
      <w:sz w:val="32"/>
      <w:szCs w:val="32"/>
    </w:rPr>
  </w:style>
  <w:style w:type="character" w:customStyle="1" w:styleId="SubtitleChar">
    <w:name w:val="Subtitle Char"/>
    <w:basedOn w:val="DefaultParagraphFont"/>
    <w:link w:val="Subtitle"/>
    <w:rsid w:val="008260BF"/>
    <w:rPr>
      <w:rFonts w:ascii="Arial" w:hAnsi="Arial" w:cs="Arial"/>
      <w:b/>
      <w:sz w:val="32"/>
      <w:szCs w:val="32"/>
    </w:rPr>
  </w:style>
  <w:style w:type="character" w:styleId="Emphasis">
    <w:name w:val="Emphasis"/>
    <w:basedOn w:val="DefaultParagraphFont"/>
    <w:uiPriority w:val="20"/>
    <w:qFormat/>
    <w:rsid w:val="008260BF"/>
    <w:rPr>
      <w:i/>
      <w:iCs/>
    </w:rPr>
  </w:style>
  <w:style w:type="paragraph" w:styleId="TOC3">
    <w:name w:val="toc 3"/>
    <w:basedOn w:val="TOC1"/>
    <w:next w:val="Normal"/>
    <w:autoRedefine/>
    <w:uiPriority w:val="39"/>
    <w:qFormat/>
    <w:rsid w:val="008260BF"/>
    <w:rPr>
      <w:color w:val="91278F"/>
    </w:rPr>
  </w:style>
  <w:style w:type="paragraph" w:customStyle="1" w:styleId="Questiontitle">
    <w:name w:val="Question title"/>
    <w:rsid w:val="008260BF"/>
    <w:pPr>
      <w:keepNext/>
      <w:spacing w:before="240" w:after="120"/>
      <w:outlineLvl w:val="0"/>
    </w:pPr>
    <w:rPr>
      <w:rFonts w:hAnsi="Arial Unicode MS"/>
      <w:b/>
      <w:bCs/>
    </w:rPr>
  </w:style>
  <w:style w:type="paragraph" w:customStyle="1" w:styleId="Questiontext">
    <w:name w:val="Question text"/>
    <w:rsid w:val="008260BF"/>
    <w:pPr>
      <w:spacing w:after="120"/>
    </w:pPr>
    <w:rPr>
      <w:rFonts w:hAnsi="Arial Unicode MS"/>
    </w:rPr>
  </w:style>
  <w:style w:type="paragraph" w:customStyle="1" w:styleId="Instruction">
    <w:name w:val="Instruction"/>
    <w:rsid w:val="008260BF"/>
    <w:pPr>
      <w:keepNext/>
      <w:spacing w:after="120"/>
    </w:pPr>
    <w:rPr>
      <w:rFonts w:hAnsi="Arial Unicode MS"/>
      <w:i/>
      <w:iCs/>
    </w:rPr>
  </w:style>
  <w:style w:type="character" w:customStyle="1" w:styleId="Answertextfont">
    <w:name w:val="Answer text font"/>
    <w:rsid w:val="008260BF"/>
    <w:rPr>
      <w:sz w:val="20"/>
      <w:szCs w:val="20"/>
    </w:rPr>
  </w:style>
  <w:style w:type="numbering" w:customStyle="1" w:styleId="Singlepunch">
    <w:name w:val="Single punch"/>
    <w:rsid w:val="008260BF"/>
    <w:pPr>
      <w:numPr>
        <w:numId w:val="2"/>
      </w:numPr>
    </w:pPr>
  </w:style>
  <w:style w:type="numbering" w:customStyle="1" w:styleId="Multipunch">
    <w:name w:val="Multi punch"/>
    <w:rsid w:val="008260BF"/>
    <w:pPr>
      <w:numPr>
        <w:numId w:val="3"/>
      </w:numPr>
    </w:pPr>
  </w:style>
  <w:style w:type="character" w:customStyle="1" w:styleId="Inlinecode">
    <w:name w:val="Inline code"/>
    <w:basedOn w:val="DefaultParagraphFont"/>
    <w:rsid w:val="008260BF"/>
    <w:rPr>
      <w:sz w:val="16"/>
    </w:rPr>
  </w:style>
  <w:style w:type="paragraph" w:styleId="ListParagraph">
    <w:name w:val="List Paragraph"/>
    <w:basedOn w:val="Normal"/>
    <w:uiPriority w:val="34"/>
    <w:qFormat/>
    <w:rsid w:val="008260BF"/>
    <w:pPr>
      <w:widowControl/>
      <w:ind w:left="720"/>
      <w:contextualSpacing/>
    </w:pPr>
  </w:style>
  <w:style w:type="character" w:customStyle="1" w:styleId="EndnoteTextChar">
    <w:name w:val="Endnote Text Char"/>
    <w:basedOn w:val="DefaultParagraphFont"/>
    <w:link w:val="EndnoteText"/>
    <w:rsid w:val="008260BF"/>
  </w:style>
  <w:style w:type="paragraph" w:styleId="TOCHeading">
    <w:name w:val="TOC Heading"/>
    <w:basedOn w:val="Heading1"/>
    <w:next w:val="Normal"/>
    <w:uiPriority w:val="39"/>
    <w:semiHidden/>
    <w:unhideWhenUsed/>
    <w:qFormat/>
    <w:rsid w:val="008260BF"/>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Heading3-notindexed">
    <w:name w:val="Heading 3 - not indexed"/>
    <w:link w:val="Heading3-notindexedChar"/>
    <w:qFormat/>
    <w:rsid w:val="008260BF"/>
    <w:rPr>
      <w:rFonts w:ascii="Arial" w:hAnsi="Arial" w:cs="Arial"/>
      <w:b/>
      <w:bCs/>
      <w:sz w:val="24"/>
      <w:szCs w:val="26"/>
      <w:lang w:eastAsia="en-US"/>
    </w:rPr>
  </w:style>
  <w:style w:type="character" w:customStyle="1" w:styleId="Heading3-notindexedChar">
    <w:name w:val="Heading 3 - not indexed Char"/>
    <w:basedOn w:val="Heading3Char"/>
    <w:link w:val="Heading3-notindexed"/>
    <w:rsid w:val="008260BF"/>
    <w:rPr>
      <w:rFonts w:ascii="Arial" w:hAnsi="Arial" w:cs="Arial"/>
      <w:b/>
      <w:bCs/>
      <w:sz w:val="24"/>
      <w:szCs w:val="26"/>
      <w:lang w:val="en-GB" w:eastAsia="en-US" w:bidi="ar-SA"/>
    </w:rPr>
  </w:style>
  <w:style w:type="paragraph" w:styleId="NoSpacing">
    <w:name w:val="No Spacing"/>
    <w:uiPriority w:val="1"/>
    <w:qFormat/>
    <w:rsid w:val="00134026"/>
    <w:pPr>
      <w:widowControl w:val="0"/>
    </w:pPr>
    <w:rPr>
      <w:rFonts w:ascii="Arial" w:hAnsi="Arial" w:cs="Arial"/>
      <w:color w:val="000000"/>
      <w:sz w:val="24"/>
      <w:szCs w:val="24"/>
    </w:rPr>
  </w:style>
  <w:style w:type="character" w:styleId="SubtleEmphasis">
    <w:name w:val="Subtle Emphasis"/>
    <w:basedOn w:val="DefaultParagraphFont"/>
    <w:uiPriority w:val="19"/>
    <w:qFormat/>
    <w:rsid w:val="00134026"/>
    <w:rPr>
      <w:i/>
      <w:iCs/>
      <w:color w:val="808080" w:themeColor="text1" w:themeTint="7F"/>
    </w:rPr>
  </w:style>
  <w:style w:type="character" w:styleId="IntenseEmphasis">
    <w:name w:val="Intense Emphasis"/>
    <w:basedOn w:val="DefaultParagraphFont"/>
    <w:uiPriority w:val="21"/>
    <w:qFormat/>
    <w:rsid w:val="00134026"/>
    <w:rPr>
      <w:b/>
      <w:bCs/>
      <w:i/>
      <w:iCs/>
      <w:color w:val="4F81BD" w:themeColor="accent1"/>
    </w:rPr>
  </w:style>
  <w:style w:type="paragraph" w:customStyle="1" w:styleId="StyleHeading2NotItalic">
    <w:name w:val="Style Heading 2 + Not Italic"/>
    <w:basedOn w:val="Heading2"/>
    <w:rsid w:val="005D0859"/>
    <w:pPr>
      <w:numPr>
        <w:ilvl w:val="1"/>
      </w:numPr>
      <w:tabs>
        <w:tab w:val="num" w:pos="576"/>
      </w:tabs>
      <w:ind w:left="576" w:hanging="576"/>
    </w:pPr>
    <w:rPr>
      <w:iCs w:val="0"/>
      <w:color w:val="auto"/>
      <w:sz w:val="24"/>
      <w:szCs w:val="24"/>
    </w:rPr>
  </w:style>
  <w:style w:type="character" w:customStyle="1" w:styleId="apple-converted-space">
    <w:name w:val="apple-converted-space"/>
    <w:basedOn w:val="DefaultParagraphFont"/>
    <w:rsid w:val="00323EBD"/>
  </w:style>
  <w:style w:type="character" w:customStyle="1" w:styleId="legds2">
    <w:name w:val="legds2"/>
    <w:basedOn w:val="DefaultParagraphFont"/>
    <w:rsid w:val="005446EB"/>
    <w:rPr>
      <w:vanish w:val="0"/>
      <w:webHidden w:val="0"/>
      <w:specVanish w:val="0"/>
    </w:rPr>
  </w:style>
  <w:style w:type="paragraph" w:styleId="Revision">
    <w:name w:val="Revision"/>
    <w:hidden/>
    <w:uiPriority w:val="99"/>
    <w:semiHidden/>
    <w:rsid w:val="00ED5571"/>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97"/>
    <w:pPr>
      <w:widowControl w:val="0"/>
      <w:spacing w:before="240" w:after="240"/>
    </w:pPr>
    <w:rPr>
      <w:rFonts w:ascii="Arial" w:hAnsi="Arial" w:cs="Arial"/>
      <w:color w:val="000000"/>
      <w:sz w:val="22"/>
      <w:szCs w:val="22"/>
    </w:rPr>
  </w:style>
  <w:style w:type="paragraph" w:styleId="Heading1">
    <w:name w:val="heading 1"/>
    <w:basedOn w:val="Normal"/>
    <w:next w:val="Normal"/>
    <w:link w:val="Heading1Char"/>
    <w:qFormat/>
    <w:rsid w:val="00E01D2E"/>
    <w:pPr>
      <w:widowControl/>
      <w:autoSpaceDE w:val="0"/>
      <w:autoSpaceDN w:val="0"/>
      <w:adjustRightInd w:val="0"/>
      <w:spacing w:after="60"/>
      <w:outlineLvl w:val="0"/>
    </w:pPr>
    <w:rPr>
      <w:bCs/>
      <w:color w:val="91278F"/>
      <w:kern w:val="32"/>
      <w:sz w:val="36"/>
      <w:szCs w:val="32"/>
    </w:rPr>
  </w:style>
  <w:style w:type="paragraph" w:styleId="Heading2">
    <w:name w:val="heading 2"/>
    <w:basedOn w:val="Normal"/>
    <w:next w:val="Normal"/>
    <w:link w:val="Heading2Char"/>
    <w:qFormat/>
    <w:rsid w:val="000056EA"/>
    <w:pPr>
      <w:keepNext/>
      <w:widowControl/>
      <w:spacing w:after="60"/>
      <w:outlineLvl w:val="1"/>
    </w:pPr>
    <w:rPr>
      <w:bCs/>
      <w:iCs/>
      <w:color w:val="91278F"/>
      <w:sz w:val="28"/>
      <w:szCs w:val="28"/>
    </w:rPr>
  </w:style>
  <w:style w:type="paragraph" w:styleId="Heading3">
    <w:name w:val="heading 3"/>
    <w:basedOn w:val="Normal"/>
    <w:next w:val="Normal"/>
    <w:link w:val="Heading3Char"/>
    <w:qFormat/>
    <w:rsid w:val="007E0665"/>
    <w:pPr>
      <w:spacing w:line="480" w:lineRule="exact"/>
      <w:outlineLvl w:val="2"/>
    </w:pPr>
    <w:rPr>
      <w:sz w:val="26"/>
      <w:szCs w:val="26"/>
    </w:rPr>
  </w:style>
  <w:style w:type="paragraph" w:styleId="Heading4">
    <w:name w:val="heading 4"/>
    <w:basedOn w:val="Normal"/>
    <w:next w:val="Normal"/>
    <w:link w:val="Heading4Char"/>
    <w:qFormat/>
    <w:rsid w:val="007E0665"/>
    <w:pPr>
      <w:spacing w:line="480" w:lineRule="exact"/>
      <w:outlineLvl w:val="3"/>
    </w:pPr>
    <w:rPr>
      <w:rFonts w:ascii="Calibri" w:hAnsi="Calibri"/>
      <w:b/>
      <w:bCs/>
      <w:sz w:val="28"/>
      <w:szCs w:val="28"/>
      <w:lang w:val="x-none"/>
    </w:rPr>
  </w:style>
  <w:style w:type="paragraph" w:styleId="Heading5">
    <w:name w:val="heading 5"/>
    <w:basedOn w:val="Normal"/>
    <w:next w:val="Normal"/>
    <w:link w:val="Heading5Char"/>
    <w:qFormat/>
    <w:rsid w:val="007E0665"/>
    <w:pPr>
      <w:tabs>
        <w:tab w:val="left" w:pos="280"/>
      </w:tabs>
      <w:spacing w:line="480" w:lineRule="exact"/>
      <w:outlineLvl w:val="4"/>
    </w:pPr>
    <w:rPr>
      <w:rFonts w:ascii="Calibri" w:hAnsi="Calibri"/>
      <w:b/>
      <w:bCs/>
      <w:i/>
      <w:iCs/>
      <w:sz w:val="26"/>
      <w:szCs w:val="26"/>
      <w:lang w:val="x-none"/>
    </w:rPr>
  </w:style>
  <w:style w:type="paragraph" w:styleId="Heading6">
    <w:name w:val="heading 6"/>
    <w:basedOn w:val="Normal"/>
    <w:next w:val="Normal"/>
    <w:link w:val="Heading6Char"/>
    <w:qFormat/>
    <w:rsid w:val="007E0665"/>
    <w:pPr>
      <w:spacing w:line="340" w:lineRule="exact"/>
      <w:outlineLvl w:val="5"/>
    </w:pPr>
    <w:rPr>
      <w:rFonts w:ascii="Calibri" w:hAnsi="Calibri"/>
      <w:b/>
      <w:bCs/>
      <w:lang w:val="x-none"/>
    </w:rPr>
  </w:style>
  <w:style w:type="paragraph" w:styleId="Heading7">
    <w:name w:val="heading 7"/>
    <w:basedOn w:val="Normal"/>
    <w:next w:val="Normal"/>
    <w:link w:val="Heading7Char"/>
    <w:qFormat/>
    <w:rsid w:val="007E0665"/>
    <w:pPr>
      <w:ind w:left="278"/>
      <w:outlineLvl w:val="6"/>
    </w:pPr>
    <w:rPr>
      <w:rFonts w:ascii="Calibri" w:hAnsi="Calibri"/>
      <w:lang w:val="x-none"/>
    </w:rPr>
  </w:style>
  <w:style w:type="paragraph" w:styleId="Heading8">
    <w:name w:val="heading 8"/>
    <w:basedOn w:val="Normal"/>
    <w:next w:val="Normal"/>
    <w:link w:val="Heading8Char"/>
    <w:qFormat/>
    <w:rsid w:val="007E0665"/>
    <w:pPr>
      <w:spacing w:line="340" w:lineRule="exact"/>
      <w:outlineLvl w:val="7"/>
    </w:pPr>
    <w:rPr>
      <w:rFonts w:ascii="Calibri" w:hAnsi="Calibri"/>
      <w:i/>
      <w:iCs/>
      <w:lang w:val="x-none"/>
    </w:rPr>
  </w:style>
  <w:style w:type="paragraph" w:styleId="Heading9">
    <w:name w:val="heading 9"/>
    <w:basedOn w:val="Normal"/>
    <w:next w:val="Normal"/>
    <w:link w:val="Heading9Char"/>
    <w:qFormat/>
    <w:rsid w:val="008260BF"/>
    <w:pPr>
      <w:widowControl/>
      <w:tabs>
        <w:tab w:val="num" w:pos="1584"/>
      </w:tabs>
      <w:spacing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01D2E"/>
    <w:rPr>
      <w:rFonts w:ascii="Arial" w:hAnsi="Arial" w:cs="Arial"/>
      <w:bCs/>
      <w:color w:val="91278F"/>
      <w:kern w:val="32"/>
      <w:sz w:val="36"/>
      <w:szCs w:val="32"/>
    </w:rPr>
  </w:style>
  <w:style w:type="character" w:customStyle="1" w:styleId="Heading2Char">
    <w:name w:val="Heading 2 Char"/>
    <w:link w:val="Heading2"/>
    <w:locked/>
    <w:rsid w:val="000056EA"/>
    <w:rPr>
      <w:rFonts w:ascii="Arial" w:hAnsi="Arial" w:cs="Arial"/>
      <w:bCs/>
      <w:iCs/>
      <w:color w:val="91278F"/>
      <w:sz w:val="28"/>
      <w:szCs w:val="28"/>
    </w:rPr>
  </w:style>
  <w:style w:type="character" w:customStyle="1" w:styleId="Heading3Char">
    <w:name w:val="Heading 3 Char"/>
    <w:link w:val="Heading3"/>
    <w:locked/>
    <w:rsid w:val="0003137F"/>
    <w:rPr>
      <w:rFonts w:ascii="Frutiger 55 Roman" w:hAnsi="Frutiger 55 Roman" w:cs="Arial"/>
      <w:sz w:val="26"/>
      <w:szCs w:val="26"/>
      <w:lang w:val="en-GB" w:eastAsia="en-US" w:bidi="ar-SA"/>
    </w:rPr>
  </w:style>
  <w:style w:type="character" w:customStyle="1" w:styleId="Heading4Char">
    <w:name w:val="Heading 4 Char"/>
    <w:link w:val="Heading4"/>
    <w:uiPriority w:val="9"/>
    <w:locked/>
    <w:rsid w:val="00940367"/>
    <w:rPr>
      <w:rFonts w:ascii="Calibri" w:hAnsi="Calibri" w:cs="Times New Roman"/>
      <w:b/>
      <w:bCs/>
      <w:sz w:val="28"/>
      <w:szCs w:val="28"/>
      <w:lang w:eastAsia="en-US"/>
    </w:rPr>
  </w:style>
  <w:style w:type="character" w:customStyle="1" w:styleId="Heading5Char">
    <w:name w:val="Heading 5 Char"/>
    <w:link w:val="Heading5"/>
    <w:locked/>
    <w:rsid w:val="00940367"/>
    <w:rPr>
      <w:rFonts w:ascii="Calibri" w:hAnsi="Calibri" w:cs="Times New Roman"/>
      <w:b/>
      <w:bCs/>
      <w:i/>
      <w:iCs/>
      <w:sz w:val="26"/>
      <w:szCs w:val="26"/>
      <w:lang w:eastAsia="en-US"/>
    </w:rPr>
  </w:style>
  <w:style w:type="character" w:customStyle="1" w:styleId="Heading6Char">
    <w:name w:val="Heading 6 Char"/>
    <w:link w:val="Heading6"/>
    <w:locked/>
    <w:rsid w:val="00940367"/>
    <w:rPr>
      <w:rFonts w:ascii="Calibri" w:hAnsi="Calibri" w:cs="Times New Roman"/>
      <w:b/>
      <w:bCs/>
      <w:sz w:val="22"/>
      <w:szCs w:val="22"/>
      <w:lang w:eastAsia="en-US"/>
    </w:rPr>
  </w:style>
  <w:style w:type="character" w:customStyle="1" w:styleId="Heading7Char">
    <w:name w:val="Heading 7 Char"/>
    <w:link w:val="Heading7"/>
    <w:locked/>
    <w:rsid w:val="00940367"/>
    <w:rPr>
      <w:rFonts w:ascii="Calibri" w:hAnsi="Calibri" w:cs="Times New Roman"/>
      <w:sz w:val="24"/>
      <w:szCs w:val="24"/>
      <w:lang w:eastAsia="en-US"/>
    </w:rPr>
  </w:style>
  <w:style w:type="character" w:customStyle="1" w:styleId="Heading8Char">
    <w:name w:val="Heading 8 Char"/>
    <w:link w:val="Heading8"/>
    <w:locked/>
    <w:rsid w:val="00940367"/>
    <w:rPr>
      <w:rFonts w:ascii="Calibri" w:hAnsi="Calibri" w:cs="Times New Roman"/>
      <w:i/>
      <w:iCs/>
      <w:sz w:val="24"/>
      <w:szCs w:val="24"/>
      <w:lang w:eastAsia="en-US"/>
    </w:rPr>
  </w:style>
  <w:style w:type="paragraph" w:customStyle="1" w:styleId="Heading3Indent">
    <w:name w:val="Heading 3 (Indent)"/>
    <w:basedOn w:val="Heading3"/>
    <w:rsid w:val="007E0665"/>
    <w:pPr>
      <w:ind w:left="278"/>
    </w:pPr>
    <w:rPr>
      <w:b/>
      <w:bCs/>
    </w:rPr>
  </w:style>
  <w:style w:type="paragraph" w:styleId="BodyText">
    <w:name w:val="Body Text"/>
    <w:basedOn w:val="Normal"/>
    <w:link w:val="BodyTextChar"/>
    <w:uiPriority w:val="99"/>
    <w:qFormat/>
    <w:rsid w:val="007E0665"/>
    <w:pPr>
      <w:spacing w:line="340" w:lineRule="exact"/>
    </w:pPr>
    <w:rPr>
      <w:lang w:val="x-none"/>
    </w:rPr>
  </w:style>
  <w:style w:type="character" w:customStyle="1" w:styleId="BodyTextChar">
    <w:name w:val="Body Text Char"/>
    <w:link w:val="BodyText"/>
    <w:uiPriority w:val="99"/>
    <w:locked/>
    <w:rsid w:val="00940367"/>
    <w:rPr>
      <w:rFonts w:ascii="Frutiger 55 Roman" w:hAnsi="Frutiger 55 Roman" w:cs="Times New Roman"/>
      <w:sz w:val="24"/>
      <w:szCs w:val="24"/>
      <w:lang w:eastAsia="en-US"/>
    </w:rPr>
  </w:style>
  <w:style w:type="paragraph" w:styleId="BodyText2">
    <w:name w:val="Body Text 2"/>
    <w:basedOn w:val="Normal"/>
    <w:link w:val="BodyText2Char"/>
    <w:uiPriority w:val="99"/>
    <w:rsid w:val="007E0665"/>
    <w:pPr>
      <w:ind w:left="278" w:hanging="278"/>
    </w:pPr>
    <w:rPr>
      <w:lang w:val="x-none"/>
    </w:rPr>
  </w:style>
  <w:style w:type="character" w:customStyle="1" w:styleId="BodyText2Char">
    <w:name w:val="Body Text 2 Char"/>
    <w:link w:val="BodyText2"/>
    <w:uiPriority w:val="99"/>
    <w:semiHidden/>
    <w:locked/>
    <w:rsid w:val="00940367"/>
    <w:rPr>
      <w:rFonts w:ascii="Frutiger 55 Roman" w:hAnsi="Frutiger 55 Roman" w:cs="Times New Roman"/>
      <w:sz w:val="24"/>
      <w:szCs w:val="24"/>
      <w:lang w:eastAsia="en-US"/>
    </w:rPr>
  </w:style>
  <w:style w:type="paragraph" w:styleId="Footer">
    <w:name w:val="footer"/>
    <w:basedOn w:val="Normal"/>
    <w:link w:val="FooterChar"/>
    <w:uiPriority w:val="99"/>
    <w:rsid w:val="007E0665"/>
    <w:pPr>
      <w:tabs>
        <w:tab w:val="center" w:pos="4153"/>
        <w:tab w:val="right" w:pos="8306"/>
      </w:tabs>
      <w:spacing w:line="260" w:lineRule="exact"/>
    </w:pPr>
    <w:rPr>
      <w:lang w:val="x-none"/>
    </w:rPr>
  </w:style>
  <w:style w:type="character" w:customStyle="1" w:styleId="FooterChar">
    <w:name w:val="Footer Char"/>
    <w:link w:val="Footer"/>
    <w:uiPriority w:val="99"/>
    <w:locked/>
    <w:rsid w:val="00940367"/>
    <w:rPr>
      <w:rFonts w:ascii="Frutiger 55 Roman" w:hAnsi="Frutiger 55 Roman" w:cs="Times New Roman"/>
      <w:sz w:val="24"/>
      <w:szCs w:val="24"/>
      <w:lang w:eastAsia="en-US"/>
    </w:rPr>
  </w:style>
  <w:style w:type="paragraph" w:customStyle="1" w:styleId="TableText">
    <w:name w:val="Table Text"/>
    <w:basedOn w:val="Normal"/>
    <w:rsid w:val="007E0665"/>
    <w:pPr>
      <w:spacing w:line="400" w:lineRule="exact"/>
    </w:pPr>
    <w:rPr>
      <w:rFonts w:ascii="Frutiger 45 Light" w:hAnsi="Frutiger 45 Light"/>
      <w:noProof/>
      <w:lang w:val="en-US"/>
    </w:rPr>
  </w:style>
  <w:style w:type="paragraph" w:customStyle="1" w:styleId="TableHeading">
    <w:name w:val="Table Heading"/>
    <w:basedOn w:val="TableText"/>
    <w:rsid w:val="007E0665"/>
    <w:rPr>
      <w:rFonts w:ascii="Frutiger 55 Roman" w:hAnsi="Frutiger 55 Roman"/>
      <w:b/>
      <w:bCs/>
    </w:rPr>
  </w:style>
  <w:style w:type="paragraph" w:customStyle="1" w:styleId="TableTextItalic">
    <w:name w:val="Table Text Italic"/>
    <w:basedOn w:val="TableText"/>
    <w:rsid w:val="007E0665"/>
    <w:rPr>
      <w:i/>
      <w:iCs/>
    </w:rPr>
  </w:style>
  <w:style w:type="paragraph" w:styleId="BlockText">
    <w:name w:val="Block Text"/>
    <w:basedOn w:val="Normal"/>
    <w:uiPriority w:val="99"/>
    <w:rsid w:val="007E0665"/>
    <w:pPr>
      <w:spacing w:line="280" w:lineRule="exact"/>
    </w:pPr>
    <w:rPr>
      <w:sz w:val="18"/>
    </w:rPr>
  </w:style>
  <w:style w:type="paragraph" w:customStyle="1" w:styleId="Conditions">
    <w:name w:val="Conditions"/>
    <w:basedOn w:val="Normal"/>
    <w:rsid w:val="007E0665"/>
    <w:pPr>
      <w:spacing w:line="180" w:lineRule="exact"/>
    </w:pPr>
    <w:rPr>
      <w:rFonts w:ascii="Frutiger 45 Light" w:hAnsi="Frutiger 45 Light"/>
      <w:sz w:val="14"/>
    </w:rPr>
  </w:style>
  <w:style w:type="paragraph" w:customStyle="1" w:styleId="BookingText">
    <w:name w:val="Booking Text"/>
    <w:basedOn w:val="Normal"/>
    <w:rsid w:val="007E0665"/>
    <w:rPr>
      <w:sz w:val="18"/>
    </w:rPr>
  </w:style>
  <w:style w:type="paragraph" w:customStyle="1" w:styleId="BookingLight">
    <w:name w:val="Booking Light"/>
    <w:basedOn w:val="BookingText"/>
    <w:rsid w:val="007E0665"/>
    <w:rPr>
      <w:rFonts w:ascii="Frutiger 45 Light" w:hAnsi="Frutiger 45 Light"/>
      <w:noProof/>
      <w:lang w:val="en-US"/>
    </w:rPr>
  </w:style>
  <w:style w:type="paragraph" w:customStyle="1" w:styleId="BookingTextRH">
    <w:name w:val="Booking Text RH"/>
    <w:basedOn w:val="BookingText"/>
    <w:rsid w:val="007E0665"/>
    <w:pPr>
      <w:spacing w:line="280" w:lineRule="exact"/>
    </w:pPr>
  </w:style>
  <w:style w:type="paragraph" w:customStyle="1" w:styleId="BookingLightRH">
    <w:name w:val="Booking Light RH"/>
    <w:basedOn w:val="BookingLight"/>
    <w:rsid w:val="007E0665"/>
    <w:pPr>
      <w:spacing w:line="260" w:lineRule="exact"/>
    </w:pPr>
  </w:style>
  <w:style w:type="paragraph" w:customStyle="1" w:styleId="BookingTextRHI">
    <w:name w:val="Booking Text RHI"/>
    <w:basedOn w:val="BookingTextRH"/>
    <w:rsid w:val="007E0665"/>
    <w:pPr>
      <w:ind w:firstLine="454"/>
    </w:pPr>
    <w:rPr>
      <w:sz w:val="20"/>
    </w:rPr>
  </w:style>
  <w:style w:type="paragraph" w:customStyle="1" w:styleId="BookingLightRHI">
    <w:name w:val="Booking Light RHI"/>
    <w:basedOn w:val="BookingTextRHI"/>
    <w:rsid w:val="007E0665"/>
    <w:rPr>
      <w:rFonts w:ascii="Frutiger 45 Light" w:hAnsi="Frutiger 45 Light"/>
      <w:sz w:val="18"/>
    </w:rPr>
  </w:style>
  <w:style w:type="paragraph" w:customStyle="1" w:styleId="BlockTextLight">
    <w:name w:val="Block Text Light"/>
    <w:basedOn w:val="BlockText"/>
    <w:rsid w:val="007E0665"/>
    <w:rPr>
      <w:rFonts w:ascii="Frutiger 45 Light" w:hAnsi="Frutiger 45 Light"/>
    </w:rPr>
  </w:style>
  <w:style w:type="paragraph" w:customStyle="1" w:styleId="Payment">
    <w:name w:val="Payment"/>
    <w:basedOn w:val="BookingTextRH"/>
    <w:rsid w:val="007E0665"/>
    <w:rPr>
      <w:spacing w:val="-2"/>
    </w:rPr>
  </w:style>
  <w:style w:type="paragraph" w:customStyle="1" w:styleId="Advance">
    <w:name w:val="Advance"/>
    <w:basedOn w:val="BodyText"/>
    <w:rsid w:val="007E0665"/>
    <w:pPr>
      <w:spacing w:line="510" w:lineRule="exact"/>
    </w:pPr>
  </w:style>
  <w:style w:type="paragraph" w:customStyle="1" w:styleId="end">
    <w:name w:val="end"/>
    <w:basedOn w:val="BookingText"/>
    <w:rsid w:val="007E0665"/>
    <w:pPr>
      <w:spacing w:line="20" w:lineRule="exact"/>
    </w:pPr>
    <w:rPr>
      <w:sz w:val="2"/>
    </w:rPr>
  </w:style>
  <w:style w:type="character" w:styleId="Hyperlink">
    <w:name w:val="Hyperlink"/>
    <w:uiPriority w:val="99"/>
    <w:rsid w:val="007E0665"/>
    <w:rPr>
      <w:rFonts w:cs="Times New Roman"/>
      <w:color w:val="0000FF"/>
      <w:u w:val="single"/>
    </w:rPr>
  </w:style>
  <w:style w:type="paragraph" w:customStyle="1" w:styleId="ConditionsBold">
    <w:name w:val="Conditions Bold"/>
    <w:basedOn w:val="Conditions"/>
    <w:rsid w:val="007E0665"/>
    <w:rPr>
      <w:rFonts w:ascii="Frutiger 55 Roman" w:hAnsi="Frutiger 55 Roman"/>
      <w:b/>
      <w:bCs/>
    </w:rPr>
  </w:style>
  <w:style w:type="paragraph" w:customStyle="1" w:styleId="BlockTextBold">
    <w:name w:val="Block Text Bold"/>
    <w:basedOn w:val="BlockTextLight"/>
    <w:rsid w:val="007E0665"/>
    <w:rPr>
      <w:rFonts w:ascii="Frutiger 55 Roman" w:hAnsi="Frutiger 55 Roman"/>
      <w:b/>
    </w:rPr>
  </w:style>
  <w:style w:type="paragraph" w:styleId="NormalWeb">
    <w:name w:val="Normal (Web)"/>
    <w:basedOn w:val="Normal"/>
    <w:uiPriority w:val="99"/>
    <w:rsid w:val="00C54121"/>
    <w:pPr>
      <w:widowControl/>
      <w:spacing w:before="100" w:beforeAutospacing="1" w:after="100" w:afterAutospacing="1"/>
    </w:pPr>
    <w:rPr>
      <w:rFonts w:ascii="Times New Roman" w:hAnsi="Times New Roman"/>
      <w:lang w:val="en-US"/>
    </w:rPr>
  </w:style>
  <w:style w:type="table" w:styleId="TableGrid">
    <w:name w:val="Table Grid"/>
    <w:basedOn w:val="TableNormal"/>
    <w:rsid w:val="000D44F5"/>
    <w:pPr>
      <w:widowControl w:val="0"/>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0420"/>
    <w:rPr>
      <w:rFonts w:cs="Times New Roman"/>
      <w:color w:val="800080"/>
      <w:u w:val="single"/>
    </w:rPr>
  </w:style>
  <w:style w:type="character" w:styleId="Strong">
    <w:name w:val="Strong"/>
    <w:qFormat/>
    <w:rsid w:val="00AE5833"/>
    <w:rPr>
      <w:b/>
      <w:bCs/>
    </w:rPr>
  </w:style>
  <w:style w:type="paragraph" w:styleId="Header">
    <w:name w:val="header"/>
    <w:basedOn w:val="Normal"/>
    <w:link w:val="HeaderChar"/>
    <w:rsid w:val="002C5634"/>
    <w:pPr>
      <w:tabs>
        <w:tab w:val="center" w:pos="4153"/>
        <w:tab w:val="right" w:pos="8306"/>
      </w:tabs>
    </w:pPr>
  </w:style>
  <w:style w:type="character" w:styleId="CommentReference">
    <w:name w:val="annotation reference"/>
    <w:basedOn w:val="DefaultParagraphFont"/>
    <w:rsid w:val="0050451E"/>
    <w:rPr>
      <w:sz w:val="16"/>
      <w:szCs w:val="16"/>
    </w:rPr>
  </w:style>
  <w:style w:type="paragraph" w:styleId="CommentText">
    <w:name w:val="annotation text"/>
    <w:basedOn w:val="Normal"/>
    <w:link w:val="CommentTextChar"/>
    <w:rsid w:val="0050451E"/>
    <w:pPr>
      <w:widowControl/>
    </w:pPr>
    <w:rPr>
      <w:rFonts w:ascii="Times New Roman" w:hAnsi="Times New Roman"/>
      <w:sz w:val="20"/>
      <w:szCs w:val="20"/>
    </w:rPr>
  </w:style>
  <w:style w:type="paragraph" w:styleId="CommentSubject">
    <w:name w:val="annotation subject"/>
    <w:basedOn w:val="CommentText"/>
    <w:next w:val="CommentText"/>
    <w:link w:val="CommentSubjectChar"/>
    <w:semiHidden/>
    <w:rsid w:val="0050451E"/>
    <w:rPr>
      <w:b/>
      <w:bCs/>
    </w:rPr>
  </w:style>
  <w:style w:type="paragraph" w:styleId="BalloonText">
    <w:name w:val="Balloon Text"/>
    <w:basedOn w:val="Normal"/>
    <w:link w:val="BalloonTextChar"/>
    <w:semiHidden/>
    <w:rsid w:val="0050451E"/>
    <w:pPr>
      <w:widowControl/>
    </w:pPr>
    <w:rPr>
      <w:rFonts w:ascii="Tahoma" w:hAnsi="Tahoma" w:cs="Tahoma"/>
      <w:sz w:val="16"/>
      <w:szCs w:val="16"/>
    </w:rPr>
  </w:style>
  <w:style w:type="paragraph" w:styleId="FootnoteText">
    <w:name w:val="footnote text"/>
    <w:basedOn w:val="Normal"/>
    <w:link w:val="FootnoteTextChar"/>
    <w:rsid w:val="0050451E"/>
    <w:pPr>
      <w:widowControl/>
    </w:pPr>
    <w:rPr>
      <w:rFonts w:ascii="Times New Roman" w:hAnsi="Times New Roman"/>
      <w:sz w:val="20"/>
      <w:szCs w:val="20"/>
    </w:rPr>
  </w:style>
  <w:style w:type="character" w:styleId="FootnoteReference">
    <w:name w:val="footnote reference"/>
    <w:basedOn w:val="DefaultParagraphFont"/>
    <w:rsid w:val="0050451E"/>
    <w:rPr>
      <w:vertAlign w:val="superscript"/>
    </w:rPr>
  </w:style>
  <w:style w:type="paragraph" w:styleId="EndnoteText">
    <w:name w:val="endnote text"/>
    <w:basedOn w:val="Normal"/>
    <w:link w:val="EndnoteTextChar"/>
    <w:rsid w:val="0050451E"/>
    <w:pPr>
      <w:widowControl/>
    </w:pPr>
    <w:rPr>
      <w:rFonts w:ascii="Times New Roman" w:hAnsi="Times New Roman"/>
      <w:sz w:val="20"/>
      <w:szCs w:val="20"/>
    </w:rPr>
  </w:style>
  <w:style w:type="character" w:styleId="EndnoteReference">
    <w:name w:val="endnote reference"/>
    <w:basedOn w:val="DefaultParagraphFont"/>
    <w:rsid w:val="0050451E"/>
    <w:rPr>
      <w:vertAlign w:val="superscript"/>
    </w:rPr>
  </w:style>
  <w:style w:type="paragraph" w:customStyle="1" w:styleId="Default">
    <w:name w:val="Default"/>
    <w:rsid w:val="0050451E"/>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8260BF"/>
    <w:rPr>
      <w:rFonts w:ascii="Arial" w:hAnsi="Arial" w:cs="Arial"/>
      <w:sz w:val="22"/>
      <w:szCs w:val="22"/>
    </w:rPr>
  </w:style>
  <w:style w:type="numbering" w:customStyle="1" w:styleId="NoList1">
    <w:name w:val="No List1"/>
    <w:next w:val="NoList"/>
    <w:uiPriority w:val="99"/>
    <w:semiHidden/>
    <w:unhideWhenUsed/>
    <w:rsid w:val="008260BF"/>
  </w:style>
  <w:style w:type="paragraph" w:customStyle="1" w:styleId="A4Body">
    <w:name w:val="A4 Body"/>
    <w:basedOn w:val="Normal"/>
    <w:rsid w:val="008260BF"/>
    <w:pPr>
      <w:suppressAutoHyphens/>
      <w:autoSpaceDE w:val="0"/>
      <w:autoSpaceDN w:val="0"/>
      <w:adjustRightInd w:val="0"/>
      <w:spacing w:after="227" w:line="320" w:lineRule="atLeast"/>
      <w:textAlignment w:val="center"/>
    </w:pPr>
    <w:rPr>
      <w:rFonts w:ascii="ArialMT" w:eastAsia="MS Mincho" w:hAnsi="ArialMT" w:cs="ArialMT"/>
    </w:rPr>
  </w:style>
  <w:style w:type="character" w:customStyle="1" w:styleId="WEBLINK">
    <w:name w:val="WEBLINK"/>
    <w:rsid w:val="008260BF"/>
    <w:rPr>
      <w:u w:val="thick" w:color="000000"/>
    </w:rPr>
  </w:style>
  <w:style w:type="character" w:customStyle="1" w:styleId="Largeprint">
    <w:name w:val="Large print"/>
    <w:rsid w:val="008260BF"/>
    <w:rPr>
      <w:sz w:val="28"/>
      <w:szCs w:val="28"/>
      <w:lang w:val="en-US"/>
    </w:rPr>
  </w:style>
  <w:style w:type="character" w:customStyle="1" w:styleId="BalloonTextChar">
    <w:name w:val="Balloon Text Char"/>
    <w:basedOn w:val="DefaultParagraphFont"/>
    <w:link w:val="BalloonText"/>
    <w:semiHidden/>
    <w:rsid w:val="008260BF"/>
    <w:rPr>
      <w:rFonts w:ascii="Tahoma" w:hAnsi="Tahoma" w:cs="Tahoma"/>
      <w:sz w:val="16"/>
      <w:szCs w:val="16"/>
    </w:rPr>
  </w:style>
  <w:style w:type="character" w:customStyle="1" w:styleId="CommentTextChar">
    <w:name w:val="Comment Text Char"/>
    <w:basedOn w:val="DefaultParagraphFont"/>
    <w:link w:val="CommentText"/>
    <w:rsid w:val="008260BF"/>
  </w:style>
  <w:style w:type="character" w:customStyle="1" w:styleId="FootnoteTextChar">
    <w:name w:val="Footnote Text Char"/>
    <w:basedOn w:val="DefaultParagraphFont"/>
    <w:link w:val="FootnoteText"/>
    <w:rsid w:val="008260BF"/>
  </w:style>
  <w:style w:type="paragraph" w:styleId="TOC1">
    <w:name w:val="toc 1"/>
    <w:basedOn w:val="Normal"/>
    <w:next w:val="Normal"/>
    <w:autoRedefine/>
    <w:uiPriority w:val="39"/>
    <w:qFormat/>
    <w:rsid w:val="00134026"/>
    <w:pPr>
      <w:tabs>
        <w:tab w:val="right" w:leader="dot" w:pos="8296"/>
      </w:tabs>
      <w:spacing w:before="120" w:after="120"/>
    </w:pPr>
    <w:rPr>
      <w:noProof/>
    </w:rPr>
  </w:style>
  <w:style w:type="paragraph" w:styleId="TOC2">
    <w:name w:val="toc 2"/>
    <w:basedOn w:val="Normal"/>
    <w:next w:val="Normal"/>
    <w:autoRedefine/>
    <w:uiPriority w:val="39"/>
    <w:qFormat/>
    <w:rsid w:val="008260BF"/>
    <w:pPr>
      <w:tabs>
        <w:tab w:val="right" w:leader="dot" w:pos="8296"/>
      </w:tabs>
      <w:spacing w:before="120" w:after="120"/>
      <w:ind w:left="238"/>
    </w:pPr>
    <w:rPr>
      <w:noProof/>
    </w:rPr>
  </w:style>
  <w:style w:type="paragraph" w:customStyle="1" w:styleId="StyleBodyTextLeft159cm">
    <w:name w:val="Style Body Text + Left:  1.59 cm"/>
    <w:basedOn w:val="BodyText"/>
    <w:rsid w:val="008260BF"/>
    <w:pPr>
      <w:numPr>
        <w:numId w:val="1"/>
      </w:numPr>
      <w:spacing w:line="320" w:lineRule="exact"/>
    </w:pPr>
    <w:rPr>
      <w:szCs w:val="20"/>
      <w:lang w:val="en-GB"/>
    </w:rPr>
  </w:style>
  <w:style w:type="paragraph" w:styleId="Caption">
    <w:name w:val="caption"/>
    <w:basedOn w:val="Normal"/>
    <w:next w:val="Normal"/>
    <w:uiPriority w:val="35"/>
    <w:qFormat/>
    <w:rsid w:val="008260BF"/>
    <w:pPr>
      <w:keepNext/>
      <w:widowControl/>
    </w:pPr>
    <w:rPr>
      <w:b/>
      <w:bCs/>
    </w:rPr>
  </w:style>
  <w:style w:type="paragraph" w:styleId="TableofFigures">
    <w:name w:val="table of figures"/>
    <w:basedOn w:val="Normal"/>
    <w:next w:val="Normal"/>
    <w:semiHidden/>
    <w:rsid w:val="008260BF"/>
    <w:pPr>
      <w:widowControl/>
    </w:pPr>
  </w:style>
  <w:style w:type="table" w:customStyle="1" w:styleId="TableGrid1">
    <w:name w:val="Table Grid1"/>
    <w:basedOn w:val="TableNormal"/>
    <w:next w:val="TableGrid"/>
    <w:rsid w:val="008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260BF"/>
    <w:rPr>
      <w:b/>
      <w:bCs/>
    </w:rPr>
  </w:style>
  <w:style w:type="character" w:customStyle="1" w:styleId="HeaderChar">
    <w:name w:val="Header Char"/>
    <w:basedOn w:val="DefaultParagraphFont"/>
    <w:link w:val="Header"/>
    <w:rsid w:val="008260BF"/>
    <w:rPr>
      <w:rFonts w:ascii="Frutiger 55 Roman" w:hAnsi="Frutiger 55 Roman"/>
      <w:sz w:val="24"/>
      <w:szCs w:val="24"/>
      <w:lang w:eastAsia="en-US"/>
    </w:rPr>
  </w:style>
  <w:style w:type="character" w:styleId="PageNumber">
    <w:name w:val="page number"/>
    <w:basedOn w:val="DefaultParagraphFont"/>
    <w:rsid w:val="008260BF"/>
  </w:style>
  <w:style w:type="paragraph" w:customStyle="1" w:styleId="tempstyle">
    <w:name w:val="temp style"/>
    <w:basedOn w:val="BodyText"/>
    <w:link w:val="tempstyleChar"/>
    <w:rsid w:val="008260BF"/>
    <w:pPr>
      <w:spacing w:line="320" w:lineRule="exact"/>
    </w:pPr>
    <w:rPr>
      <w:noProof/>
      <w:lang w:val="en-GB"/>
    </w:rPr>
  </w:style>
  <w:style w:type="paragraph" w:styleId="Title">
    <w:name w:val="Title"/>
    <w:basedOn w:val="Normal"/>
    <w:next w:val="Normal"/>
    <w:link w:val="TitleChar"/>
    <w:qFormat/>
    <w:rsid w:val="000C3508"/>
    <w:pPr>
      <w:widowControl/>
    </w:pPr>
    <w:rPr>
      <w:b/>
      <w:color w:val="FFFFFF" w:themeColor="background1"/>
      <w:sz w:val="70"/>
      <w:szCs w:val="70"/>
    </w:rPr>
  </w:style>
  <w:style w:type="character" w:customStyle="1" w:styleId="TitleChar">
    <w:name w:val="Title Char"/>
    <w:basedOn w:val="DefaultParagraphFont"/>
    <w:link w:val="Title"/>
    <w:rsid w:val="000C3508"/>
    <w:rPr>
      <w:rFonts w:ascii="Arial" w:hAnsi="Arial" w:cs="Arial"/>
      <w:b/>
      <w:color w:val="FFFFFF" w:themeColor="background1"/>
      <w:sz w:val="70"/>
      <w:szCs w:val="70"/>
    </w:rPr>
  </w:style>
  <w:style w:type="character" w:customStyle="1" w:styleId="tempstyleChar">
    <w:name w:val="temp style Char"/>
    <w:basedOn w:val="BodyTextChar"/>
    <w:link w:val="tempstyle"/>
    <w:rsid w:val="008260BF"/>
    <w:rPr>
      <w:rFonts w:ascii="Arial" w:hAnsi="Arial" w:cs="Arial"/>
      <w:noProof/>
      <w:color w:val="000000"/>
      <w:sz w:val="24"/>
      <w:szCs w:val="24"/>
      <w:lang w:eastAsia="en-US"/>
    </w:rPr>
  </w:style>
  <w:style w:type="paragraph" w:styleId="Subtitle">
    <w:name w:val="Subtitle"/>
    <w:basedOn w:val="Normal"/>
    <w:next w:val="Normal"/>
    <w:link w:val="SubtitleChar"/>
    <w:qFormat/>
    <w:rsid w:val="008260BF"/>
    <w:pPr>
      <w:widowControl/>
    </w:pPr>
    <w:rPr>
      <w:b/>
      <w:sz w:val="32"/>
      <w:szCs w:val="32"/>
    </w:rPr>
  </w:style>
  <w:style w:type="character" w:customStyle="1" w:styleId="SubtitleChar">
    <w:name w:val="Subtitle Char"/>
    <w:basedOn w:val="DefaultParagraphFont"/>
    <w:link w:val="Subtitle"/>
    <w:rsid w:val="008260BF"/>
    <w:rPr>
      <w:rFonts w:ascii="Arial" w:hAnsi="Arial" w:cs="Arial"/>
      <w:b/>
      <w:sz w:val="32"/>
      <w:szCs w:val="32"/>
    </w:rPr>
  </w:style>
  <w:style w:type="character" w:styleId="Emphasis">
    <w:name w:val="Emphasis"/>
    <w:basedOn w:val="DefaultParagraphFont"/>
    <w:uiPriority w:val="20"/>
    <w:qFormat/>
    <w:rsid w:val="008260BF"/>
    <w:rPr>
      <w:i/>
      <w:iCs/>
    </w:rPr>
  </w:style>
  <w:style w:type="paragraph" w:styleId="TOC3">
    <w:name w:val="toc 3"/>
    <w:basedOn w:val="TOC1"/>
    <w:next w:val="Normal"/>
    <w:autoRedefine/>
    <w:uiPriority w:val="39"/>
    <w:qFormat/>
    <w:rsid w:val="008260BF"/>
    <w:rPr>
      <w:color w:val="91278F"/>
    </w:rPr>
  </w:style>
  <w:style w:type="paragraph" w:customStyle="1" w:styleId="Questiontitle">
    <w:name w:val="Question title"/>
    <w:rsid w:val="008260BF"/>
    <w:pPr>
      <w:keepNext/>
      <w:spacing w:before="240" w:after="120"/>
      <w:outlineLvl w:val="0"/>
    </w:pPr>
    <w:rPr>
      <w:rFonts w:hAnsi="Arial Unicode MS"/>
      <w:b/>
      <w:bCs/>
    </w:rPr>
  </w:style>
  <w:style w:type="paragraph" w:customStyle="1" w:styleId="Questiontext">
    <w:name w:val="Question text"/>
    <w:rsid w:val="008260BF"/>
    <w:pPr>
      <w:spacing w:after="120"/>
    </w:pPr>
    <w:rPr>
      <w:rFonts w:hAnsi="Arial Unicode MS"/>
    </w:rPr>
  </w:style>
  <w:style w:type="paragraph" w:customStyle="1" w:styleId="Instruction">
    <w:name w:val="Instruction"/>
    <w:rsid w:val="008260BF"/>
    <w:pPr>
      <w:keepNext/>
      <w:spacing w:after="120"/>
    </w:pPr>
    <w:rPr>
      <w:rFonts w:hAnsi="Arial Unicode MS"/>
      <w:i/>
      <w:iCs/>
    </w:rPr>
  </w:style>
  <w:style w:type="character" w:customStyle="1" w:styleId="Answertextfont">
    <w:name w:val="Answer text font"/>
    <w:rsid w:val="008260BF"/>
    <w:rPr>
      <w:sz w:val="20"/>
      <w:szCs w:val="20"/>
    </w:rPr>
  </w:style>
  <w:style w:type="numbering" w:customStyle="1" w:styleId="Singlepunch">
    <w:name w:val="Single punch"/>
    <w:rsid w:val="008260BF"/>
    <w:pPr>
      <w:numPr>
        <w:numId w:val="2"/>
      </w:numPr>
    </w:pPr>
  </w:style>
  <w:style w:type="numbering" w:customStyle="1" w:styleId="Multipunch">
    <w:name w:val="Multi punch"/>
    <w:rsid w:val="008260BF"/>
    <w:pPr>
      <w:numPr>
        <w:numId w:val="3"/>
      </w:numPr>
    </w:pPr>
  </w:style>
  <w:style w:type="character" w:customStyle="1" w:styleId="Inlinecode">
    <w:name w:val="Inline code"/>
    <w:basedOn w:val="DefaultParagraphFont"/>
    <w:rsid w:val="008260BF"/>
    <w:rPr>
      <w:sz w:val="16"/>
    </w:rPr>
  </w:style>
  <w:style w:type="paragraph" w:styleId="ListParagraph">
    <w:name w:val="List Paragraph"/>
    <w:basedOn w:val="Normal"/>
    <w:uiPriority w:val="34"/>
    <w:qFormat/>
    <w:rsid w:val="008260BF"/>
    <w:pPr>
      <w:widowControl/>
      <w:ind w:left="720"/>
      <w:contextualSpacing/>
    </w:pPr>
  </w:style>
  <w:style w:type="character" w:customStyle="1" w:styleId="EndnoteTextChar">
    <w:name w:val="Endnote Text Char"/>
    <w:basedOn w:val="DefaultParagraphFont"/>
    <w:link w:val="EndnoteText"/>
    <w:rsid w:val="008260BF"/>
  </w:style>
  <w:style w:type="paragraph" w:styleId="TOCHeading">
    <w:name w:val="TOC Heading"/>
    <w:basedOn w:val="Heading1"/>
    <w:next w:val="Normal"/>
    <w:uiPriority w:val="39"/>
    <w:semiHidden/>
    <w:unhideWhenUsed/>
    <w:qFormat/>
    <w:rsid w:val="008260BF"/>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Heading3-notindexed">
    <w:name w:val="Heading 3 - not indexed"/>
    <w:link w:val="Heading3-notindexedChar"/>
    <w:qFormat/>
    <w:rsid w:val="008260BF"/>
    <w:rPr>
      <w:rFonts w:ascii="Arial" w:hAnsi="Arial" w:cs="Arial"/>
      <w:b/>
      <w:bCs/>
      <w:sz w:val="24"/>
      <w:szCs w:val="26"/>
      <w:lang w:eastAsia="en-US"/>
    </w:rPr>
  </w:style>
  <w:style w:type="character" w:customStyle="1" w:styleId="Heading3-notindexedChar">
    <w:name w:val="Heading 3 - not indexed Char"/>
    <w:basedOn w:val="Heading3Char"/>
    <w:link w:val="Heading3-notindexed"/>
    <w:rsid w:val="008260BF"/>
    <w:rPr>
      <w:rFonts w:ascii="Arial" w:hAnsi="Arial" w:cs="Arial"/>
      <w:b/>
      <w:bCs/>
      <w:sz w:val="24"/>
      <w:szCs w:val="26"/>
      <w:lang w:val="en-GB" w:eastAsia="en-US" w:bidi="ar-SA"/>
    </w:rPr>
  </w:style>
  <w:style w:type="paragraph" w:styleId="NoSpacing">
    <w:name w:val="No Spacing"/>
    <w:uiPriority w:val="1"/>
    <w:qFormat/>
    <w:rsid w:val="00134026"/>
    <w:pPr>
      <w:widowControl w:val="0"/>
    </w:pPr>
    <w:rPr>
      <w:rFonts w:ascii="Arial" w:hAnsi="Arial" w:cs="Arial"/>
      <w:color w:val="000000"/>
      <w:sz w:val="24"/>
      <w:szCs w:val="24"/>
    </w:rPr>
  </w:style>
  <w:style w:type="character" w:styleId="SubtleEmphasis">
    <w:name w:val="Subtle Emphasis"/>
    <w:basedOn w:val="DefaultParagraphFont"/>
    <w:uiPriority w:val="19"/>
    <w:qFormat/>
    <w:rsid w:val="00134026"/>
    <w:rPr>
      <w:i/>
      <w:iCs/>
      <w:color w:val="808080" w:themeColor="text1" w:themeTint="7F"/>
    </w:rPr>
  </w:style>
  <w:style w:type="character" w:styleId="IntenseEmphasis">
    <w:name w:val="Intense Emphasis"/>
    <w:basedOn w:val="DefaultParagraphFont"/>
    <w:uiPriority w:val="21"/>
    <w:qFormat/>
    <w:rsid w:val="00134026"/>
    <w:rPr>
      <w:b/>
      <w:bCs/>
      <w:i/>
      <w:iCs/>
      <w:color w:val="4F81BD" w:themeColor="accent1"/>
    </w:rPr>
  </w:style>
  <w:style w:type="paragraph" w:customStyle="1" w:styleId="StyleHeading2NotItalic">
    <w:name w:val="Style Heading 2 + Not Italic"/>
    <w:basedOn w:val="Heading2"/>
    <w:rsid w:val="005D0859"/>
    <w:pPr>
      <w:numPr>
        <w:ilvl w:val="1"/>
      </w:numPr>
      <w:tabs>
        <w:tab w:val="num" w:pos="576"/>
      </w:tabs>
      <w:ind w:left="576" w:hanging="576"/>
    </w:pPr>
    <w:rPr>
      <w:iCs w:val="0"/>
      <w:color w:val="auto"/>
      <w:sz w:val="24"/>
      <w:szCs w:val="24"/>
    </w:rPr>
  </w:style>
  <w:style w:type="character" w:customStyle="1" w:styleId="apple-converted-space">
    <w:name w:val="apple-converted-space"/>
    <w:basedOn w:val="DefaultParagraphFont"/>
    <w:rsid w:val="00323EBD"/>
  </w:style>
  <w:style w:type="character" w:customStyle="1" w:styleId="legds2">
    <w:name w:val="legds2"/>
    <w:basedOn w:val="DefaultParagraphFont"/>
    <w:rsid w:val="005446EB"/>
    <w:rPr>
      <w:vanish w:val="0"/>
      <w:webHidden w:val="0"/>
      <w:specVanish w:val="0"/>
    </w:rPr>
  </w:style>
  <w:style w:type="paragraph" w:styleId="Revision">
    <w:name w:val="Revision"/>
    <w:hidden/>
    <w:uiPriority w:val="99"/>
    <w:semiHidden/>
    <w:rsid w:val="00ED5571"/>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33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793">
          <w:marLeft w:val="0"/>
          <w:marRight w:val="0"/>
          <w:marTop w:val="0"/>
          <w:marBottom w:val="0"/>
          <w:divBdr>
            <w:top w:val="none" w:sz="0" w:space="0" w:color="auto"/>
            <w:left w:val="none" w:sz="0" w:space="0" w:color="auto"/>
            <w:bottom w:val="none" w:sz="0" w:space="0" w:color="auto"/>
            <w:right w:val="none" w:sz="0" w:space="0" w:color="auto"/>
          </w:divBdr>
        </w:div>
      </w:divsChild>
    </w:div>
    <w:div w:id="98723895">
      <w:bodyDiv w:val="1"/>
      <w:marLeft w:val="0"/>
      <w:marRight w:val="0"/>
      <w:marTop w:val="0"/>
      <w:marBottom w:val="0"/>
      <w:divBdr>
        <w:top w:val="none" w:sz="0" w:space="0" w:color="auto"/>
        <w:left w:val="none" w:sz="0" w:space="0" w:color="auto"/>
        <w:bottom w:val="none" w:sz="0" w:space="0" w:color="auto"/>
        <w:right w:val="none" w:sz="0" w:space="0" w:color="auto"/>
      </w:divBdr>
    </w:div>
    <w:div w:id="178201365">
      <w:bodyDiv w:val="1"/>
      <w:marLeft w:val="0"/>
      <w:marRight w:val="0"/>
      <w:marTop w:val="0"/>
      <w:marBottom w:val="0"/>
      <w:divBdr>
        <w:top w:val="none" w:sz="0" w:space="0" w:color="auto"/>
        <w:left w:val="none" w:sz="0" w:space="0" w:color="auto"/>
        <w:bottom w:val="none" w:sz="0" w:space="0" w:color="auto"/>
        <w:right w:val="none" w:sz="0" w:space="0" w:color="auto"/>
      </w:divBdr>
    </w:div>
    <w:div w:id="336540853">
      <w:bodyDiv w:val="1"/>
      <w:marLeft w:val="0"/>
      <w:marRight w:val="0"/>
      <w:marTop w:val="0"/>
      <w:marBottom w:val="0"/>
      <w:divBdr>
        <w:top w:val="none" w:sz="0" w:space="0" w:color="auto"/>
        <w:left w:val="none" w:sz="0" w:space="0" w:color="auto"/>
        <w:bottom w:val="none" w:sz="0" w:space="0" w:color="auto"/>
        <w:right w:val="none" w:sz="0" w:space="0" w:color="auto"/>
      </w:divBdr>
    </w:div>
    <w:div w:id="391540316">
      <w:bodyDiv w:val="1"/>
      <w:marLeft w:val="0"/>
      <w:marRight w:val="0"/>
      <w:marTop w:val="0"/>
      <w:marBottom w:val="0"/>
      <w:divBdr>
        <w:top w:val="none" w:sz="0" w:space="0" w:color="auto"/>
        <w:left w:val="none" w:sz="0" w:space="0" w:color="auto"/>
        <w:bottom w:val="none" w:sz="0" w:space="0" w:color="auto"/>
        <w:right w:val="none" w:sz="0" w:space="0" w:color="auto"/>
      </w:divBdr>
      <w:divsChild>
        <w:div w:id="76826152">
          <w:marLeft w:val="0"/>
          <w:marRight w:val="0"/>
          <w:marTop w:val="0"/>
          <w:marBottom w:val="150"/>
          <w:divBdr>
            <w:top w:val="none" w:sz="0" w:space="0" w:color="auto"/>
            <w:left w:val="none" w:sz="0" w:space="0" w:color="auto"/>
            <w:bottom w:val="none" w:sz="0" w:space="0" w:color="auto"/>
            <w:right w:val="none" w:sz="0" w:space="0" w:color="auto"/>
          </w:divBdr>
        </w:div>
      </w:divsChild>
    </w:div>
    <w:div w:id="546602877">
      <w:bodyDiv w:val="1"/>
      <w:marLeft w:val="0"/>
      <w:marRight w:val="0"/>
      <w:marTop w:val="0"/>
      <w:marBottom w:val="0"/>
      <w:divBdr>
        <w:top w:val="none" w:sz="0" w:space="0" w:color="auto"/>
        <w:left w:val="none" w:sz="0" w:space="0" w:color="auto"/>
        <w:bottom w:val="none" w:sz="0" w:space="0" w:color="auto"/>
        <w:right w:val="none" w:sz="0" w:space="0" w:color="auto"/>
      </w:divBdr>
    </w:div>
    <w:div w:id="688409426">
      <w:bodyDiv w:val="1"/>
      <w:marLeft w:val="0"/>
      <w:marRight w:val="0"/>
      <w:marTop w:val="0"/>
      <w:marBottom w:val="0"/>
      <w:divBdr>
        <w:top w:val="none" w:sz="0" w:space="0" w:color="auto"/>
        <w:left w:val="none" w:sz="0" w:space="0" w:color="auto"/>
        <w:bottom w:val="none" w:sz="0" w:space="0" w:color="auto"/>
        <w:right w:val="none" w:sz="0" w:space="0" w:color="auto"/>
      </w:divBdr>
    </w:div>
    <w:div w:id="838232960">
      <w:bodyDiv w:val="1"/>
      <w:marLeft w:val="0"/>
      <w:marRight w:val="0"/>
      <w:marTop w:val="0"/>
      <w:marBottom w:val="0"/>
      <w:divBdr>
        <w:top w:val="none" w:sz="0" w:space="0" w:color="auto"/>
        <w:left w:val="none" w:sz="0" w:space="0" w:color="auto"/>
        <w:bottom w:val="none" w:sz="0" w:space="0" w:color="auto"/>
        <w:right w:val="none" w:sz="0" w:space="0" w:color="auto"/>
      </w:divBdr>
    </w:div>
    <w:div w:id="910042347">
      <w:bodyDiv w:val="1"/>
      <w:marLeft w:val="0"/>
      <w:marRight w:val="0"/>
      <w:marTop w:val="0"/>
      <w:marBottom w:val="0"/>
      <w:divBdr>
        <w:top w:val="none" w:sz="0" w:space="0" w:color="auto"/>
        <w:left w:val="none" w:sz="0" w:space="0" w:color="auto"/>
        <w:bottom w:val="none" w:sz="0" w:space="0" w:color="auto"/>
        <w:right w:val="none" w:sz="0" w:space="0" w:color="auto"/>
      </w:divBdr>
    </w:div>
    <w:div w:id="966661427">
      <w:bodyDiv w:val="1"/>
      <w:marLeft w:val="0"/>
      <w:marRight w:val="0"/>
      <w:marTop w:val="0"/>
      <w:marBottom w:val="0"/>
      <w:divBdr>
        <w:top w:val="none" w:sz="0" w:space="0" w:color="auto"/>
        <w:left w:val="none" w:sz="0" w:space="0" w:color="auto"/>
        <w:bottom w:val="none" w:sz="0" w:space="0" w:color="auto"/>
        <w:right w:val="none" w:sz="0" w:space="0" w:color="auto"/>
      </w:divBdr>
    </w:div>
    <w:div w:id="985478097">
      <w:bodyDiv w:val="1"/>
      <w:marLeft w:val="0"/>
      <w:marRight w:val="0"/>
      <w:marTop w:val="0"/>
      <w:marBottom w:val="0"/>
      <w:divBdr>
        <w:top w:val="none" w:sz="0" w:space="0" w:color="auto"/>
        <w:left w:val="none" w:sz="0" w:space="0" w:color="auto"/>
        <w:bottom w:val="none" w:sz="0" w:space="0" w:color="auto"/>
        <w:right w:val="none" w:sz="0" w:space="0" w:color="auto"/>
      </w:divBdr>
    </w:div>
    <w:div w:id="1016464921">
      <w:bodyDiv w:val="1"/>
      <w:marLeft w:val="0"/>
      <w:marRight w:val="0"/>
      <w:marTop w:val="0"/>
      <w:marBottom w:val="0"/>
      <w:divBdr>
        <w:top w:val="none" w:sz="0" w:space="0" w:color="auto"/>
        <w:left w:val="none" w:sz="0" w:space="0" w:color="auto"/>
        <w:bottom w:val="none" w:sz="0" w:space="0" w:color="auto"/>
        <w:right w:val="none" w:sz="0" w:space="0" w:color="auto"/>
      </w:divBdr>
      <w:divsChild>
        <w:div w:id="1027752823">
          <w:marLeft w:val="0"/>
          <w:marRight w:val="0"/>
          <w:marTop w:val="0"/>
          <w:marBottom w:val="0"/>
          <w:divBdr>
            <w:top w:val="none" w:sz="0" w:space="0" w:color="auto"/>
            <w:left w:val="none" w:sz="0" w:space="0" w:color="auto"/>
            <w:bottom w:val="none" w:sz="0" w:space="0" w:color="auto"/>
            <w:right w:val="none" w:sz="0" w:space="0" w:color="auto"/>
          </w:divBdr>
          <w:divsChild>
            <w:div w:id="18971515">
              <w:marLeft w:val="0"/>
              <w:marRight w:val="0"/>
              <w:marTop w:val="0"/>
              <w:marBottom w:val="0"/>
              <w:divBdr>
                <w:top w:val="none" w:sz="0" w:space="0" w:color="auto"/>
                <w:left w:val="none" w:sz="0" w:space="0" w:color="auto"/>
                <w:bottom w:val="none" w:sz="0" w:space="0" w:color="auto"/>
                <w:right w:val="none" w:sz="0" w:space="0" w:color="auto"/>
              </w:divBdr>
              <w:divsChild>
                <w:div w:id="1884754618">
                  <w:marLeft w:val="0"/>
                  <w:marRight w:val="0"/>
                  <w:marTop w:val="0"/>
                  <w:marBottom w:val="0"/>
                  <w:divBdr>
                    <w:top w:val="none" w:sz="0" w:space="0" w:color="auto"/>
                    <w:left w:val="none" w:sz="0" w:space="0" w:color="auto"/>
                    <w:bottom w:val="none" w:sz="0" w:space="0" w:color="auto"/>
                    <w:right w:val="none" w:sz="0" w:space="0" w:color="auto"/>
                  </w:divBdr>
                  <w:divsChild>
                    <w:div w:id="1520853822">
                      <w:marLeft w:val="0"/>
                      <w:marRight w:val="0"/>
                      <w:marTop w:val="0"/>
                      <w:marBottom w:val="0"/>
                      <w:divBdr>
                        <w:top w:val="none" w:sz="0" w:space="0" w:color="auto"/>
                        <w:left w:val="none" w:sz="0" w:space="0" w:color="auto"/>
                        <w:bottom w:val="none" w:sz="0" w:space="0" w:color="000A3C"/>
                        <w:right w:val="none" w:sz="0" w:space="0" w:color="auto"/>
                      </w:divBdr>
                      <w:divsChild>
                        <w:div w:id="443888616">
                          <w:marLeft w:val="0"/>
                          <w:marRight w:val="0"/>
                          <w:marTop w:val="0"/>
                          <w:marBottom w:val="0"/>
                          <w:divBdr>
                            <w:top w:val="none" w:sz="0" w:space="0" w:color="auto"/>
                            <w:left w:val="none" w:sz="0" w:space="0" w:color="auto"/>
                            <w:bottom w:val="none" w:sz="0" w:space="0" w:color="auto"/>
                            <w:right w:val="none" w:sz="0" w:space="0" w:color="auto"/>
                          </w:divBdr>
                          <w:divsChild>
                            <w:div w:id="1961917189">
                              <w:marLeft w:val="0"/>
                              <w:marRight w:val="0"/>
                              <w:marTop w:val="0"/>
                              <w:marBottom w:val="0"/>
                              <w:divBdr>
                                <w:top w:val="none" w:sz="0" w:space="0" w:color="auto"/>
                                <w:left w:val="none" w:sz="0" w:space="0" w:color="auto"/>
                                <w:bottom w:val="none" w:sz="0" w:space="0" w:color="auto"/>
                                <w:right w:val="none" w:sz="0" w:space="0" w:color="auto"/>
                              </w:divBdr>
                              <w:divsChild>
                                <w:div w:id="319894301">
                                  <w:marLeft w:val="0"/>
                                  <w:marRight w:val="0"/>
                                  <w:marTop w:val="0"/>
                                  <w:marBottom w:val="0"/>
                                  <w:divBdr>
                                    <w:top w:val="none" w:sz="0" w:space="0" w:color="auto"/>
                                    <w:left w:val="none" w:sz="0" w:space="0" w:color="auto"/>
                                    <w:bottom w:val="none" w:sz="0" w:space="0" w:color="auto"/>
                                    <w:right w:val="none" w:sz="0" w:space="0" w:color="auto"/>
                                  </w:divBdr>
                                  <w:divsChild>
                                    <w:div w:id="13144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220583">
      <w:bodyDiv w:val="1"/>
      <w:marLeft w:val="0"/>
      <w:marRight w:val="0"/>
      <w:marTop w:val="0"/>
      <w:marBottom w:val="0"/>
      <w:divBdr>
        <w:top w:val="none" w:sz="0" w:space="0" w:color="auto"/>
        <w:left w:val="none" w:sz="0" w:space="0" w:color="auto"/>
        <w:bottom w:val="none" w:sz="0" w:space="0" w:color="auto"/>
        <w:right w:val="none" w:sz="0" w:space="0" w:color="auto"/>
      </w:divBdr>
    </w:div>
    <w:div w:id="1060789975">
      <w:bodyDiv w:val="1"/>
      <w:marLeft w:val="0"/>
      <w:marRight w:val="0"/>
      <w:marTop w:val="0"/>
      <w:marBottom w:val="0"/>
      <w:divBdr>
        <w:top w:val="none" w:sz="0" w:space="0" w:color="auto"/>
        <w:left w:val="none" w:sz="0" w:space="0" w:color="auto"/>
        <w:bottom w:val="none" w:sz="0" w:space="0" w:color="auto"/>
        <w:right w:val="none" w:sz="0" w:space="0" w:color="auto"/>
      </w:divBdr>
    </w:div>
    <w:div w:id="1092043278">
      <w:bodyDiv w:val="1"/>
      <w:marLeft w:val="0"/>
      <w:marRight w:val="0"/>
      <w:marTop w:val="0"/>
      <w:marBottom w:val="0"/>
      <w:divBdr>
        <w:top w:val="none" w:sz="0" w:space="0" w:color="auto"/>
        <w:left w:val="none" w:sz="0" w:space="0" w:color="auto"/>
        <w:bottom w:val="none" w:sz="0" w:space="0" w:color="auto"/>
        <w:right w:val="none" w:sz="0" w:space="0" w:color="auto"/>
      </w:divBdr>
    </w:div>
    <w:div w:id="1100953509">
      <w:bodyDiv w:val="1"/>
      <w:marLeft w:val="0"/>
      <w:marRight w:val="0"/>
      <w:marTop w:val="0"/>
      <w:marBottom w:val="0"/>
      <w:divBdr>
        <w:top w:val="none" w:sz="0" w:space="0" w:color="auto"/>
        <w:left w:val="none" w:sz="0" w:space="0" w:color="auto"/>
        <w:bottom w:val="none" w:sz="0" w:space="0" w:color="auto"/>
        <w:right w:val="none" w:sz="0" w:space="0" w:color="auto"/>
      </w:divBdr>
    </w:div>
    <w:div w:id="1128160815">
      <w:bodyDiv w:val="1"/>
      <w:marLeft w:val="0"/>
      <w:marRight w:val="0"/>
      <w:marTop w:val="0"/>
      <w:marBottom w:val="0"/>
      <w:divBdr>
        <w:top w:val="none" w:sz="0" w:space="0" w:color="auto"/>
        <w:left w:val="none" w:sz="0" w:space="0" w:color="auto"/>
        <w:bottom w:val="none" w:sz="0" w:space="0" w:color="auto"/>
        <w:right w:val="none" w:sz="0" w:space="0" w:color="auto"/>
      </w:divBdr>
      <w:divsChild>
        <w:div w:id="2014137618">
          <w:marLeft w:val="0"/>
          <w:marRight w:val="0"/>
          <w:marTop w:val="0"/>
          <w:marBottom w:val="0"/>
          <w:divBdr>
            <w:top w:val="none" w:sz="0" w:space="0" w:color="auto"/>
            <w:left w:val="none" w:sz="0" w:space="0" w:color="auto"/>
            <w:bottom w:val="none" w:sz="0" w:space="0" w:color="auto"/>
            <w:right w:val="none" w:sz="0" w:space="0" w:color="auto"/>
          </w:divBdr>
        </w:div>
      </w:divsChild>
    </w:div>
    <w:div w:id="1147011973">
      <w:bodyDiv w:val="1"/>
      <w:marLeft w:val="0"/>
      <w:marRight w:val="0"/>
      <w:marTop w:val="0"/>
      <w:marBottom w:val="0"/>
      <w:divBdr>
        <w:top w:val="none" w:sz="0" w:space="0" w:color="auto"/>
        <w:left w:val="none" w:sz="0" w:space="0" w:color="auto"/>
        <w:bottom w:val="none" w:sz="0" w:space="0" w:color="auto"/>
        <w:right w:val="none" w:sz="0" w:space="0" w:color="auto"/>
      </w:divBdr>
    </w:div>
    <w:div w:id="1161699318">
      <w:bodyDiv w:val="1"/>
      <w:marLeft w:val="0"/>
      <w:marRight w:val="0"/>
      <w:marTop w:val="0"/>
      <w:marBottom w:val="0"/>
      <w:divBdr>
        <w:top w:val="none" w:sz="0" w:space="0" w:color="auto"/>
        <w:left w:val="none" w:sz="0" w:space="0" w:color="auto"/>
        <w:bottom w:val="none" w:sz="0" w:space="0" w:color="auto"/>
        <w:right w:val="none" w:sz="0" w:space="0" w:color="auto"/>
      </w:divBdr>
    </w:div>
    <w:div w:id="1287082900">
      <w:bodyDiv w:val="1"/>
      <w:marLeft w:val="0"/>
      <w:marRight w:val="0"/>
      <w:marTop w:val="0"/>
      <w:marBottom w:val="0"/>
      <w:divBdr>
        <w:top w:val="none" w:sz="0" w:space="0" w:color="auto"/>
        <w:left w:val="none" w:sz="0" w:space="0" w:color="auto"/>
        <w:bottom w:val="none" w:sz="0" w:space="0" w:color="auto"/>
        <w:right w:val="none" w:sz="0" w:space="0" w:color="auto"/>
      </w:divBdr>
    </w:div>
    <w:div w:id="1355225512">
      <w:bodyDiv w:val="1"/>
      <w:marLeft w:val="0"/>
      <w:marRight w:val="0"/>
      <w:marTop w:val="0"/>
      <w:marBottom w:val="0"/>
      <w:divBdr>
        <w:top w:val="none" w:sz="0" w:space="0" w:color="auto"/>
        <w:left w:val="none" w:sz="0" w:space="0" w:color="auto"/>
        <w:bottom w:val="none" w:sz="0" w:space="0" w:color="auto"/>
        <w:right w:val="none" w:sz="0" w:space="0" w:color="auto"/>
      </w:divBdr>
      <w:divsChild>
        <w:div w:id="416832177">
          <w:marLeft w:val="0"/>
          <w:marRight w:val="0"/>
          <w:marTop w:val="0"/>
          <w:marBottom w:val="0"/>
          <w:divBdr>
            <w:top w:val="none" w:sz="0" w:space="0" w:color="auto"/>
            <w:left w:val="none" w:sz="0" w:space="0" w:color="auto"/>
            <w:bottom w:val="none" w:sz="0" w:space="0" w:color="auto"/>
            <w:right w:val="none" w:sz="0" w:space="0" w:color="auto"/>
          </w:divBdr>
        </w:div>
      </w:divsChild>
    </w:div>
    <w:div w:id="1575386381">
      <w:bodyDiv w:val="1"/>
      <w:marLeft w:val="0"/>
      <w:marRight w:val="0"/>
      <w:marTop w:val="0"/>
      <w:marBottom w:val="0"/>
      <w:divBdr>
        <w:top w:val="none" w:sz="0" w:space="0" w:color="auto"/>
        <w:left w:val="none" w:sz="0" w:space="0" w:color="auto"/>
        <w:bottom w:val="none" w:sz="0" w:space="0" w:color="auto"/>
        <w:right w:val="none" w:sz="0" w:space="0" w:color="auto"/>
      </w:divBdr>
    </w:div>
    <w:div w:id="1689285435">
      <w:bodyDiv w:val="1"/>
      <w:marLeft w:val="0"/>
      <w:marRight w:val="0"/>
      <w:marTop w:val="0"/>
      <w:marBottom w:val="0"/>
      <w:divBdr>
        <w:top w:val="none" w:sz="0" w:space="0" w:color="auto"/>
        <w:left w:val="none" w:sz="0" w:space="0" w:color="auto"/>
        <w:bottom w:val="none" w:sz="0" w:space="0" w:color="auto"/>
        <w:right w:val="none" w:sz="0" w:space="0" w:color="auto"/>
      </w:divBdr>
    </w:div>
    <w:div w:id="1766995443">
      <w:bodyDiv w:val="1"/>
      <w:marLeft w:val="0"/>
      <w:marRight w:val="0"/>
      <w:marTop w:val="0"/>
      <w:marBottom w:val="0"/>
      <w:divBdr>
        <w:top w:val="none" w:sz="0" w:space="0" w:color="auto"/>
        <w:left w:val="none" w:sz="0" w:space="0" w:color="auto"/>
        <w:bottom w:val="none" w:sz="0" w:space="0" w:color="auto"/>
        <w:right w:val="none" w:sz="0" w:space="0" w:color="auto"/>
      </w:divBdr>
    </w:div>
    <w:div w:id="1895046486">
      <w:bodyDiv w:val="1"/>
      <w:marLeft w:val="0"/>
      <w:marRight w:val="0"/>
      <w:marTop w:val="0"/>
      <w:marBottom w:val="0"/>
      <w:divBdr>
        <w:top w:val="none" w:sz="0" w:space="0" w:color="auto"/>
        <w:left w:val="none" w:sz="0" w:space="0" w:color="auto"/>
        <w:bottom w:val="none" w:sz="0" w:space="0" w:color="auto"/>
        <w:right w:val="none" w:sz="0" w:space="0" w:color="auto"/>
      </w:divBdr>
    </w:div>
    <w:div w:id="1940332146">
      <w:bodyDiv w:val="1"/>
      <w:marLeft w:val="0"/>
      <w:marRight w:val="0"/>
      <w:marTop w:val="0"/>
      <w:marBottom w:val="0"/>
      <w:divBdr>
        <w:top w:val="none" w:sz="0" w:space="0" w:color="auto"/>
        <w:left w:val="none" w:sz="0" w:space="0" w:color="auto"/>
        <w:bottom w:val="none" w:sz="0" w:space="0" w:color="auto"/>
        <w:right w:val="none" w:sz="0" w:space="0" w:color="auto"/>
      </w:divBdr>
    </w:div>
    <w:div w:id="1957984702">
      <w:bodyDiv w:val="1"/>
      <w:marLeft w:val="0"/>
      <w:marRight w:val="0"/>
      <w:marTop w:val="0"/>
      <w:marBottom w:val="0"/>
      <w:divBdr>
        <w:top w:val="none" w:sz="0" w:space="0" w:color="auto"/>
        <w:left w:val="none" w:sz="0" w:space="0" w:color="auto"/>
        <w:bottom w:val="none" w:sz="0" w:space="0" w:color="auto"/>
        <w:right w:val="none" w:sz="0" w:space="0" w:color="auto"/>
      </w:divBdr>
    </w:div>
    <w:div w:id="1969117841">
      <w:bodyDiv w:val="1"/>
      <w:marLeft w:val="0"/>
      <w:marRight w:val="0"/>
      <w:marTop w:val="0"/>
      <w:marBottom w:val="0"/>
      <w:divBdr>
        <w:top w:val="none" w:sz="0" w:space="0" w:color="auto"/>
        <w:left w:val="none" w:sz="0" w:space="0" w:color="auto"/>
        <w:bottom w:val="none" w:sz="0" w:space="0" w:color="auto"/>
        <w:right w:val="none" w:sz="0" w:space="0" w:color="auto"/>
      </w:divBdr>
    </w:div>
    <w:div w:id="1982030816">
      <w:bodyDiv w:val="1"/>
      <w:marLeft w:val="0"/>
      <w:marRight w:val="0"/>
      <w:marTop w:val="0"/>
      <w:marBottom w:val="0"/>
      <w:divBdr>
        <w:top w:val="none" w:sz="0" w:space="0" w:color="auto"/>
        <w:left w:val="none" w:sz="0" w:space="0" w:color="auto"/>
        <w:bottom w:val="none" w:sz="0" w:space="0" w:color="auto"/>
        <w:right w:val="none" w:sz="0" w:space="0" w:color="auto"/>
      </w:divBdr>
      <w:divsChild>
        <w:div w:id="1939750903">
          <w:marLeft w:val="225"/>
          <w:marRight w:val="225"/>
          <w:marTop w:val="0"/>
          <w:marBottom w:val="0"/>
          <w:divBdr>
            <w:top w:val="none" w:sz="0" w:space="0" w:color="auto"/>
            <w:left w:val="none" w:sz="0" w:space="0" w:color="auto"/>
            <w:bottom w:val="none" w:sz="0" w:space="0" w:color="auto"/>
            <w:right w:val="none" w:sz="0" w:space="0" w:color="auto"/>
          </w:divBdr>
          <w:divsChild>
            <w:div w:id="2130583794">
              <w:marLeft w:val="0"/>
              <w:marRight w:val="0"/>
              <w:marTop w:val="0"/>
              <w:marBottom w:val="0"/>
              <w:divBdr>
                <w:top w:val="none" w:sz="0" w:space="0" w:color="auto"/>
                <w:left w:val="none" w:sz="0" w:space="0" w:color="auto"/>
                <w:bottom w:val="none" w:sz="0" w:space="0" w:color="auto"/>
                <w:right w:val="none" w:sz="0" w:space="0" w:color="auto"/>
              </w:divBdr>
              <w:divsChild>
                <w:div w:id="1655331913">
                  <w:marLeft w:val="0"/>
                  <w:marRight w:val="0"/>
                  <w:marTop w:val="0"/>
                  <w:marBottom w:val="0"/>
                  <w:divBdr>
                    <w:top w:val="none" w:sz="0" w:space="0" w:color="auto"/>
                    <w:left w:val="none" w:sz="0" w:space="0" w:color="auto"/>
                    <w:bottom w:val="none" w:sz="0" w:space="0" w:color="auto"/>
                    <w:right w:val="none" w:sz="0" w:space="0" w:color="auto"/>
                  </w:divBdr>
                  <w:divsChild>
                    <w:div w:id="701592163">
                      <w:marLeft w:val="0"/>
                      <w:marRight w:val="0"/>
                      <w:marTop w:val="0"/>
                      <w:marBottom w:val="0"/>
                      <w:divBdr>
                        <w:top w:val="none" w:sz="0" w:space="0" w:color="auto"/>
                        <w:left w:val="none" w:sz="0" w:space="0" w:color="auto"/>
                        <w:bottom w:val="none" w:sz="0" w:space="0" w:color="auto"/>
                        <w:right w:val="none" w:sz="0" w:space="0" w:color="auto"/>
                      </w:divBdr>
                      <w:divsChild>
                        <w:div w:id="1356348882">
                          <w:marLeft w:val="2925"/>
                          <w:marRight w:val="0"/>
                          <w:marTop w:val="0"/>
                          <w:marBottom w:val="0"/>
                          <w:divBdr>
                            <w:top w:val="none" w:sz="0" w:space="0" w:color="auto"/>
                            <w:left w:val="none" w:sz="0" w:space="0" w:color="auto"/>
                            <w:bottom w:val="none" w:sz="0" w:space="0" w:color="auto"/>
                            <w:right w:val="none" w:sz="0" w:space="0" w:color="auto"/>
                          </w:divBdr>
                          <w:divsChild>
                            <w:div w:id="784814164">
                              <w:marLeft w:val="192"/>
                              <w:marRight w:val="192"/>
                              <w:marTop w:val="192"/>
                              <w:marBottom w:val="192"/>
                              <w:divBdr>
                                <w:top w:val="single" w:sz="6" w:space="12" w:color="CCCCCC"/>
                                <w:left w:val="single" w:sz="6" w:space="12" w:color="CCCCCC"/>
                                <w:bottom w:val="single" w:sz="6" w:space="12" w:color="CCCCCC"/>
                                <w:right w:val="single" w:sz="6" w:space="12" w:color="CCCCCC"/>
                              </w:divBdr>
                              <w:divsChild>
                                <w:div w:id="804547462">
                                  <w:marLeft w:val="0"/>
                                  <w:marRight w:val="0"/>
                                  <w:marTop w:val="0"/>
                                  <w:marBottom w:val="0"/>
                                  <w:divBdr>
                                    <w:top w:val="none" w:sz="0" w:space="0" w:color="auto"/>
                                    <w:left w:val="none" w:sz="0" w:space="0" w:color="auto"/>
                                    <w:bottom w:val="none" w:sz="0" w:space="0" w:color="auto"/>
                                    <w:right w:val="none" w:sz="0" w:space="0" w:color="auto"/>
                                  </w:divBdr>
                                  <w:divsChild>
                                    <w:div w:id="638997758">
                                      <w:marLeft w:val="0"/>
                                      <w:marRight w:val="0"/>
                                      <w:marTop w:val="0"/>
                                      <w:marBottom w:val="0"/>
                                      <w:divBdr>
                                        <w:top w:val="none" w:sz="0" w:space="0" w:color="auto"/>
                                        <w:left w:val="none" w:sz="0" w:space="0" w:color="auto"/>
                                        <w:bottom w:val="none" w:sz="0" w:space="0" w:color="auto"/>
                                        <w:right w:val="none" w:sz="0" w:space="0" w:color="auto"/>
                                      </w:divBdr>
                                      <w:divsChild>
                                        <w:div w:id="1851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290364">
      <w:bodyDiv w:val="1"/>
      <w:marLeft w:val="0"/>
      <w:marRight w:val="0"/>
      <w:marTop w:val="0"/>
      <w:marBottom w:val="0"/>
      <w:divBdr>
        <w:top w:val="none" w:sz="0" w:space="0" w:color="auto"/>
        <w:left w:val="none" w:sz="0" w:space="0" w:color="auto"/>
        <w:bottom w:val="none" w:sz="0" w:space="0" w:color="auto"/>
        <w:right w:val="none" w:sz="0" w:space="0" w:color="auto"/>
      </w:divBdr>
    </w:div>
    <w:div w:id="2003925615">
      <w:bodyDiv w:val="1"/>
      <w:marLeft w:val="0"/>
      <w:marRight w:val="0"/>
      <w:marTop w:val="0"/>
      <w:marBottom w:val="0"/>
      <w:divBdr>
        <w:top w:val="none" w:sz="0" w:space="0" w:color="auto"/>
        <w:left w:val="none" w:sz="0" w:space="0" w:color="auto"/>
        <w:bottom w:val="none" w:sz="0" w:space="0" w:color="auto"/>
        <w:right w:val="none" w:sz="0" w:space="0" w:color="auto"/>
      </w:divBdr>
    </w:div>
    <w:div w:id="2079594654">
      <w:bodyDiv w:val="1"/>
      <w:marLeft w:val="0"/>
      <w:marRight w:val="0"/>
      <w:marTop w:val="0"/>
      <w:marBottom w:val="0"/>
      <w:divBdr>
        <w:top w:val="none" w:sz="0" w:space="0" w:color="auto"/>
        <w:left w:val="none" w:sz="0" w:space="0" w:color="auto"/>
        <w:bottom w:val="none" w:sz="0" w:space="0" w:color="auto"/>
        <w:right w:val="none" w:sz="0" w:space="0" w:color="auto"/>
      </w:divBdr>
    </w:div>
    <w:div w:id="2092001503">
      <w:bodyDiv w:val="1"/>
      <w:marLeft w:val="0"/>
      <w:marRight w:val="0"/>
      <w:marTop w:val="0"/>
      <w:marBottom w:val="0"/>
      <w:divBdr>
        <w:top w:val="none" w:sz="0" w:space="0" w:color="auto"/>
        <w:left w:val="none" w:sz="0" w:space="0" w:color="auto"/>
        <w:bottom w:val="none" w:sz="0" w:space="0" w:color="auto"/>
        <w:right w:val="none" w:sz="0" w:space="0" w:color="auto"/>
      </w:divBdr>
      <w:divsChild>
        <w:div w:id="30967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chemas.opendata.esd.org.uk/LandAssets" TargetMode="External"/><Relationship Id="rId26" Type="http://schemas.openxmlformats.org/officeDocument/2006/relationships/hyperlink" Target="http://en.wikipedia.org/wiki/WGS84" TargetMode="External"/><Relationship Id="rId39" Type="http://schemas.openxmlformats.org/officeDocument/2006/relationships/hyperlink" Target="http://www.local.gov.uk/practitioners-guides-to-publishing-data" TargetMode="External"/><Relationship Id="rId21" Type="http://schemas.openxmlformats.org/officeDocument/2006/relationships/hyperlink" Target="http://uris.opendata.esd.org.uk/" TargetMode="External"/><Relationship Id="rId34" Type="http://schemas.openxmlformats.org/officeDocument/2006/relationships/hyperlink" Target="http://www.cipfa.org/services/benchmarking/vfm-indicators/estates-management" TargetMode="External"/><Relationship Id="rId42" Type="http://schemas.openxmlformats.org/officeDocument/2006/relationships/hyperlink" Target="http://tinyurl.com/www-local-gov-inspire" TargetMode="External"/><Relationship Id="rId47" Type="http://schemas.openxmlformats.org/officeDocument/2006/relationships/hyperlink" Target="http://schemas.opendata.esd.org.uk/LandAssets" TargetMode="External"/><Relationship Id="rId50" Type="http://schemas.openxmlformats.org/officeDocument/2006/relationships/hyperlink" Target="http://tinyurl.com/onsgeog" TargetMode="External"/><Relationship Id="rId55" Type="http://schemas.openxmlformats.org/officeDocument/2006/relationships/hyperlink" Target="http://id.esd.org.uk/list/functions" TargetMode="External"/><Relationship Id="rId63" Type="http://schemas.openxmlformats.org/officeDocument/2006/relationships/hyperlink" Target="http://www.croydon.gov.uk/contents/departments/transportandstreets/pdf/tma-account12-13.pdf" TargetMode="External"/><Relationship Id="rId68" Type="http://schemas.openxmlformats.org/officeDocument/2006/relationships/hyperlink" Target="http://www.local.gov.uk"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gov.uk/government/publications/local-government-transparency-code-2015" TargetMode="External"/><Relationship Id="rId29" Type="http://schemas.openxmlformats.org/officeDocument/2006/relationships/hyperlink" Target="http://standards.esd.org.uk/?uri=list%2Ffun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lpg.org.uk/nlpg/document.htm?targ=1260" TargetMode="External"/><Relationship Id="rId32" Type="http://schemas.openxmlformats.org/officeDocument/2006/relationships/hyperlink" Target="http://id.esd.org.uk/list/services" TargetMode="External"/><Relationship Id="rId37" Type="http://schemas.openxmlformats.org/officeDocument/2006/relationships/hyperlink" Target="http://www.local.gov.uk/productivity/-/journal_content/56/10180/3932538/ARTICLE" TargetMode="External"/><Relationship Id="rId40" Type="http://schemas.openxmlformats.org/officeDocument/2006/relationships/hyperlink" Target="http://data.gov.uk/" TargetMode="External"/><Relationship Id="rId45" Type="http://schemas.openxmlformats.org/officeDocument/2006/relationships/image" Target="media/image4.png"/><Relationship Id="rId53" Type="http://schemas.openxmlformats.org/officeDocument/2006/relationships/hyperlink" Target="http://www.ordnancesurvey.co.uk/business-and-government/help-and-support/public-sector/guidance/derived-data-exemptions.html" TargetMode="External"/><Relationship Id="rId58" Type="http://schemas.openxmlformats.org/officeDocument/2006/relationships/hyperlink" Target="http://opendatacommunities.org/data/local-authorities" TargetMode="External"/><Relationship Id="rId66"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tatistics.data.gov.uk/id/statistical-geography/E07000188" TargetMode="External"/><Relationship Id="rId28" Type="http://schemas.openxmlformats.org/officeDocument/2006/relationships/hyperlink" Target="http://standards.esd.org.uk" TargetMode="External"/><Relationship Id="rId36" Type="http://schemas.openxmlformats.org/officeDocument/2006/relationships/hyperlink" Target="https://www.ndepcregister.com/home.html" TargetMode="External"/><Relationship Id="rId49" Type="http://schemas.openxmlformats.org/officeDocument/2006/relationships/hyperlink" Target="http://opendatacommunities.org/data/local-authorities" TargetMode="External"/><Relationship Id="rId57" Type="http://schemas.openxmlformats.org/officeDocument/2006/relationships/hyperlink" Target="http://uris.opendata.esd.org.uk/" TargetMode="External"/><Relationship Id="rId61" Type="http://schemas.openxmlformats.org/officeDocument/2006/relationships/hyperlink" Target="http://maps.bristol.gov.uk/assetinformation/" TargetMode="External"/><Relationship Id="rId10" Type="http://schemas.openxmlformats.org/officeDocument/2006/relationships/footnotes" Target="footnotes.xml"/><Relationship Id="rId19" Type="http://schemas.openxmlformats.org/officeDocument/2006/relationships/hyperlink" Target="http://opendatacommunities.org/data/local-authorities" TargetMode="External"/><Relationship Id="rId31" Type="http://schemas.openxmlformats.org/officeDocument/2006/relationships/hyperlink" Target="http://standards.esd.org.uk/?uri=list%2FenglishAndWelshServices" TargetMode="External"/><Relationship Id="rId44" Type="http://schemas.openxmlformats.org/officeDocument/2006/relationships/image" Target="media/image3.png"/><Relationship Id="rId52" Type="http://schemas.openxmlformats.org/officeDocument/2006/relationships/hyperlink" Target="http://en.wikipedia.org/wiki/Ordnance_Survey_National_Grid" TargetMode="External"/><Relationship Id="rId60" Type="http://schemas.openxmlformats.org/officeDocument/2006/relationships/hyperlink" Target="https://www.essex.gov.uk/your-council/council-property/Pages/Council-Property.aspx" TargetMode="External"/><Relationship Id="rId65" Type="http://schemas.openxmlformats.org/officeDocument/2006/relationships/hyperlink" Target="http://www.northdevon.gov.uk/index/lgcl_transport_and_streets/lgcl_motor_vehicles_roads_and_parking/lgcl_parking/north_devon_annual_parking_report_2012_2013.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opendatacommunities.org/id/district-council/sedgemoor" TargetMode="External"/><Relationship Id="rId27" Type="http://schemas.openxmlformats.org/officeDocument/2006/relationships/hyperlink" Target="http://en.wikipedia.org/wiki/Ordnance_Survey_National_Grid" TargetMode="External"/><Relationship Id="rId30" Type="http://schemas.openxmlformats.org/officeDocument/2006/relationships/hyperlink" Target="http://id.esd.org.uk/list/functions" TargetMode="External"/><Relationship Id="rId35" Type="http://schemas.openxmlformats.org/officeDocument/2006/relationships/hyperlink" Target="https://www.gov.uk/government/uploads/system/uploads/attachment_data/file/307557/Accessing_register_data_under_the_EP_of_Buildings_regulations_2012.pdf" TargetMode="External"/><Relationship Id="rId43" Type="http://schemas.openxmlformats.org/officeDocument/2006/relationships/hyperlink" Target="http://www.ordnancesurvey.co.uk/business-and-government/help-and-support/public-sector/guidance/index.html" TargetMode="External"/><Relationship Id="rId48" Type="http://schemas.openxmlformats.org/officeDocument/2006/relationships/hyperlink" Target="http://uris.opendata.esd.org.uk/" TargetMode="External"/><Relationship Id="rId56" Type="http://schemas.openxmlformats.org/officeDocument/2006/relationships/hyperlink" Target="http://www.cipfa.org/services/benchmarking/vfm-indicators/estates-management" TargetMode="External"/><Relationship Id="rId64" Type="http://schemas.openxmlformats.org/officeDocument/2006/relationships/hyperlink" Target="http://www.bristol.gov.uk/page/transport-and-streets/parking-policies-and-reports"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en.wikipedia.org/wiki/WGS84"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local.gov.uk/productivity/-/journal_content/56/10180/3932538/ARTICLE" TargetMode="External"/><Relationship Id="rId25" Type="http://schemas.openxmlformats.org/officeDocument/2006/relationships/hyperlink" Target="http://www.iso.org/iso/iso_catalogue/catalogue_tc/catalogue_detail.htm?csnumber=39242" TargetMode="External"/><Relationship Id="rId33" Type="http://schemas.openxmlformats.org/officeDocument/2006/relationships/hyperlink" Target="http://id.esd.org.uk/function/105" TargetMode="External"/><Relationship Id="rId38" Type="http://schemas.openxmlformats.org/officeDocument/2006/relationships/hyperlink" Target="https://www.epims.ogc.gov.uk/ProgrammeHub/public/e-PIMS_-_FAQs_when_engaging_with_LAs.docx?id=63426f0b-3ee0-4239-a644-8d55b027820e" TargetMode="External"/><Relationship Id="rId46" Type="http://schemas.openxmlformats.org/officeDocument/2006/relationships/footer" Target="footer2.xml"/><Relationship Id="rId59" Type="http://schemas.openxmlformats.org/officeDocument/2006/relationships/hyperlink" Target="http://tinyurl.com/onsgeog" TargetMode="External"/><Relationship Id="rId67" Type="http://schemas.openxmlformats.org/officeDocument/2006/relationships/hyperlink" Target="mailto:info@lga.gov.uk" TargetMode="External"/><Relationship Id="rId20" Type="http://schemas.openxmlformats.org/officeDocument/2006/relationships/hyperlink" Target="http://tinyurl.com/onsgeog" TargetMode="External"/><Relationship Id="rId41" Type="http://schemas.openxmlformats.org/officeDocument/2006/relationships/hyperlink" Target="http://data.gov.uk/location/inspire" TargetMode="External"/><Relationship Id="rId54" Type="http://schemas.openxmlformats.org/officeDocument/2006/relationships/hyperlink" Target="http://id.esd.org.uk/list/functions" TargetMode="External"/><Relationship Id="rId62" Type="http://schemas.openxmlformats.org/officeDocument/2006/relationships/hyperlink" Target="http://gis.richmond.gov.uk/WebMap/counciLLand.aspx?basemap=google"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rdnancesurvey.co.uk/oswebsite/public-sector/mapping-agreement/index.html" TargetMode="External"/><Relationship Id="rId13" Type="http://schemas.openxmlformats.org/officeDocument/2006/relationships/hyperlink" Target="https://www.gov.uk/government/uploads/system/uploads/attachment_data/file/212559/parkingenforcepolicy.pdf" TargetMode="External"/><Relationship Id="rId3" Type="http://schemas.openxmlformats.org/officeDocument/2006/relationships/hyperlink" Target="http://www.cpni.gov.uk/about/cni/" TargetMode="External"/><Relationship Id="rId7" Type="http://schemas.openxmlformats.org/officeDocument/2006/relationships/hyperlink" Target="http://www.scotland.gov.uk/Resource/Doc/217736/0121532.pdf" TargetMode="External"/><Relationship Id="rId12" Type="http://schemas.openxmlformats.org/officeDocument/2006/relationships/hyperlink" Target="https://www.gov.uk/government/uploads/system/uploads/attachment_data/file/5939/1825886.pdf" TargetMode="External"/><Relationship Id="rId2" Type="http://schemas.openxmlformats.org/officeDocument/2006/relationships/hyperlink" Target="https://www.gov.uk/start-a-public-service-mutual-the-process" TargetMode="External"/><Relationship Id="rId1" Type="http://schemas.openxmlformats.org/officeDocument/2006/relationships/hyperlink" Target="https://www.gov.uk/government/publications/local-government-transparency-code-2014" TargetMode="External"/><Relationship Id="rId6" Type="http://schemas.openxmlformats.org/officeDocument/2006/relationships/hyperlink" Target="http://www.nlpg.org.uk" TargetMode="External"/><Relationship Id="rId11" Type="http://schemas.openxmlformats.org/officeDocument/2006/relationships/hyperlink" Target="https://www.nomisweb.co.uk/census/2011/qs402ew" TargetMode="External"/><Relationship Id="rId5" Type="http://schemas.openxmlformats.org/officeDocument/2006/relationships/hyperlink" Target="http://www.local.gov.uk/practitioners-guides-to-publishing-data" TargetMode="External"/><Relationship Id="rId15" Type="http://schemas.openxmlformats.org/officeDocument/2006/relationships/hyperlink" Target="http://www.scotland.gov.uk/Resource/Doc/217736/0121532.pdf" TargetMode="External"/><Relationship Id="rId10" Type="http://schemas.openxmlformats.org/officeDocument/2006/relationships/hyperlink" Target="https://www.gov.uk/government/publications/the-housing-revenue-account-directions-2011" TargetMode="External"/><Relationship Id="rId4" Type="http://schemas.openxmlformats.org/officeDocument/2006/relationships/hyperlink" Target="https://www.gov.uk/government/uploads/system/uploads/attachment_data/file/62504/strategic-framework.pdf" TargetMode="External"/><Relationship Id="rId9" Type="http://schemas.openxmlformats.org/officeDocument/2006/relationships/hyperlink" Target="http://www.ordnancesurvey.co.uk/about/governance/policies/addressbase-uprn.html" TargetMode="External"/><Relationship Id="rId14" Type="http://schemas.openxmlformats.org/officeDocument/2006/relationships/hyperlink" Target="https://www.gov.uk/government/uploads/system/uploads/attachment_data/file/360713/Local_Government_Transparency_Code_2014__-_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rary%20Internet%20Files\OLK3E\conferen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12030BC-F2BD-4DD8-A263-F988CEABB925}">
  <ds:schemaRefs>
    <ds:schemaRef ds:uri="a2450aae-1d20-4711-921f-ba4e3dc97b4d"/>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71CC24D7-6745-4721-B1F1-AB1BF29EED9D}">
  <ds:schemaRefs>
    <ds:schemaRef ds:uri="http://schemas.microsoft.com/sharepoint/v3/contenttype/forms"/>
  </ds:schemaRefs>
</ds:datastoreItem>
</file>

<file path=customXml/itemProps3.xml><?xml version="1.0" encoding="utf-8"?>
<ds:datastoreItem xmlns:ds="http://schemas.openxmlformats.org/officeDocument/2006/customXml" ds:itemID="{839237DC-D4C9-45D0-A9B5-73C1F0C1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C5CC5-D04F-4286-A5E8-0BA7211B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template</Template>
  <TotalTime>11</TotalTime>
  <Pages>44</Pages>
  <Words>9773</Words>
  <Characters>60827</Characters>
  <Application>Microsoft Office Word</Application>
  <DocSecurity>0</DocSecurity>
  <Lines>506</Lines>
  <Paragraphs>140</Paragraphs>
  <ScaleCrop>false</ScaleCrop>
  <HeadingPairs>
    <vt:vector size="2" baseType="variant">
      <vt:variant>
        <vt:lpstr>Title</vt:lpstr>
      </vt:variant>
      <vt:variant>
        <vt:i4>1</vt:i4>
      </vt:variant>
    </vt:vector>
  </HeadingPairs>
  <TitlesOfParts>
    <vt:vector size="1" baseType="lpstr">
      <vt:lpstr>Report word template</vt:lpstr>
    </vt:vector>
  </TitlesOfParts>
  <Company>Asset Graphics</Company>
  <LinksUpToDate>false</LinksUpToDate>
  <CharactersWithSpaces>70460</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5111842</vt:i4>
      </vt:variant>
      <vt:variant>
        <vt:i4>0</vt:i4>
      </vt:variant>
      <vt:variant>
        <vt:i4>0</vt:i4>
      </vt:variant>
      <vt:variant>
        <vt:i4>5</vt:i4>
      </vt:variant>
      <vt:variant>
        <vt:lpwstr>mailto:info@lga.gov.uk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word template</dc:title>
  <dc:creator>LGA</dc:creator>
  <cp:lastModifiedBy>matthew.vincent</cp:lastModifiedBy>
  <cp:revision>4</cp:revision>
  <cp:lastPrinted>2015-06-05T14:15:00Z</cp:lastPrinted>
  <dcterms:created xsi:type="dcterms:W3CDTF">2015-06-05T14:02:00Z</dcterms:created>
  <dcterms:modified xsi:type="dcterms:W3CDTF">2015-06-05T14:15:00Z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2011-10-21T00:00:00Z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Anna Morrell</vt:lpwstr>
  </property>
  <property fmtid="{D5CDD505-2E9C-101B-9397-08002B2CF9AE}" pid="7" name="DC.creator">
    <vt:lpwstr>Marketing</vt:lpwstr>
  </property>
  <property fmtid="{D5CDD505-2E9C-101B-9397-08002B2CF9AE}" pid="8" name="Date">
    <vt:lpwstr>2011-10-21T00:00:00Z</vt:lpwstr>
  </property>
  <property fmtid="{D5CDD505-2E9C-101B-9397-08002B2CF9AE}" pid="9" name="DC.Language">
    <vt:lpwstr>eng</vt:lpwstr>
  </property>
  <property fmtid="{D5CDD505-2E9C-101B-9397-08002B2CF9AE}" pid="10" name="Work area">
    <vt:lpwstr/>
  </property>
  <property fmtid="{D5CDD505-2E9C-101B-9397-08002B2CF9AE}" pid="11" name="DC.Description">
    <vt:lpwstr/>
  </property>
  <property fmtid="{D5CDD505-2E9C-101B-9397-08002B2CF9AE}" pid="12" name="DC.Type">
    <vt:lpwstr/>
  </property>
  <property fmtid="{D5CDD505-2E9C-101B-9397-08002B2CF9AE}" pid="13" name="e-GMS.subject.keyword">
    <vt:lpwstr/>
  </property>
  <property fmtid="{D5CDD505-2E9C-101B-9397-08002B2CF9AE}" pid="14" name="ContentTypeId">
    <vt:lpwstr>0x010100EA92B86869201A47A543F6D87CFC688C00782A79939181BF4380D2C19791EBF7D8</vt:lpwstr>
  </property>
</Properties>
</file>