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24E" w:rsidRDefault="00714BB9" w:rsidP="0098232D">
      <w:pPr>
        <w:pBdr>
          <w:bottom w:val="single" w:sz="12" w:space="1" w:color="auto"/>
        </w:pBdr>
        <w:spacing w:after="0"/>
        <w:rPr>
          <w:b/>
        </w:rPr>
      </w:pPr>
      <w:r>
        <w:rPr>
          <w:b/>
          <w:noProof/>
          <w:lang w:eastAsia="en-GB"/>
        </w:rPr>
        <w:drawing>
          <wp:inline distT="0" distB="0" distL="0" distR="0">
            <wp:extent cx="12763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T.png"/>
                    <pic:cNvPicPr/>
                  </pic:nvPicPr>
                  <pic:blipFill>
                    <a:blip r:embed="rId9">
                      <a:extLst>
                        <a:ext uri="{28A0092B-C50C-407E-A947-70E740481C1C}">
                          <a14:useLocalDpi xmlns:a14="http://schemas.microsoft.com/office/drawing/2010/main" val="0"/>
                        </a:ext>
                      </a:extLst>
                    </a:blip>
                    <a:stretch>
                      <a:fillRect/>
                    </a:stretch>
                  </pic:blipFill>
                  <pic:spPr>
                    <a:xfrm>
                      <a:off x="0" y="0"/>
                      <a:ext cx="1276350" cy="638175"/>
                    </a:xfrm>
                    <a:prstGeom prst="rect">
                      <a:avLst/>
                    </a:prstGeom>
                  </pic:spPr>
                </pic:pic>
              </a:graphicData>
            </a:graphic>
          </wp:inline>
        </w:drawing>
      </w:r>
    </w:p>
    <w:p w:rsidR="00293993" w:rsidRDefault="00293993" w:rsidP="0098232D">
      <w:pPr>
        <w:pBdr>
          <w:bottom w:val="single" w:sz="12" w:space="1" w:color="auto"/>
        </w:pBdr>
        <w:spacing w:after="0"/>
        <w:rPr>
          <w:b/>
        </w:rPr>
      </w:pPr>
    </w:p>
    <w:p w:rsidR="00C0324E" w:rsidRPr="00793EA2" w:rsidRDefault="00C0324E" w:rsidP="00C0324E">
      <w:pPr>
        <w:pStyle w:val="NoSpacing"/>
      </w:pPr>
    </w:p>
    <w:p w:rsidR="00C0324E" w:rsidRPr="00793EA2" w:rsidRDefault="00C0324E" w:rsidP="00C0324E">
      <w:pPr>
        <w:pStyle w:val="NoSpacing"/>
        <w:rPr>
          <w:color w:val="FF0000"/>
        </w:rPr>
      </w:pPr>
      <w:r w:rsidRPr="00793EA2">
        <w:t xml:space="preserve">Title:  </w:t>
      </w:r>
      <w:r w:rsidRPr="00793EA2">
        <w:tab/>
      </w:r>
      <w:r w:rsidRPr="00793EA2">
        <w:tab/>
      </w:r>
      <w:r w:rsidRPr="00793EA2">
        <w:rPr>
          <w:b/>
        </w:rPr>
        <w:t>Needs &amp; Redistribution Technical Working Group</w:t>
      </w:r>
    </w:p>
    <w:p w:rsidR="00C0324E" w:rsidRPr="00793EA2" w:rsidRDefault="00C0324E" w:rsidP="00C0324E">
      <w:pPr>
        <w:pStyle w:val="NoSpacing"/>
      </w:pPr>
    </w:p>
    <w:p w:rsidR="00C0324E" w:rsidRPr="00793EA2" w:rsidRDefault="00C0324E" w:rsidP="00C0324E">
      <w:pPr>
        <w:spacing w:after="0"/>
        <w:ind w:left="1440" w:hanging="1440"/>
        <w:rPr>
          <w:rFonts w:ascii="Arial" w:hAnsi="Arial" w:cs="Arial"/>
          <w:b/>
          <w:sz w:val="24"/>
          <w:szCs w:val="24"/>
        </w:rPr>
      </w:pPr>
      <w:r w:rsidRPr="00793EA2">
        <w:rPr>
          <w:rFonts w:ascii="Arial" w:hAnsi="Arial" w:cs="Arial"/>
          <w:sz w:val="24"/>
          <w:szCs w:val="24"/>
        </w:rPr>
        <w:t>Paper:</w:t>
      </w:r>
      <w:r w:rsidRPr="00793EA2">
        <w:rPr>
          <w:rFonts w:ascii="Arial" w:hAnsi="Arial" w:cs="Arial"/>
          <w:sz w:val="24"/>
          <w:szCs w:val="24"/>
        </w:rPr>
        <w:tab/>
      </w:r>
      <w:r w:rsidRPr="005E5536">
        <w:rPr>
          <w:rFonts w:ascii="Arial" w:hAnsi="Arial" w:cs="Arial"/>
          <w:b/>
          <w:sz w:val="24"/>
          <w:szCs w:val="24"/>
        </w:rPr>
        <w:t xml:space="preserve">NR TWG </w:t>
      </w:r>
      <w:r w:rsidR="00293993">
        <w:rPr>
          <w:rFonts w:ascii="Arial" w:hAnsi="Arial" w:cs="Arial"/>
          <w:b/>
          <w:sz w:val="24"/>
          <w:szCs w:val="24"/>
        </w:rPr>
        <w:t>16/</w:t>
      </w:r>
      <w:r w:rsidR="008060D1">
        <w:rPr>
          <w:rFonts w:ascii="Arial" w:hAnsi="Arial" w:cs="Arial"/>
          <w:b/>
          <w:sz w:val="24"/>
          <w:szCs w:val="24"/>
        </w:rPr>
        <w:t>2</w:t>
      </w:r>
      <w:r w:rsidR="00303584">
        <w:rPr>
          <w:rFonts w:ascii="Arial" w:hAnsi="Arial" w:cs="Arial"/>
          <w:b/>
          <w:sz w:val="24"/>
          <w:szCs w:val="24"/>
        </w:rPr>
        <w:t>3</w:t>
      </w:r>
      <w:r w:rsidRPr="005E5536">
        <w:rPr>
          <w:rFonts w:ascii="Arial" w:hAnsi="Arial" w:cs="Arial"/>
          <w:b/>
          <w:sz w:val="24"/>
          <w:szCs w:val="24"/>
        </w:rPr>
        <w:t xml:space="preserve"> – </w:t>
      </w:r>
      <w:r w:rsidR="00714BB9">
        <w:rPr>
          <w:rFonts w:ascii="Arial" w:hAnsi="Arial" w:cs="Arial"/>
          <w:b/>
          <w:sz w:val="24"/>
          <w:szCs w:val="24"/>
        </w:rPr>
        <w:t>Transport cost drivers</w:t>
      </w:r>
    </w:p>
    <w:p w:rsidR="00C0324E" w:rsidRDefault="00C0324E" w:rsidP="00C0324E">
      <w:pPr>
        <w:pStyle w:val="NoSpacing"/>
      </w:pPr>
    </w:p>
    <w:p w:rsidR="00C0324E" w:rsidRPr="00793EA2" w:rsidRDefault="00C0324E" w:rsidP="00C0324E">
      <w:pPr>
        <w:pStyle w:val="NoSpacing"/>
        <w:rPr>
          <w:b/>
        </w:rPr>
      </w:pPr>
      <w:r w:rsidRPr="00793EA2">
        <w:t xml:space="preserve">Date: </w:t>
      </w:r>
      <w:r w:rsidRPr="00793EA2">
        <w:tab/>
      </w:r>
      <w:r w:rsidRPr="00793EA2">
        <w:tab/>
      </w:r>
      <w:r w:rsidR="00293993">
        <w:rPr>
          <w:b/>
        </w:rPr>
        <w:t xml:space="preserve">Thursday </w:t>
      </w:r>
      <w:r w:rsidR="00DC48EA">
        <w:rPr>
          <w:b/>
        </w:rPr>
        <w:t>10</w:t>
      </w:r>
      <w:r w:rsidR="00DC48EA" w:rsidRPr="00DC48EA">
        <w:rPr>
          <w:b/>
          <w:vertAlign w:val="superscript"/>
        </w:rPr>
        <w:t>th</w:t>
      </w:r>
      <w:r w:rsidR="00DC48EA">
        <w:rPr>
          <w:b/>
        </w:rPr>
        <w:t xml:space="preserve"> November 2016</w:t>
      </w:r>
      <w:r w:rsidR="00293993">
        <w:rPr>
          <w:b/>
        </w:rPr>
        <w:t xml:space="preserve"> (12:30pm)</w:t>
      </w:r>
    </w:p>
    <w:p w:rsidR="00C0324E" w:rsidRPr="00793EA2" w:rsidRDefault="00C0324E" w:rsidP="00C0324E">
      <w:pPr>
        <w:pStyle w:val="NoSpacing"/>
        <w:rPr>
          <w:color w:val="FF0000"/>
        </w:rPr>
      </w:pPr>
    </w:p>
    <w:p w:rsidR="00C0324E" w:rsidRPr="00793EA2" w:rsidRDefault="00C0324E" w:rsidP="00C0324E">
      <w:pPr>
        <w:pStyle w:val="NoSpacing"/>
        <w:pBdr>
          <w:bottom w:val="single" w:sz="12" w:space="1" w:color="auto"/>
        </w:pBdr>
        <w:ind w:left="1440" w:hanging="1440"/>
        <w:rPr>
          <w:b/>
        </w:rPr>
      </w:pPr>
      <w:r w:rsidRPr="00793EA2">
        <w:t xml:space="preserve">Venue: </w:t>
      </w:r>
      <w:r w:rsidRPr="00793EA2">
        <w:tab/>
      </w:r>
      <w:r w:rsidR="00293993">
        <w:rPr>
          <w:b/>
        </w:rPr>
        <w:t xml:space="preserve">DCLG - 2 </w:t>
      </w:r>
      <w:proofErr w:type="spellStart"/>
      <w:r w:rsidR="00293993">
        <w:rPr>
          <w:b/>
        </w:rPr>
        <w:t>Marsham</w:t>
      </w:r>
      <w:proofErr w:type="spellEnd"/>
      <w:r w:rsidR="00293993">
        <w:rPr>
          <w:b/>
        </w:rPr>
        <w:t xml:space="preserve"> Street - Fry Building - 4th Floor </w:t>
      </w:r>
      <w:r w:rsidR="00DC48EA">
        <w:rPr>
          <w:b/>
        </w:rPr>
        <w:t>-</w:t>
      </w:r>
      <w:r w:rsidR="00293993">
        <w:rPr>
          <w:b/>
        </w:rPr>
        <w:t xml:space="preserve"> Room</w:t>
      </w:r>
      <w:r w:rsidR="00DC48EA">
        <w:rPr>
          <w:b/>
        </w:rPr>
        <w:t xml:space="preserve"> 4C</w:t>
      </w:r>
    </w:p>
    <w:p w:rsidR="008958F8" w:rsidRDefault="008958F8" w:rsidP="008958F8">
      <w:pPr>
        <w:spacing w:line="256" w:lineRule="auto"/>
        <w:ind w:left="344" w:hanging="10"/>
        <w:rPr>
          <w:rFonts w:ascii="Arial" w:hAnsi="Arial" w:cs="Arial"/>
          <w:b/>
        </w:rPr>
      </w:pPr>
    </w:p>
    <w:p w:rsidR="00030848" w:rsidRPr="00714BB9" w:rsidRDefault="00030848" w:rsidP="00030848">
      <w:pPr>
        <w:spacing w:line="256" w:lineRule="auto"/>
        <w:ind w:left="344" w:hanging="10"/>
        <w:rPr>
          <w:rFonts w:ascii="Arial" w:hAnsi="Arial" w:cs="Arial"/>
        </w:rPr>
      </w:pPr>
      <w:r w:rsidRPr="00714BB9">
        <w:rPr>
          <w:rFonts w:ascii="Arial" w:hAnsi="Arial" w:cs="Arial"/>
          <w:b/>
        </w:rPr>
        <w:t>POLICY DEVELOPMENT: NOT A STATEMENT OF GOVERNMENT POLICY</w:t>
      </w:r>
      <w:r w:rsidRPr="00714BB9">
        <w:rPr>
          <w:rFonts w:ascii="Arial" w:hAnsi="Arial" w:cs="Arial"/>
        </w:rPr>
        <w:t xml:space="preserve"> </w:t>
      </w:r>
    </w:p>
    <w:p w:rsidR="00714BB9" w:rsidRPr="00714BB9" w:rsidRDefault="00714BB9" w:rsidP="00714BB9">
      <w:pPr>
        <w:rPr>
          <w:rFonts w:ascii="Arial" w:hAnsi="Arial" w:cs="Arial"/>
          <w:b/>
        </w:rPr>
      </w:pPr>
      <w:bookmarkStart w:id="0" w:name="_GoBack"/>
      <w:bookmarkEnd w:id="0"/>
    </w:p>
    <w:p w:rsidR="00714BB9" w:rsidRPr="00714BB9" w:rsidRDefault="00714BB9" w:rsidP="00714BB9">
      <w:pPr>
        <w:rPr>
          <w:rFonts w:ascii="Arial" w:hAnsi="Arial" w:cs="Arial"/>
          <w:b/>
        </w:rPr>
      </w:pPr>
      <w:r w:rsidRPr="00714BB9">
        <w:rPr>
          <w:rFonts w:ascii="Arial" w:hAnsi="Arial" w:cs="Arial"/>
          <w:b/>
        </w:rPr>
        <w:t>Local Authorities Transport Spend</w:t>
      </w:r>
    </w:p>
    <w:p w:rsidR="00714BB9" w:rsidRPr="00714BB9" w:rsidRDefault="00714BB9" w:rsidP="00714BB9">
      <w:pPr>
        <w:rPr>
          <w:rFonts w:ascii="Arial" w:hAnsi="Arial" w:cs="Arial"/>
        </w:rPr>
      </w:pPr>
      <w:r w:rsidRPr="00714BB9">
        <w:rPr>
          <w:rFonts w:ascii="Arial" w:hAnsi="Arial" w:cs="Arial"/>
        </w:rPr>
        <w:t>While local transport spend covers a number of different areas and this can vary from authority to authority depending on local circumstances, there are three principal areas of (revenue) spend undertaken by local authorities. These are:</w:t>
      </w:r>
    </w:p>
    <w:p w:rsidR="00714BB9" w:rsidRPr="00714BB9" w:rsidRDefault="00714BB9" w:rsidP="00714BB9">
      <w:pPr>
        <w:pStyle w:val="ListParagraph"/>
        <w:numPr>
          <w:ilvl w:val="0"/>
          <w:numId w:val="23"/>
        </w:numPr>
        <w:spacing w:after="0" w:line="259" w:lineRule="auto"/>
        <w:rPr>
          <w:rFonts w:ascii="Arial" w:hAnsi="Arial" w:cs="Arial"/>
        </w:rPr>
      </w:pPr>
      <w:r w:rsidRPr="00714BB9">
        <w:rPr>
          <w:rFonts w:ascii="Arial" w:hAnsi="Arial" w:cs="Arial"/>
        </w:rPr>
        <w:t>Routine highways maintenance</w:t>
      </w:r>
    </w:p>
    <w:p w:rsidR="00714BB9" w:rsidRPr="00714BB9" w:rsidRDefault="00714BB9" w:rsidP="00714BB9">
      <w:pPr>
        <w:pStyle w:val="ListParagraph"/>
        <w:numPr>
          <w:ilvl w:val="0"/>
          <w:numId w:val="23"/>
        </w:numPr>
        <w:spacing w:after="0" w:line="259" w:lineRule="auto"/>
        <w:rPr>
          <w:rFonts w:ascii="Arial" w:hAnsi="Arial" w:cs="Arial"/>
        </w:rPr>
      </w:pPr>
      <w:r w:rsidRPr="00714BB9">
        <w:rPr>
          <w:rFonts w:ascii="Arial" w:hAnsi="Arial" w:cs="Arial"/>
        </w:rPr>
        <w:t>Supporting bus services</w:t>
      </w:r>
    </w:p>
    <w:p w:rsidR="00714BB9" w:rsidRPr="00714BB9" w:rsidRDefault="00714BB9" w:rsidP="00714BB9">
      <w:pPr>
        <w:pStyle w:val="ListParagraph"/>
        <w:numPr>
          <w:ilvl w:val="0"/>
          <w:numId w:val="23"/>
        </w:numPr>
        <w:spacing w:after="0" w:line="259" w:lineRule="auto"/>
        <w:rPr>
          <w:rFonts w:ascii="Arial" w:hAnsi="Arial" w:cs="Arial"/>
        </w:rPr>
      </w:pPr>
      <w:r w:rsidRPr="00714BB9">
        <w:rPr>
          <w:rFonts w:ascii="Arial" w:hAnsi="Arial" w:cs="Arial"/>
        </w:rPr>
        <w:t>Concessionary bus travel (reimbursement)</w:t>
      </w:r>
    </w:p>
    <w:p w:rsidR="00714BB9" w:rsidRDefault="00714BB9" w:rsidP="00714BB9">
      <w:pPr>
        <w:rPr>
          <w:rFonts w:ascii="Arial" w:hAnsi="Arial" w:cs="Arial"/>
        </w:rPr>
      </w:pPr>
    </w:p>
    <w:p w:rsidR="00714BB9" w:rsidRPr="00714BB9" w:rsidRDefault="00714BB9" w:rsidP="00714BB9">
      <w:pPr>
        <w:rPr>
          <w:rFonts w:ascii="Arial" w:hAnsi="Arial" w:cs="Arial"/>
          <w:b/>
        </w:rPr>
      </w:pPr>
      <w:r w:rsidRPr="00714BB9">
        <w:rPr>
          <w:rFonts w:ascii="Arial" w:hAnsi="Arial" w:cs="Arial"/>
          <w:b/>
        </w:rPr>
        <w:t>Routine highways maintenance</w:t>
      </w:r>
    </w:p>
    <w:p w:rsidR="00714BB9" w:rsidRPr="00714BB9" w:rsidRDefault="00714BB9" w:rsidP="00714BB9">
      <w:pPr>
        <w:rPr>
          <w:rFonts w:ascii="Arial" w:hAnsi="Arial" w:cs="Arial"/>
        </w:rPr>
      </w:pPr>
      <w:r w:rsidRPr="00714BB9">
        <w:rPr>
          <w:rFonts w:ascii="Arial" w:hAnsi="Arial" w:cs="Arial"/>
        </w:rPr>
        <w:t xml:space="preserve">Routine highways maintenance </w:t>
      </w:r>
      <w:proofErr w:type="gramStart"/>
      <w:r w:rsidRPr="00714BB9">
        <w:rPr>
          <w:rFonts w:ascii="Arial" w:hAnsi="Arial" w:cs="Arial"/>
        </w:rPr>
        <w:t>spend</w:t>
      </w:r>
      <w:proofErr w:type="gramEnd"/>
      <w:r w:rsidRPr="00714BB9">
        <w:rPr>
          <w:rFonts w:ascii="Arial" w:hAnsi="Arial" w:cs="Arial"/>
        </w:rPr>
        <w:t xml:space="preserve"> covers activities such as vegetation cutting, drain and gulley cleaning and minor, temporary repairs to carriageway surfaces. It also covers winter maintenance </w:t>
      </w:r>
      <w:proofErr w:type="spellStart"/>
      <w:r w:rsidRPr="00714BB9">
        <w:rPr>
          <w:rFonts w:ascii="Arial" w:hAnsi="Arial" w:cs="Arial"/>
        </w:rPr>
        <w:t>eg</w:t>
      </w:r>
      <w:proofErr w:type="spellEnd"/>
      <w:r w:rsidRPr="00714BB9">
        <w:rPr>
          <w:rFonts w:ascii="Arial" w:hAnsi="Arial" w:cs="Arial"/>
        </w:rPr>
        <w:t xml:space="preserve"> road salt and the operation of gritting machines.</w:t>
      </w:r>
    </w:p>
    <w:p w:rsidR="00714BB9" w:rsidRDefault="00714BB9" w:rsidP="00714BB9">
      <w:pPr>
        <w:rPr>
          <w:rFonts w:ascii="Arial" w:hAnsi="Arial" w:cs="Arial"/>
        </w:rPr>
      </w:pPr>
      <w:r w:rsidRPr="00714BB9">
        <w:rPr>
          <w:rFonts w:ascii="Arial" w:hAnsi="Arial" w:cs="Arial"/>
        </w:rPr>
        <w:t xml:space="preserve">The 2013-14 relative needs formula looks at road length, usage and winter maintenance. The full formula is given at Annex A </w:t>
      </w:r>
    </w:p>
    <w:p w:rsidR="00714BB9" w:rsidRPr="00714BB9" w:rsidRDefault="00714BB9" w:rsidP="00714BB9">
      <w:pPr>
        <w:rPr>
          <w:rFonts w:ascii="Arial" w:hAnsi="Arial" w:cs="Arial"/>
        </w:rPr>
      </w:pPr>
      <w:r w:rsidRPr="00714BB9">
        <w:rPr>
          <w:rFonts w:ascii="Arial" w:hAnsi="Arial" w:cs="Arial"/>
        </w:rPr>
        <w:t>We believe the principal cost drivers for routine highways maintenance are:</w:t>
      </w:r>
    </w:p>
    <w:p w:rsidR="00714BB9" w:rsidRPr="00714BB9" w:rsidRDefault="00714BB9" w:rsidP="00714BB9">
      <w:pPr>
        <w:pStyle w:val="ListParagraph"/>
        <w:numPr>
          <w:ilvl w:val="0"/>
          <w:numId w:val="24"/>
        </w:numPr>
        <w:spacing w:after="0" w:line="259" w:lineRule="auto"/>
        <w:rPr>
          <w:rFonts w:ascii="Arial" w:hAnsi="Arial" w:cs="Arial"/>
        </w:rPr>
      </w:pPr>
      <w:r w:rsidRPr="00714BB9">
        <w:rPr>
          <w:rFonts w:ascii="Arial" w:hAnsi="Arial" w:cs="Arial"/>
        </w:rPr>
        <w:t>The cost of oil</w:t>
      </w:r>
    </w:p>
    <w:p w:rsidR="00714BB9" w:rsidRPr="00714BB9" w:rsidRDefault="00714BB9" w:rsidP="00714BB9">
      <w:pPr>
        <w:pStyle w:val="ListParagraph"/>
        <w:numPr>
          <w:ilvl w:val="0"/>
          <w:numId w:val="24"/>
        </w:numPr>
        <w:spacing w:after="0" w:line="259" w:lineRule="auto"/>
        <w:rPr>
          <w:rFonts w:ascii="Arial" w:hAnsi="Arial" w:cs="Arial"/>
        </w:rPr>
      </w:pPr>
      <w:r w:rsidRPr="00714BB9">
        <w:rPr>
          <w:rFonts w:ascii="Arial" w:hAnsi="Arial" w:cs="Arial"/>
        </w:rPr>
        <w:t>Wages</w:t>
      </w:r>
    </w:p>
    <w:p w:rsidR="00714BB9" w:rsidRPr="00714BB9" w:rsidRDefault="00714BB9" w:rsidP="00714BB9">
      <w:pPr>
        <w:pStyle w:val="ListParagraph"/>
        <w:numPr>
          <w:ilvl w:val="0"/>
          <w:numId w:val="24"/>
        </w:numPr>
        <w:spacing w:after="0" w:line="259" w:lineRule="auto"/>
        <w:rPr>
          <w:rFonts w:ascii="Arial" w:hAnsi="Arial" w:cs="Arial"/>
        </w:rPr>
      </w:pPr>
      <w:r w:rsidRPr="00714BB9">
        <w:rPr>
          <w:rFonts w:ascii="Arial" w:hAnsi="Arial" w:cs="Arial"/>
        </w:rPr>
        <w:t>Cost of aggregates</w:t>
      </w:r>
    </w:p>
    <w:p w:rsidR="00714BB9" w:rsidRPr="00714BB9" w:rsidRDefault="00714BB9" w:rsidP="00714BB9">
      <w:pPr>
        <w:pStyle w:val="ListParagraph"/>
        <w:numPr>
          <w:ilvl w:val="0"/>
          <w:numId w:val="24"/>
        </w:numPr>
        <w:spacing w:after="0" w:line="259" w:lineRule="auto"/>
        <w:rPr>
          <w:rFonts w:ascii="Arial" w:hAnsi="Arial" w:cs="Arial"/>
        </w:rPr>
      </w:pPr>
      <w:r w:rsidRPr="00714BB9">
        <w:rPr>
          <w:rFonts w:ascii="Arial" w:hAnsi="Arial" w:cs="Arial"/>
        </w:rPr>
        <w:t>Weather (snow days/forecast snow days)</w:t>
      </w:r>
    </w:p>
    <w:p w:rsidR="00714BB9" w:rsidRPr="00714BB9" w:rsidRDefault="00714BB9" w:rsidP="00714BB9">
      <w:pPr>
        <w:rPr>
          <w:rFonts w:ascii="Arial" w:hAnsi="Arial" w:cs="Arial"/>
          <w:b/>
        </w:rPr>
      </w:pPr>
    </w:p>
    <w:p w:rsidR="00714BB9" w:rsidRPr="00714BB9" w:rsidRDefault="00714BB9" w:rsidP="00714BB9">
      <w:pPr>
        <w:rPr>
          <w:rFonts w:ascii="Arial" w:hAnsi="Arial" w:cs="Arial"/>
          <w:b/>
        </w:rPr>
      </w:pPr>
      <w:r w:rsidRPr="00714BB9">
        <w:rPr>
          <w:rFonts w:ascii="Arial" w:hAnsi="Arial" w:cs="Arial"/>
        </w:rPr>
        <w:t xml:space="preserve">A relationship exists between the amount of capital and revenue expenditure on highways maintenance and an optimum balance does exist. In recognising this relationship there may need to be some way in which the revenue formula (element of highways maintenance) can reflect varying levels of capital grant/ investment. </w:t>
      </w:r>
    </w:p>
    <w:p w:rsidR="00714BB9" w:rsidRDefault="00714BB9" w:rsidP="00714BB9">
      <w:pPr>
        <w:rPr>
          <w:rFonts w:ascii="Arial" w:hAnsi="Arial" w:cs="Arial"/>
          <w:b/>
        </w:rPr>
      </w:pPr>
    </w:p>
    <w:p w:rsidR="00714BB9" w:rsidRPr="00714BB9" w:rsidRDefault="00714BB9" w:rsidP="00714BB9">
      <w:pPr>
        <w:rPr>
          <w:rFonts w:ascii="Arial" w:hAnsi="Arial" w:cs="Arial"/>
          <w:b/>
        </w:rPr>
      </w:pPr>
      <w:r w:rsidRPr="00714BB9">
        <w:rPr>
          <w:rFonts w:ascii="Arial" w:hAnsi="Arial" w:cs="Arial"/>
          <w:b/>
        </w:rPr>
        <w:t>Supporting bus services</w:t>
      </w:r>
    </w:p>
    <w:p w:rsidR="00714BB9" w:rsidRPr="00714BB9" w:rsidRDefault="00714BB9" w:rsidP="00714BB9">
      <w:pPr>
        <w:rPr>
          <w:rFonts w:ascii="Arial" w:hAnsi="Arial" w:cs="Arial"/>
        </w:rPr>
      </w:pPr>
      <w:r w:rsidRPr="00714BB9">
        <w:rPr>
          <w:rFonts w:ascii="Arial" w:hAnsi="Arial" w:cs="Arial"/>
        </w:rPr>
        <w:t xml:space="preserve">Outside of London the bus market is deregulated and the vast majority of services are operated on a commercial basis. Bus operators determine their own routes, set the level of fares and take the fare-box.  Local authorities then commission and pay for ‘socially necessary’ services to ‘plug the gaps’ in the network/timetable. These socially necessary services are likely to be </w:t>
      </w:r>
      <w:proofErr w:type="spellStart"/>
      <w:r w:rsidRPr="00714BB9">
        <w:rPr>
          <w:rFonts w:ascii="Arial" w:hAnsi="Arial" w:cs="Arial"/>
        </w:rPr>
        <w:t>uncommercial</w:t>
      </w:r>
      <w:proofErr w:type="spellEnd"/>
      <w:r w:rsidRPr="00714BB9">
        <w:rPr>
          <w:rFonts w:ascii="Arial" w:hAnsi="Arial" w:cs="Arial"/>
        </w:rPr>
        <w:t xml:space="preserve"> rural services, late night services, extension of commercial routes from town centres to other services </w:t>
      </w:r>
      <w:proofErr w:type="spellStart"/>
      <w:r w:rsidRPr="00714BB9">
        <w:rPr>
          <w:rFonts w:ascii="Arial" w:hAnsi="Arial" w:cs="Arial"/>
        </w:rPr>
        <w:t>eg</w:t>
      </w:r>
      <w:proofErr w:type="spellEnd"/>
      <w:r w:rsidRPr="00714BB9">
        <w:rPr>
          <w:rFonts w:ascii="Arial" w:hAnsi="Arial" w:cs="Arial"/>
        </w:rPr>
        <w:t xml:space="preserve"> hospital, school, etc. Local authorities have a duty to consider providing these services under the Transport Act 1985.</w:t>
      </w:r>
    </w:p>
    <w:p w:rsidR="00714BB9" w:rsidRPr="00714BB9" w:rsidRDefault="00714BB9" w:rsidP="00714BB9">
      <w:pPr>
        <w:rPr>
          <w:rFonts w:ascii="Arial" w:hAnsi="Arial" w:cs="Arial"/>
        </w:rPr>
      </w:pPr>
      <w:r w:rsidRPr="00714BB9">
        <w:rPr>
          <w:rFonts w:ascii="Arial" w:hAnsi="Arial" w:cs="Arial"/>
        </w:rPr>
        <w:t xml:space="preserve">Bus support is one of the services included in the 2013-14 County-Level Environmental, Protective and Cultural Services Relative Needs Formula. The full formula can be found at Annex B.   </w:t>
      </w:r>
    </w:p>
    <w:p w:rsidR="00714BB9" w:rsidRPr="00714BB9" w:rsidRDefault="00714BB9" w:rsidP="00714BB9">
      <w:pPr>
        <w:rPr>
          <w:rFonts w:ascii="Arial" w:hAnsi="Arial" w:cs="Arial"/>
        </w:rPr>
      </w:pPr>
      <w:r w:rsidRPr="00714BB9">
        <w:rPr>
          <w:rFonts w:ascii="Arial" w:hAnsi="Arial" w:cs="Arial"/>
        </w:rPr>
        <w:t>The reduction to the London element reflects:</w:t>
      </w:r>
    </w:p>
    <w:p w:rsidR="00714BB9" w:rsidRPr="00714BB9" w:rsidRDefault="00714BB9" w:rsidP="00714BB9">
      <w:pPr>
        <w:pStyle w:val="ListParagraph"/>
        <w:numPr>
          <w:ilvl w:val="0"/>
          <w:numId w:val="26"/>
        </w:numPr>
        <w:spacing w:after="0" w:line="259" w:lineRule="auto"/>
        <w:rPr>
          <w:rFonts w:ascii="Arial" w:hAnsi="Arial" w:cs="Arial"/>
        </w:rPr>
      </w:pPr>
      <w:r w:rsidRPr="00714BB9">
        <w:rPr>
          <w:rFonts w:ascii="Arial" w:hAnsi="Arial" w:cs="Arial"/>
        </w:rPr>
        <w:t>that responsibility for public transport support in London lies with Transport for London; and</w:t>
      </w:r>
    </w:p>
    <w:p w:rsidR="00714BB9" w:rsidRDefault="00714BB9" w:rsidP="00714BB9">
      <w:pPr>
        <w:pStyle w:val="ListParagraph"/>
        <w:numPr>
          <w:ilvl w:val="0"/>
          <w:numId w:val="26"/>
        </w:numPr>
        <w:spacing w:after="0" w:line="259" w:lineRule="auto"/>
        <w:rPr>
          <w:rFonts w:ascii="Arial" w:hAnsi="Arial" w:cs="Arial"/>
        </w:rPr>
      </w:pPr>
      <w:r w:rsidRPr="00714BB9">
        <w:rPr>
          <w:rFonts w:ascii="Arial" w:hAnsi="Arial" w:cs="Arial"/>
        </w:rPr>
        <w:t>the provision of some services by the Greater London Authority which were formerly provided by the Common Council of the City of London and London borough councils.</w:t>
      </w:r>
    </w:p>
    <w:p w:rsidR="00714BB9" w:rsidRPr="00714BB9" w:rsidRDefault="00714BB9" w:rsidP="00714BB9">
      <w:pPr>
        <w:pStyle w:val="ListParagraph"/>
        <w:spacing w:after="0" w:line="259" w:lineRule="auto"/>
        <w:ind w:left="1080"/>
        <w:rPr>
          <w:rFonts w:ascii="Arial" w:hAnsi="Arial" w:cs="Arial"/>
        </w:rPr>
      </w:pPr>
    </w:p>
    <w:p w:rsidR="00714BB9" w:rsidRPr="00714BB9" w:rsidRDefault="00714BB9" w:rsidP="00714BB9">
      <w:pPr>
        <w:rPr>
          <w:rFonts w:ascii="Arial" w:hAnsi="Arial" w:cs="Arial"/>
        </w:rPr>
      </w:pPr>
      <w:r w:rsidRPr="00714BB9">
        <w:rPr>
          <w:rFonts w:ascii="Arial" w:hAnsi="Arial" w:cs="Arial"/>
        </w:rPr>
        <w:t>We believe the principal cost drivers for supported bus services are:</w:t>
      </w:r>
    </w:p>
    <w:p w:rsidR="00714BB9" w:rsidRPr="00714BB9" w:rsidRDefault="00714BB9" w:rsidP="00714BB9">
      <w:pPr>
        <w:pStyle w:val="ListParagraph"/>
        <w:numPr>
          <w:ilvl w:val="0"/>
          <w:numId w:val="25"/>
        </w:numPr>
        <w:spacing w:after="0" w:line="259" w:lineRule="auto"/>
        <w:rPr>
          <w:rFonts w:ascii="Arial" w:hAnsi="Arial" w:cs="Arial"/>
        </w:rPr>
      </w:pPr>
      <w:proofErr w:type="spellStart"/>
      <w:r w:rsidRPr="00714BB9">
        <w:rPr>
          <w:rFonts w:ascii="Arial" w:hAnsi="Arial" w:cs="Arial"/>
        </w:rPr>
        <w:t>Rurality</w:t>
      </w:r>
      <w:proofErr w:type="spellEnd"/>
      <w:r w:rsidRPr="00714BB9">
        <w:rPr>
          <w:rFonts w:ascii="Arial" w:hAnsi="Arial" w:cs="Arial"/>
        </w:rPr>
        <w:t xml:space="preserve"> – rural bus services tend to be </w:t>
      </w:r>
      <w:proofErr w:type="spellStart"/>
      <w:r w:rsidRPr="00714BB9">
        <w:rPr>
          <w:rFonts w:ascii="Arial" w:hAnsi="Arial" w:cs="Arial"/>
        </w:rPr>
        <w:t>uncommercial</w:t>
      </w:r>
      <w:proofErr w:type="spellEnd"/>
      <w:r w:rsidRPr="00714BB9">
        <w:rPr>
          <w:rFonts w:ascii="Arial" w:hAnsi="Arial" w:cs="Arial"/>
        </w:rPr>
        <w:t xml:space="preserve"> and therefore many are supported by their local authority in some form. Urban bus services tend to be much more commercially viable given the higher population densities in urban areas.</w:t>
      </w:r>
    </w:p>
    <w:p w:rsidR="00714BB9" w:rsidRPr="00714BB9" w:rsidRDefault="00714BB9" w:rsidP="00714BB9">
      <w:pPr>
        <w:pStyle w:val="ListParagraph"/>
        <w:numPr>
          <w:ilvl w:val="0"/>
          <w:numId w:val="25"/>
        </w:numPr>
        <w:spacing w:after="0" w:line="259" w:lineRule="auto"/>
        <w:rPr>
          <w:rFonts w:ascii="Arial" w:hAnsi="Arial" w:cs="Arial"/>
        </w:rPr>
      </w:pPr>
      <w:r w:rsidRPr="00714BB9">
        <w:rPr>
          <w:rFonts w:ascii="Arial" w:hAnsi="Arial" w:cs="Arial"/>
        </w:rPr>
        <w:t>Change in Demographics – principally the projected rise in the number of older people is likely to have an effect for demand and a related effect on costs, assuming the current concessionary bus pass scheme stays in place (see below). However it is worth noting that young people are a large ‘bus user’ demographic and if there are significant changes projected in this demographic this should be considered.</w:t>
      </w:r>
    </w:p>
    <w:p w:rsidR="00714BB9" w:rsidRDefault="00714BB9" w:rsidP="00714BB9">
      <w:pPr>
        <w:rPr>
          <w:rFonts w:ascii="Arial" w:hAnsi="Arial" w:cs="Arial"/>
        </w:rPr>
      </w:pPr>
    </w:p>
    <w:p w:rsidR="00714BB9" w:rsidRPr="00714BB9" w:rsidRDefault="00714BB9" w:rsidP="00714BB9">
      <w:pPr>
        <w:rPr>
          <w:rFonts w:ascii="Arial" w:hAnsi="Arial" w:cs="Arial"/>
        </w:rPr>
      </w:pPr>
      <w:r w:rsidRPr="00714BB9">
        <w:rPr>
          <w:rFonts w:ascii="Arial" w:hAnsi="Arial" w:cs="Arial"/>
        </w:rPr>
        <w:t>Autonomous and connected vehicles and the advent of ‘Mobility as a Service’ products may well have a significant impact on this market. However it is too early to judge exactly what form this may take and the time horizons somewhat uncertain. For this reason we do not intend to make judgements about the potential impacts this technology may have costs.</w:t>
      </w:r>
    </w:p>
    <w:p w:rsidR="00714BB9" w:rsidRPr="00714BB9" w:rsidRDefault="00714BB9" w:rsidP="00714BB9">
      <w:pPr>
        <w:rPr>
          <w:rFonts w:ascii="Arial" w:hAnsi="Arial" w:cs="Arial"/>
          <w:u w:val="single"/>
        </w:rPr>
      </w:pPr>
      <w:r w:rsidRPr="00714BB9">
        <w:rPr>
          <w:rFonts w:ascii="Arial" w:hAnsi="Arial" w:cs="Arial"/>
          <w:u w:val="single"/>
        </w:rPr>
        <w:t xml:space="preserve">In addition, there is funding for Local Transport Services within the Grant Rolled </w:t>
      </w:r>
      <w:proofErr w:type="gramStart"/>
      <w:r w:rsidRPr="00714BB9">
        <w:rPr>
          <w:rFonts w:ascii="Arial" w:hAnsi="Arial" w:cs="Arial"/>
          <w:u w:val="single"/>
        </w:rPr>
        <w:t>In</w:t>
      </w:r>
      <w:proofErr w:type="gramEnd"/>
      <w:r w:rsidRPr="00714BB9">
        <w:rPr>
          <w:rFonts w:ascii="Arial" w:hAnsi="Arial" w:cs="Arial"/>
          <w:u w:val="single"/>
        </w:rPr>
        <w:t xml:space="preserve"> Using Tailored Distributions. The formula for these can be found at Annex C.</w:t>
      </w:r>
    </w:p>
    <w:p w:rsidR="00714BB9" w:rsidRDefault="00714BB9" w:rsidP="00714BB9">
      <w:pPr>
        <w:rPr>
          <w:rFonts w:ascii="Arial" w:hAnsi="Arial" w:cs="Arial"/>
          <w:b/>
        </w:rPr>
      </w:pPr>
    </w:p>
    <w:p w:rsidR="00714BB9" w:rsidRDefault="00714BB9" w:rsidP="00714BB9">
      <w:pPr>
        <w:rPr>
          <w:rFonts w:ascii="Arial" w:hAnsi="Arial" w:cs="Arial"/>
          <w:b/>
        </w:rPr>
      </w:pPr>
    </w:p>
    <w:p w:rsidR="001035F1" w:rsidRDefault="001035F1" w:rsidP="00714BB9">
      <w:pPr>
        <w:rPr>
          <w:rFonts w:ascii="Arial" w:hAnsi="Arial" w:cs="Arial"/>
          <w:b/>
        </w:rPr>
      </w:pPr>
    </w:p>
    <w:p w:rsidR="00714BB9" w:rsidRPr="00714BB9" w:rsidRDefault="00714BB9" w:rsidP="00714BB9">
      <w:pPr>
        <w:rPr>
          <w:rFonts w:ascii="Arial" w:hAnsi="Arial" w:cs="Arial"/>
          <w:b/>
        </w:rPr>
      </w:pPr>
    </w:p>
    <w:p w:rsidR="00714BB9" w:rsidRPr="00714BB9" w:rsidRDefault="00714BB9" w:rsidP="00714BB9">
      <w:pPr>
        <w:rPr>
          <w:rFonts w:ascii="Arial" w:hAnsi="Arial" w:cs="Arial"/>
          <w:b/>
        </w:rPr>
      </w:pPr>
      <w:r w:rsidRPr="00714BB9">
        <w:rPr>
          <w:rFonts w:ascii="Arial" w:hAnsi="Arial" w:cs="Arial"/>
          <w:b/>
        </w:rPr>
        <w:lastRenderedPageBreak/>
        <w:t>Concessionary bus travel (reimbursement)</w:t>
      </w:r>
    </w:p>
    <w:p w:rsidR="00714BB9" w:rsidRPr="00714BB9" w:rsidRDefault="00714BB9" w:rsidP="00714BB9">
      <w:pPr>
        <w:rPr>
          <w:rFonts w:ascii="Arial" w:hAnsi="Arial" w:cs="Arial"/>
        </w:rPr>
      </w:pPr>
      <w:r w:rsidRPr="00714BB9">
        <w:rPr>
          <w:rFonts w:ascii="Arial" w:hAnsi="Arial" w:cs="Arial"/>
        </w:rPr>
        <w:t>The English National Concessionary Travel Scheme (ENCTS) allows free off- peak local bus travel to older and eligible disabled people in England. Under the ENCTS, eligible concessionaires are entitled to free travel on local bus services between 9.30am and 11.00pm on weekdays and all day at weekends and on Bank Holidays.</w:t>
      </w:r>
    </w:p>
    <w:p w:rsidR="00714BB9" w:rsidRPr="00714BB9" w:rsidRDefault="00714BB9" w:rsidP="00714BB9">
      <w:pPr>
        <w:rPr>
          <w:rFonts w:ascii="Arial" w:hAnsi="Arial" w:cs="Arial"/>
        </w:rPr>
      </w:pPr>
      <w:r w:rsidRPr="00714BB9">
        <w:rPr>
          <w:rFonts w:ascii="Arial" w:hAnsi="Arial" w:cs="Arial"/>
        </w:rPr>
        <w:t>Local authorities also have powers to offer further concessions, such as earlier start times, however, these are not funded centrally but by the authorities themselves and are generally only valid within the au</w:t>
      </w:r>
      <w:r>
        <w:rPr>
          <w:rFonts w:ascii="Arial" w:hAnsi="Arial" w:cs="Arial"/>
        </w:rPr>
        <w:t>t</w:t>
      </w:r>
      <w:r w:rsidRPr="00714BB9">
        <w:rPr>
          <w:rFonts w:ascii="Arial" w:hAnsi="Arial" w:cs="Arial"/>
        </w:rPr>
        <w:t>hority boundaries.</w:t>
      </w:r>
    </w:p>
    <w:p w:rsidR="00714BB9" w:rsidRPr="00714BB9" w:rsidRDefault="00714BB9" w:rsidP="00714BB9">
      <w:pPr>
        <w:rPr>
          <w:rFonts w:ascii="Arial" w:hAnsi="Arial" w:cs="Arial"/>
        </w:rPr>
      </w:pPr>
      <w:r w:rsidRPr="00714BB9">
        <w:rPr>
          <w:rFonts w:ascii="Arial" w:hAnsi="Arial" w:cs="Arial"/>
        </w:rPr>
        <w:t xml:space="preserve">Almost £1 billion </w:t>
      </w:r>
      <w:proofErr w:type="gramStart"/>
      <w:r w:rsidRPr="00714BB9">
        <w:rPr>
          <w:rFonts w:ascii="Arial" w:hAnsi="Arial" w:cs="Arial"/>
        </w:rPr>
        <w:t>p/a</w:t>
      </w:r>
      <w:proofErr w:type="gramEnd"/>
      <w:r w:rsidRPr="00714BB9">
        <w:rPr>
          <w:rFonts w:ascii="Arial" w:hAnsi="Arial" w:cs="Arial"/>
        </w:rPr>
        <w:t xml:space="preserve"> is spent on ENCTS with about 81% of this on the ENCTS and the remaining 19% on discretionary schemes.</w:t>
      </w:r>
    </w:p>
    <w:p w:rsidR="00714BB9" w:rsidRPr="00714BB9" w:rsidRDefault="00714BB9" w:rsidP="00714BB9">
      <w:pPr>
        <w:rPr>
          <w:rFonts w:ascii="Arial" w:hAnsi="Arial" w:cs="Arial"/>
        </w:rPr>
      </w:pPr>
      <w:r w:rsidRPr="00714BB9">
        <w:rPr>
          <w:rFonts w:ascii="Arial" w:hAnsi="Arial" w:cs="Arial"/>
        </w:rPr>
        <w:t>Eligibility for ENCTS is based on age or disability. For older people, this means the age of retirement or pensionable age. At present, the age of eligibility for the State pension is gradually rising for women from 60 to 65, to match the current eligibility age for men. This will be completed by 2018, following which the age for both will be raised further, to 66, by 2020.</w:t>
      </w:r>
    </w:p>
    <w:p w:rsidR="00714BB9" w:rsidRPr="00714BB9" w:rsidRDefault="00714BB9" w:rsidP="00714BB9">
      <w:pPr>
        <w:rPr>
          <w:rFonts w:ascii="Arial" w:hAnsi="Arial" w:cs="Arial"/>
        </w:rPr>
      </w:pPr>
      <w:r w:rsidRPr="00714BB9">
        <w:rPr>
          <w:rFonts w:ascii="Arial" w:hAnsi="Arial" w:cs="Arial"/>
        </w:rPr>
        <w:t>Reimbursement is paid by local authorities to bus operators for carrying concessionary passengers. The main principle which applies to reimbursement is that bus operators should be financially 'no better and no worse off' as a result of concessionary travel.</w:t>
      </w:r>
    </w:p>
    <w:p w:rsidR="00714BB9" w:rsidRPr="00714BB9" w:rsidRDefault="00714BB9" w:rsidP="00714BB9">
      <w:pPr>
        <w:rPr>
          <w:rFonts w:ascii="Arial" w:hAnsi="Arial" w:cs="Arial"/>
        </w:rPr>
      </w:pPr>
      <w:r w:rsidRPr="00714BB9">
        <w:rPr>
          <w:rFonts w:ascii="Arial" w:hAnsi="Arial" w:cs="Arial"/>
        </w:rPr>
        <w:t>The 2013-14 relative needs formula is given at Annex D.</w:t>
      </w:r>
    </w:p>
    <w:p w:rsidR="00714BB9" w:rsidRPr="00714BB9" w:rsidRDefault="00714BB9" w:rsidP="00714BB9">
      <w:pPr>
        <w:rPr>
          <w:rFonts w:ascii="Arial" w:hAnsi="Arial" w:cs="Arial"/>
        </w:rPr>
      </w:pPr>
      <w:r w:rsidRPr="00714BB9">
        <w:rPr>
          <w:rFonts w:ascii="Arial" w:hAnsi="Arial" w:cs="Arial"/>
        </w:rPr>
        <w:t>The cost drivers are:</w:t>
      </w:r>
    </w:p>
    <w:p w:rsidR="00714BB9" w:rsidRPr="00714BB9" w:rsidRDefault="00714BB9" w:rsidP="00714BB9">
      <w:pPr>
        <w:pStyle w:val="ListParagraph"/>
        <w:numPr>
          <w:ilvl w:val="0"/>
          <w:numId w:val="25"/>
        </w:numPr>
        <w:spacing w:after="0" w:line="259" w:lineRule="auto"/>
        <w:rPr>
          <w:rFonts w:ascii="Arial" w:hAnsi="Arial" w:cs="Arial"/>
        </w:rPr>
      </w:pPr>
      <w:r w:rsidRPr="00714BB9">
        <w:rPr>
          <w:rFonts w:ascii="Arial" w:hAnsi="Arial" w:cs="Arial"/>
        </w:rPr>
        <w:t>The ageing demographic – the projected number of eligible older people is due to rise significantly in future years. This is likely to have a significant impact on the costs of reimbursement.</w:t>
      </w:r>
    </w:p>
    <w:p w:rsidR="00714BB9" w:rsidRPr="00714BB9" w:rsidRDefault="00714BB9" w:rsidP="00714BB9">
      <w:pPr>
        <w:ind w:left="360"/>
        <w:rPr>
          <w:rFonts w:ascii="Arial" w:hAnsi="Arial" w:cs="Arial"/>
        </w:rPr>
      </w:pPr>
    </w:p>
    <w:p w:rsidR="00714BB9" w:rsidRPr="00714BB9" w:rsidRDefault="00714BB9" w:rsidP="00714BB9">
      <w:pPr>
        <w:rPr>
          <w:rFonts w:ascii="Arial" w:hAnsi="Arial" w:cs="Arial"/>
        </w:rPr>
      </w:pPr>
      <w:r w:rsidRPr="00714BB9">
        <w:rPr>
          <w:rFonts w:ascii="Arial" w:hAnsi="Arial" w:cs="Arial"/>
        </w:rPr>
        <w:br w:type="page"/>
      </w:r>
    </w:p>
    <w:p w:rsidR="00714BB9" w:rsidRPr="00714BB9" w:rsidRDefault="00714BB9" w:rsidP="00714BB9">
      <w:pPr>
        <w:ind w:left="360"/>
        <w:rPr>
          <w:rFonts w:ascii="Arial" w:hAnsi="Arial" w:cs="Arial"/>
          <w:b/>
        </w:rPr>
      </w:pPr>
      <w:r w:rsidRPr="00714BB9">
        <w:rPr>
          <w:rFonts w:ascii="Arial" w:hAnsi="Arial" w:cs="Arial"/>
          <w:b/>
        </w:rPr>
        <w:lastRenderedPageBreak/>
        <w:t>Annex A: 2013-14 Highway Maintenance RNF</w:t>
      </w:r>
    </w:p>
    <w:p w:rsidR="00714BB9" w:rsidRPr="00714BB9" w:rsidRDefault="00714BB9" w:rsidP="00714BB9">
      <w:pPr>
        <w:tabs>
          <w:tab w:val="num" w:pos="567"/>
        </w:tabs>
        <w:spacing w:before="240"/>
        <w:ind w:left="567" w:hanging="502"/>
        <w:rPr>
          <w:rFonts w:ascii="Arial" w:hAnsi="Arial" w:cs="Arial"/>
          <w:b/>
          <w:i/>
        </w:rPr>
      </w:pPr>
      <w:r w:rsidRPr="00714BB9">
        <w:rPr>
          <w:rFonts w:ascii="Arial" w:hAnsi="Arial" w:cs="Arial"/>
          <w:b/>
          <w:i/>
        </w:rPr>
        <w:t>Basic amount</w:t>
      </w:r>
    </w:p>
    <w:tbl>
      <w:tblPr>
        <w:tblW w:w="0" w:type="auto"/>
        <w:tblInd w:w="120" w:type="dxa"/>
        <w:tblLayout w:type="fixed"/>
        <w:tblCellMar>
          <w:left w:w="120" w:type="dxa"/>
          <w:right w:w="120" w:type="dxa"/>
        </w:tblCellMar>
        <w:tblLook w:val="0000" w:firstRow="0" w:lastRow="0" w:firstColumn="0" w:lastColumn="0" w:noHBand="0" w:noVBand="0"/>
      </w:tblPr>
      <w:tblGrid>
        <w:gridCol w:w="2693"/>
        <w:gridCol w:w="6379"/>
      </w:tblGrid>
      <w:tr w:rsidR="00714BB9" w:rsidRPr="00714BB9" w:rsidTr="00182D58">
        <w:tc>
          <w:tcPr>
            <w:tcW w:w="2693" w:type="dxa"/>
            <w:shd w:val="clear" w:color="auto" w:fill="auto"/>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HIGHWAY BASIC AMOUNT</w:t>
            </w:r>
          </w:p>
        </w:tc>
        <w:tc>
          <w:tcPr>
            <w:tcW w:w="6379" w:type="dxa"/>
            <w:shd w:val="clear" w:color="auto" w:fill="auto"/>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b/>
              </w:rPr>
            </w:pPr>
            <w:r w:rsidRPr="00714BB9">
              <w:rPr>
                <w:rFonts w:ascii="Arial" w:hAnsi="Arial" w:cs="Arial"/>
                <w:color w:val="000000"/>
              </w:rPr>
              <w:t>74.2538</w:t>
            </w:r>
          </w:p>
        </w:tc>
      </w:tr>
    </w:tbl>
    <w:p w:rsidR="00714BB9" w:rsidRDefault="00714BB9" w:rsidP="00714BB9">
      <w:pPr>
        <w:tabs>
          <w:tab w:val="num" w:pos="567"/>
        </w:tabs>
        <w:ind w:left="567" w:hanging="502"/>
        <w:rPr>
          <w:rFonts w:ascii="Arial" w:hAnsi="Arial" w:cs="Arial"/>
          <w:b/>
          <w:i/>
        </w:rPr>
      </w:pPr>
    </w:p>
    <w:p w:rsidR="00714BB9" w:rsidRPr="00714BB9" w:rsidRDefault="00714BB9" w:rsidP="00714BB9">
      <w:pPr>
        <w:tabs>
          <w:tab w:val="num" w:pos="567"/>
        </w:tabs>
        <w:ind w:left="567" w:hanging="502"/>
        <w:rPr>
          <w:rFonts w:ascii="Arial" w:hAnsi="Arial" w:cs="Arial"/>
          <w:b/>
          <w:i/>
        </w:rPr>
      </w:pPr>
      <w:r w:rsidRPr="00714BB9">
        <w:rPr>
          <w:rFonts w:ascii="Arial" w:hAnsi="Arial" w:cs="Arial"/>
          <w:b/>
          <w:i/>
        </w:rPr>
        <w:t>Top-ups</w:t>
      </w:r>
    </w:p>
    <w:tbl>
      <w:tblPr>
        <w:tblW w:w="0" w:type="auto"/>
        <w:tblInd w:w="120" w:type="dxa"/>
        <w:tblLayout w:type="fixed"/>
        <w:tblCellMar>
          <w:left w:w="120" w:type="dxa"/>
          <w:right w:w="120" w:type="dxa"/>
        </w:tblCellMar>
        <w:tblLook w:val="0000" w:firstRow="0" w:lastRow="0" w:firstColumn="0" w:lastColumn="0" w:noHBand="0" w:noVBand="0"/>
      </w:tblPr>
      <w:tblGrid>
        <w:gridCol w:w="2693"/>
        <w:gridCol w:w="6379"/>
      </w:tblGrid>
      <w:tr w:rsidR="00714BB9" w:rsidRPr="00714BB9" w:rsidTr="00182D58">
        <w:tc>
          <w:tcPr>
            <w:tcW w:w="2693"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USAGE TOP-UP</w:t>
            </w:r>
          </w:p>
        </w:tc>
        <w:tc>
          <w:tcPr>
            <w:tcW w:w="6379"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color w:val="000000"/>
              </w:rPr>
              <w:t xml:space="preserve">7.1527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color w:val="000000"/>
              </w:rPr>
              <w:t>TRAFFIC FLOW</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b/>
              </w:rPr>
            </w:pPr>
            <w:r w:rsidRPr="00714BB9">
              <w:rPr>
                <w:rFonts w:ascii="Arial" w:hAnsi="Arial" w:cs="Arial"/>
                <w:color w:val="000000"/>
              </w:rPr>
              <w:t xml:space="preserve">0.5317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color w:val="000000"/>
              </w:rPr>
              <w:t>DAYTIME POPULATION PER KM</w:t>
            </w:r>
          </w:p>
        </w:tc>
      </w:tr>
      <w:tr w:rsidR="00714BB9" w:rsidRPr="00714BB9" w:rsidTr="00182D58">
        <w:tc>
          <w:tcPr>
            <w:tcW w:w="2693"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WINTER MAINTENANCE TOP-UP</w:t>
            </w:r>
          </w:p>
        </w:tc>
        <w:tc>
          <w:tcPr>
            <w:tcW w:w="6379"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color w:val="000000"/>
              </w:rPr>
              <w:t xml:space="preserve">0.3042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color w:val="000000"/>
              </w:rPr>
              <w:t>DAYS WITH SNOW LYING</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rPr>
            </w:pPr>
            <w:r w:rsidRPr="00714BB9">
              <w:rPr>
                <w:rFonts w:ascii="Arial" w:hAnsi="Arial" w:cs="Arial"/>
              </w:rPr>
              <w:t xml:space="preserve">0.6844 </w:t>
            </w:r>
            <w:r w:rsidRPr="00714BB9">
              <w:rPr>
                <w:rFonts w:ascii="Arial" w:hAnsi="Arial" w:cs="Arial"/>
                <w:i/>
              </w:rPr>
              <w:t>multiplied by</w:t>
            </w:r>
            <w:r w:rsidRPr="00714BB9">
              <w:rPr>
                <w:rFonts w:ascii="Arial" w:hAnsi="Arial" w:cs="Arial"/>
              </w:rPr>
              <w:t xml:space="preserve"> </w:t>
            </w:r>
            <w:r w:rsidRPr="00714BB9">
              <w:rPr>
                <w:rFonts w:ascii="Arial" w:hAnsi="Arial" w:cs="Arial"/>
                <w:b/>
              </w:rPr>
              <w:t>PREDICTED GRITTING DAYS</w:t>
            </w:r>
          </w:p>
        </w:tc>
      </w:tr>
    </w:tbl>
    <w:p w:rsidR="00714BB9" w:rsidRPr="00714BB9" w:rsidRDefault="00714BB9" w:rsidP="00714BB9">
      <w:pPr>
        <w:tabs>
          <w:tab w:val="num" w:pos="567"/>
        </w:tabs>
        <w:spacing w:before="240"/>
        <w:rPr>
          <w:rFonts w:ascii="Arial" w:hAnsi="Arial" w:cs="Arial"/>
          <w:color w:val="000000"/>
        </w:rPr>
      </w:pPr>
      <w:r w:rsidRPr="00714BB9">
        <w:rPr>
          <w:rFonts w:ascii="Arial" w:hAnsi="Arial" w:cs="Arial"/>
          <w:color w:val="000000"/>
        </w:rPr>
        <w:t>The full formula used to calculate the Highway Maintenance element is:</w:t>
      </w:r>
    </w:p>
    <w:p w:rsidR="00714BB9" w:rsidRPr="00714BB9" w:rsidRDefault="00714BB9" w:rsidP="00714BB9">
      <w:pPr>
        <w:tabs>
          <w:tab w:val="num" w:pos="567"/>
        </w:tabs>
        <w:ind w:left="567" w:hanging="502"/>
        <w:jc w:val="both"/>
        <w:rPr>
          <w:rFonts w:ascii="Arial" w:hAnsi="Arial" w:cs="Arial"/>
          <w:color w:val="000000"/>
        </w:rPr>
      </w:pPr>
    </w:p>
    <w:tbl>
      <w:tblPr>
        <w:tblW w:w="0" w:type="auto"/>
        <w:tblInd w:w="829" w:type="dxa"/>
        <w:tblBorders>
          <w:top w:val="single" w:sz="6" w:space="0" w:color="000000"/>
          <w:left w:val="single" w:sz="6" w:space="0" w:color="000000"/>
          <w:bottom w:val="single" w:sz="6" w:space="0" w:color="000000"/>
          <w:right w:val="single"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709"/>
        <w:gridCol w:w="7654"/>
      </w:tblGrid>
      <w:tr w:rsidR="00714BB9" w:rsidRPr="00714BB9" w:rsidTr="00182D58">
        <w:tc>
          <w:tcPr>
            <w:tcW w:w="8363" w:type="dxa"/>
            <w:gridSpan w:val="2"/>
            <w:tcBorders>
              <w:bottom w:val="nil"/>
            </w:tcBorders>
            <w:shd w:val="solid" w:color="000000" w:fill="FFFFFF"/>
          </w:tcPr>
          <w:p w:rsidR="00714BB9" w:rsidRPr="00714BB9" w:rsidRDefault="00714BB9" w:rsidP="00182D58">
            <w:pPr>
              <w:pStyle w:val="Heading6"/>
              <w:tabs>
                <w:tab w:val="num" w:pos="567"/>
              </w:tabs>
              <w:ind w:left="567" w:hanging="502"/>
              <w:rPr>
                <w:rFonts w:ascii="Arial" w:hAnsi="Arial" w:cs="Arial"/>
              </w:rPr>
            </w:pPr>
            <w:r w:rsidRPr="00714BB9">
              <w:rPr>
                <w:rFonts w:ascii="Arial" w:hAnsi="Arial" w:cs="Arial"/>
              </w:rPr>
              <w:t>Highway Maintenance</w:t>
            </w:r>
          </w:p>
        </w:tc>
      </w:tr>
      <w:tr w:rsidR="00714BB9" w:rsidRPr="00714BB9" w:rsidTr="00182D58">
        <w:tc>
          <w:tcPr>
            <w:tcW w:w="709" w:type="dxa"/>
            <w:tcBorders>
              <w:top w:val="single" w:sz="6" w:space="0" w:color="FFFFFF"/>
              <w:bottom w:val="nil"/>
              <w:right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(a)</w:t>
            </w:r>
          </w:p>
        </w:tc>
        <w:tc>
          <w:tcPr>
            <w:tcW w:w="7654" w:type="dxa"/>
            <w:tcBorders>
              <w:top w:val="single" w:sz="6" w:space="0" w:color="FFFFFF"/>
              <w:left w:val="nil"/>
              <w:bottom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b/>
                <w:sz w:val="22"/>
                <w:szCs w:val="22"/>
              </w:rPr>
              <w:t>WEIGHTED ROAD LENGTHS</w:t>
            </w:r>
            <w:r w:rsidRPr="00714BB9">
              <w:rPr>
                <w:rFonts w:cs="Arial"/>
                <w:sz w:val="22"/>
                <w:szCs w:val="22"/>
              </w:rPr>
              <w:t xml:space="preserve"> </w:t>
            </w:r>
            <w:r w:rsidRPr="00714BB9">
              <w:rPr>
                <w:rFonts w:cs="Arial"/>
                <w:i/>
                <w:sz w:val="22"/>
                <w:szCs w:val="22"/>
              </w:rPr>
              <w:t>multiplied by</w:t>
            </w:r>
            <w:r w:rsidRPr="00714BB9">
              <w:rPr>
                <w:rFonts w:cs="Arial"/>
                <w:sz w:val="22"/>
                <w:szCs w:val="22"/>
              </w:rPr>
              <w:t xml:space="preserve"> the result of:</w:t>
            </w:r>
          </w:p>
          <w:p w:rsidR="00714BB9" w:rsidRPr="00714BB9" w:rsidRDefault="00714BB9" w:rsidP="00182D58">
            <w:pPr>
              <w:tabs>
                <w:tab w:val="num" w:pos="567"/>
              </w:tabs>
              <w:ind w:left="567" w:hanging="502"/>
              <w:jc w:val="both"/>
              <w:rPr>
                <w:rFonts w:ascii="Arial" w:hAnsi="Arial" w:cs="Arial"/>
                <w:color w:val="000000"/>
              </w:rPr>
            </w:pPr>
            <w:r w:rsidRPr="00714BB9">
              <w:rPr>
                <w:rFonts w:ascii="Arial" w:hAnsi="Arial" w:cs="Arial"/>
                <w:b/>
                <w:color w:val="000000"/>
              </w:rPr>
              <w:t>HIGHWAY BASIC AMOUNT</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i/>
                <w:color w:val="000000"/>
              </w:rPr>
            </w:pPr>
            <w:r w:rsidRPr="00714BB9">
              <w:rPr>
                <w:rFonts w:ascii="Arial" w:hAnsi="Arial" w:cs="Arial"/>
                <w:b/>
                <w:color w:val="000000"/>
              </w:rPr>
              <w:t>USAGE TOP-UP</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b/>
                <w:color w:val="000000"/>
              </w:rPr>
              <w:t>WINTER MAINTENANCE TOP-UP</w:t>
            </w:r>
            <w:r w:rsidRPr="00714BB9">
              <w:rPr>
                <w:rFonts w:ascii="Arial" w:hAnsi="Arial" w:cs="Arial"/>
                <w:color w:val="000000"/>
              </w:rPr>
              <w:t>;</w:t>
            </w:r>
          </w:p>
        </w:tc>
      </w:tr>
      <w:tr w:rsidR="00714BB9" w:rsidRPr="00714BB9" w:rsidTr="00182D58">
        <w:tc>
          <w:tcPr>
            <w:tcW w:w="709" w:type="dxa"/>
            <w:tcBorders>
              <w:top w:val="nil"/>
              <w:bottom w:val="nil"/>
              <w:right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(b)</w:t>
            </w:r>
          </w:p>
        </w:tc>
        <w:tc>
          <w:tcPr>
            <w:tcW w:w="7654" w:type="dxa"/>
            <w:tcBorders>
              <w:top w:val="nil"/>
              <w:left w:val="nil"/>
              <w:bottom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The result of (a) is </w:t>
            </w:r>
            <w:r w:rsidRPr="00714BB9">
              <w:rPr>
                <w:rFonts w:cs="Arial"/>
                <w:i/>
                <w:sz w:val="22"/>
                <w:szCs w:val="22"/>
              </w:rPr>
              <w:t>multiplied by</w:t>
            </w:r>
            <w:r w:rsidRPr="00714BB9">
              <w:rPr>
                <w:rFonts w:cs="Arial"/>
                <w:sz w:val="22"/>
                <w:szCs w:val="22"/>
              </w:rPr>
              <w:t xml:space="preserve"> </w:t>
            </w:r>
            <w:r w:rsidRPr="00714BB9">
              <w:rPr>
                <w:rFonts w:cs="Arial"/>
                <w:b/>
                <w:sz w:val="22"/>
                <w:szCs w:val="22"/>
              </w:rPr>
              <w:t>AREA COST ADJUSTMENT FOR HIGHWAY MAINTENANCE;</w:t>
            </w:r>
          </w:p>
        </w:tc>
      </w:tr>
      <w:tr w:rsidR="00714BB9" w:rsidRPr="00714BB9" w:rsidTr="00182D58">
        <w:tc>
          <w:tcPr>
            <w:tcW w:w="709" w:type="dxa"/>
            <w:tcBorders>
              <w:top w:val="nil"/>
              <w:bottom w:val="nil"/>
              <w:right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(c)</w:t>
            </w:r>
          </w:p>
        </w:tc>
        <w:tc>
          <w:tcPr>
            <w:tcW w:w="7654" w:type="dxa"/>
            <w:tcBorders>
              <w:top w:val="nil"/>
              <w:left w:val="nil"/>
              <w:bottom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The result of (b) is then </w:t>
            </w:r>
            <w:r w:rsidRPr="00714BB9">
              <w:rPr>
                <w:rFonts w:cs="Arial"/>
                <w:i/>
                <w:sz w:val="22"/>
                <w:szCs w:val="22"/>
              </w:rPr>
              <w:t>multiplied by</w:t>
            </w:r>
            <w:r w:rsidRPr="00714BB9">
              <w:rPr>
                <w:rFonts w:cs="Arial"/>
                <w:sz w:val="22"/>
                <w:szCs w:val="22"/>
              </w:rPr>
              <w:t xml:space="preserve"> the scaling factor given in Annex E for the Highway Maintenance service block.</w:t>
            </w:r>
          </w:p>
        </w:tc>
      </w:tr>
      <w:tr w:rsidR="00714BB9" w:rsidRPr="00714BB9" w:rsidTr="00182D58">
        <w:tc>
          <w:tcPr>
            <w:tcW w:w="709" w:type="dxa"/>
            <w:tcBorders>
              <w:top w:val="nil"/>
              <w:bottom w:val="single" w:sz="6" w:space="0" w:color="000000"/>
              <w:right w:val="nil"/>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(d)</w:t>
            </w:r>
          </w:p>
        </w:tc>
        <w:tc>
          <w:tcPr>
            <w:tcW w:w="7654" w:type="dxa"/>
            <w:tcBorders>
              <w:top w:val="nil"/>
              <w:left w:val="nil"/>
              <w:bottom w:val="single" w:sz="6" w:space="0" w:color="000000"/>
            </w:tcBorders>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The result of (c) is then </w:t>
            </w:r>
            <w:r w:rsidRPr="00714BB9">
              <w:rPr>
                <w:rFonts w:cs="Arial"/>
                <w:i/>
                <w:sz w:val="22"/>
                <w:szCs w:val="22"/>
              </w:rPr>
              <w:t>divided by</w:t>
            </w:r>
            <w:r w:rsidRPr="00714BB9">
              <w:rPr>
                <w:rFonts w:cs="Arial"/>
                <w:sz w:val="22"/>
                <w:szCs w:val="22"/>
              </w:rPr>
              <w:t xml:space="preserve"> 10,000,000,000.</w:t>
            </w:r>
          </w:p>
        </w:tc>
      </w:tr>
    </w:tbl>
    <w:p w:rsidR="00714BB9" w:rsidRPr="00714BB9" w:rsidRDefault="00714BB9" w:rsidP="00714BB9">
      <w:pPr>
        <w:ind w:left="360"/>
        <w:rPr>
          <w:rFonts w:ascii="Arial" w:hAnsi="Arial" w:cs="Arial"/>
        </w:rPr>
      </w:pPr>
    </w:p>
    <w:p w:rsidR="00714BB9" w:rsidRPr="00714BB9" w:rsidRDefault="00714BB9" w:rsidP="00714BB9">
      <w:pPr>
        <w:ind w:left="360"/>
        <w:rPr>
          <w:rFonts w:ascii="Arial" w:hAnsi="Arial" w:cs="Arial"/>
        </w:rPr>
      </w:pPr>
      <w:proofErr w:type="gramStart"/>
      <w:r w:rsidRPr="00714BB9">
        <w:rPr>
          <w:rFonts w:ascii="Arial" w:hAnsi="Arial" w:cs="Arial"/>
        </w:rPr>
        <w:t>where</w:t>
      </w:r>
      <w:proofErr w:type="gramEnd"/>
      <w:r w:rsidRPr="00714BB9">
        <w:rPr>
          <w:rFonts w:ascii="Arial" w:hAnsi="Arial" w:cs="Arial"/>
        </w:rPr>
        <w:t>:</w:t>
      </w:r>
    </w:p>
    <w:p w:rsidR="00714BB9" w:rsidRPr="00714BB9" w:rsidRDefault="00714BB9" w:rsidP="00714BB9">
      <w:pPr>
        <w:ind w:left="360"/>
        <w:rPr>
          <w:rFonts w:ascii="Arial" w:hAnsi="Arial"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904"/>
        <w:gridCol w:w="648"/>
        <w:gridCol w:w="6520"/>
      </w:tblGrid>
      <w:tr w:rsidR="00714BB9" w:rsidRPr="00714BB9" w:rsidTr="00182D58">
        <w:trPr>
          <w:tblHeader/>
        </w:trPr>
        <w:tc>
          <w:tcPr>
            <w:tcW w:w="1904" w:type="dxa"/>
            <w:vMerge w:val="restart"/>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r w:rsidRPr="00714BB9">
              <w:rPr>
                <w:rFonts w:ascii="Arial" w:hAnsi="Arial" w:cs="Arial"/>
                <w:b/>
              </w:rPr>
              <w:t>WEIGHTED ROAD LENGTHS</w:t>
            </w: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The sum of:</w:t>
            </w:r>
          </w:p>
        </w:tc>
      </w:tr>
      <w:tr w:rsidR="00714BB9" w:rsidRPr="00714BB9" w:rsidTr="00182D58">
        <w:trPr>
          <w:trHeight w:val="466"/>
          <w:tblHeader/>
        </w:trPr>
        <w:tc>
          <w:tcPr>
            <w:tcW w:w="1904" w:type="dxa"/>
            <w:vMerge/>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w:t>
            </w:r>
            <w:proofErr w:type="spellStart"/>
            <w:r w:rsidRPr="00714BB9">
              <w:rPr>
                <w:rFonts w:ascii="Arial" w:hAnsi="Arial" w:cs="Arial"/>
              </w:rPr>
              <w:t>i</w:t>
            </w:r>
            <w:proofErr w:type="spellEnd"/>
            <w:r w:rsidRPr="00714BB9">
              <w:rPr>
                <w:rFonts w:ascii="Arial" w:hAnsi="Arial" w:cs="Arial"/>
              </w:rPr>
              <w:t>)</w:t>
            </w:r>
          </w:p>
        </w:tc>
        <w:tc>
          <w:tcPr>
            <w:tcW w:w="6520"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Principal built</w:t>
            </w:r>
            <w:r w:rsidRPr="00714BB9">
              <w:rPr>
                <w:rFonts w:ascii="Arial" w:hAnsi="Arial" w:cs="Arial"/>
                <w:b/>
              </w:rPr>
              <w:noBreakHyphen/>
              <w:t>up roads</w:t>
            </w:r>
            <w:r w:rsidRPr="00714BB9">
              <w:rPr>
                <w:rFonts w:ascii="Arial" w:hAnsi="Arial" w:cs="Arial"/>
              </w:rPr>
              <w:t xml:space="preserve"> </w:t>
            </w:r>
            <w:r w:rsidRPr="00714BB9">
              <w:rPr>
                <w:rFonts w:ascii="Arial" w:hAnsi="Arial" w:cs="Arial"/>
                <w:i/>
              </w:rPr>
              <w:t>multiplied by</w:t>
            </w:r>
            <w:r w:rsidRPr="00714BB9">
              <w:rPr>
                <w:rFonts w:ascii="Arial" w:hAnsi="Arial" w:cs="Arial"/>
              </w:rPr>
              <w:t xml:space="preserve"> 2; and</w:t>
            </w:r>
          </w:p>
        </w:tc>
      </w:tr>
      <w:tr w:rsidR="00714BB9" w:rsidRPr="00714BB9" w:rsidTr="00182D58">
        <w:trPr>
          <w:trHeight w:val="427"/>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(ii)</w:t>
            </w:r>
          </w:p>
        </w:tc>
        <w:tc>
          <w:tcPr>
            <w:tcW w:w="6520"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Principal non built</w:t>
            </w:r>
            <w:r w:rsidRPr="00714BB9">
              <w:rPr>
                <w:rFonts w:ascii="Arial" w:hAnsi="Arial" w:cs="Arial"/>
                <w:b/>
              </w:rPr>
              <w:noBreakHyphen/>
              <w:t>up roads</w:t>
            </w:r>
            <w:r w:rsidRPr="00714BB9">
              <w:rPr>
                <w:rFonts w:ascii="Arial" w:hAnsi="Arial" w:cs="Arial"/>
              </w:rPr>
              <w:t>; and</w:t>
            </w:r>
          </w:p>
        </w:tc>
      </w:tr>
      <w:tr w:rsidR="00714BB9" w:rsidRPr="00714BB9" w:rsidTr="00182D58">
        <w:trPr>
          <w:trHeight w:val="435"/>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(iii)</w:t>
            </w:r>
          </w:p>
        </w:tc>
        <w:tc>
          <w:tcPr>
            <w:tcW w:w="6520"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Other built</w:t>
            </w:r>
            <w:r w:rsidRPr="00714BB9">
              <w:rPr>
                <w:rFonts w:ascii="Arial" w:hAnsi="Arial" w:cs="Arial"/>
                <w:b/>
              </w:rPr>
              <w:noBreakHyphen/>
              <w:t>up roads</w:t>
            </w:r>
            <w:r w:rsidRPr="00714BB9">
              <w:rPr>
                <w:rFonts w:ascii="Arial" w:hAnsi="Arial" w:cs="Arial"/>
              </w:rPr>
              <w:t xml:space="preserve"> </w:t>
            </w:r>
            <w:r w:rsidRPr="00714BB9">
              <w:rPr>
                <w:rFonts w:ascii="Arial" w:hAnsi="Arial" w:cs="Arial"/>
                <w:i/>
              </w:rPr>
              <w:t>multiplied by</w:t>
            </w:r>
            <w:r w:rsidRPr="00714BB9">
              <w:rPr>
                <w:rFonts w:ascii="Arial" w:hAnsi="Arial" w:cs="Arial"/>
              </w:rPr>
              <w:t xml:space="preserve"> 2; and</w:t>
            </w:r>
          </w:p>
        </w:tc>
      </w:tr>
      <w:tr w:rsidR="00714BB9" w:rsidRPr="00714BB9" w:rsidTr="00182D58">
        <w:trPr>
          <w:trHeight w:val="411"/>
          <w:tblHeader/>
        </w:trPr>
        <w:tc>
          <w:tcPr>
            <w:tcW w:w="1904" w:type="dxa"/>
            <w:vAlign w:val="bottom"/>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(iv)</w:t>
            </w:r>
          </w:p>
        </w:tc>
        <w:tc>
          <w:tcPr>
            <w:tcW w:w="6520"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Other non built</w:t>
            </w:r>
            <w:r w:rsidRPr="00714BB9">
              <w:rPr>
                <w:rFonts w:ascii="Arial" w:hAnsi="Arial" w:cs="Arial"/>
                <w:b/>
              </w:rPr>
              <w:noBreakHyphen/>
              <w:t>up roads</w:t>
            </w:r>
            <w:r w:rsidRPr="00714BB9">
              <w:rPr>
                <w:rFonts w:ascii="Arial" w:hAnsi="Arial" w:cs="Arial"/>
              </w:rPr>
              <w:t>.</w:t>
            </w:r>
          </w:p>
        </w:tc>
      </w:tr>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Each of the types of roads in (</w:t>
            </w:r>
            <w:proofErr w:type="spellStart"/>
            <w:r w:rsidRPr="00714BB9">
              <w:rPr>
                <w:rFonts w:ascii="Arial" w:hAnsi="Arial" w:cs="Arial"/>
              </w:rPr>
              <w:t>i</w:t>
            </w:r>
            <w:proofErr w:type="spellEnd"/>
            <w:r w:rsidRPr="00714BB9">
              <w:rPr>
                <w:rFonts w:ascii="Arial" w:hAnsi="Arial" w:cs="Arial"/>
              </w:rPr>
              <w:t xml:space="preserve">) to (iv) above is as defined below for </w:t>
            </w:r>
            <w:r w:rsidRPr="00714BB9">
              <w:rPr>
                <w:rFonts w:ascii="Arial" w:hAnsi="Arial" w:cs="Arial"/>
                <w:b/>
              </w:rPr>
              <w:t>UNWEIGHTED ROAD LENGTHS.</w:t>
            </w:r>
          </w:p>
        </w:tc>
      </w:tr>
      <w:tr w:rsidR="00714BB9" w:rsidRPr="00714BB9" w:rsidTr="00182D58">
        <w:trPr>
          <w:trHeight w:val="492"/>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bookmarkStart w:id="1" w:name="Priciplebuilyuproads"/>
            <w:r w:rsidRPr="00714BB9">
              <w:rPr>
                <w:rFonts w:ascii="Arial" w:hAnsi="Arial" w:cs="Arial"/>
                <w:b/>
              </w:rPr>
              <w:t>TRAFFIC FLOW</w:t>
            </w: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The result of:</w:t>
            </w:r>
          </w:p>
        </w:tc>
      </w:tr>
      <w:tr w:rsidR="00714BB9" w:rsidRPr="00714BB9" w:rsidTr="00182D58">
        <w:trPr>
          <w:trHeight w:val="1421"/>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w:t>
            </w:r>
            <w:proofErr w:type="spellStart"/>
            <w:r w:rsidRPr="00714BB9">
              <w:rPr>
                <w:rFonts w:ascii="Arial" w:hAnsi="Arial" w:cs="Arial"/>
              </w:rPr>
              <w:t>i</w:t>
            </w:r>
            <w:proofErr w:type="spellEnd"/>
            <w:r w:rsidRPr="00714BB9">
              <w:rPr>
                <w:rFonts w:ascii="Arial" w:hAnsi="Arial" w:cs="Arial"/>
              </w:rPr>
              <w:t>)</w:t>
            </w:r>
          </w:p>
        </w:tc>
        <w:tc>
          <w:tcPr>
            <w:tcW w:w="6520" w:type="dxa"/>
          </w:tcPr>
          <w:p w:rsidR="00714BB9" w:rsidRPr="00714BB9" w:rsidRDefault="00714BB9" w:rsidP="00182D58">
            <w:pPr>
              <w:tabs>
                <w:tab w:val="left" w:pos="-720"/>
                <w:tab w:val="left" w:pos="22"/>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annual average flow of all motor vehicles (in millions) during 2009, 2010 and 2011 on principal roads for which the authority is the highway authority, except those roads that are </w:t>
            </w:r>
            <w:proofErr w:type="spellStart"/>
            <w:r w:rsidRPr="00714BB9">
              <w:rPr>
                <w:rFonts w:ascii="Arial" w:hAnsi="Arial" w:cs="Arial"/>
              </w:rPr>
              <w:t>detrunked</w:t>
            </w:r>
            <w:proofErr w:type="spellEnd"/>
            <w:r w:rsidRPr="00714BB9">
              <w:rPr>
                <w:rFonts w:ascii="Arial" w:hAnsi="Arial" w:cs="Arial"/>
              </w:rPr>
              <w:t xml:space="preserve">, as estimated by the Secretary of State for  Transport. The flows in each year are then averaged; </w:t>
            </w:r>
            <w:r w:rsidRPr="00714BB9">
              <w:rPr>
                <w:rFonts w:ascii="Arial" w:hAnsi="Arial" w:cs="Arial"/>
                <w:i/>
              </w:rPr>
              <w:t>plus</w:t>
            </w:r>
          </w:p>
        </w:tc>
      </w:tr>
      <w:tr w:rsidR="00714BB9" w:rsidRPr="00714BB9" w:rsidTr="00182D58">
        <w:trPr>
          <w:trHeight w:val="1413"/>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(ii)</w:t>
            </w:r>
          </w:p>
        </w:tc>
        <w:tc>
          <w:tcPr>
            <w:tcW w:w="6520" w:type="dxa"/>
          </w:tcPr>
          <w:p w:rsidR="00714BB9" w:rsidRPr="00714BB9" w:rsidRDefault="00714BB9" w:rsidP="00182D58">
            <w:pPr>
              <w:tabs>
                <w:tab w:val="left" w:pos="-720"/>
                <w:tab w:val="left" w:pos="22"/>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100 </w:t>
            </w:r>
            <w:r w:rsidRPr="00714BB9">
              <w:rPr>
                <w:rFonts w:ascii="Arial" w:hAnsi="Arial" w:cs="Arial"/>
                <w:i/>
              </w:rPr>
              <w:t>multiplied by</w:t>
            </w:r>
            <w:r w:rsidRPr="00714BB9">
              <w:rPr>
                <w:rFonts w:ascii="Arial" w:hAnsi="Arial" w:cs="Arial"/>
              </w:rPr>
              <w:t xml:space="preserve"> the annual average flow of heavy goods vehicles, buses and coaches (in millions) during 2009, 2010 and 2011 on principal roads for which the authority is the highway authority, except those roads that are </w:t>
            </w:r>
            <w:proofErr w:type="spellStart"/>
            <w:r w:rsidRPr="00714BB9">
              <w:rPr>
                <w:rFonts w:ascii="Arial" w:hAnsi="Arial" w:cs="Arial"/>
              </w:rPr>
              <w:t>detrunked</w:t>
            </w:r>
            <w:proofErr w:type="spellEnd"/>
            <w:r w:rsidRPr="00714BB9">
              <w:rPr>
                <w:rFonts w:ascii="Arial" w:hAnsi="Arial" w:cs="Arial"/>
              </w:rPr>
              <w:t>, as estimated by the Secretary of State for Transport. The flows in each year are then averaged.</w:t>
            </w:r>
          </w:p>
        </w:tc>
      </w:tr>
      <w:tr w:rsidR="00714BB9" w:rsidRPr="00714BB9" w:rsidTr="00714BB9">
        <w:trPr>
          <w:trHeight w:val="2395"/>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7168" w:type="dxa"/>
            <w:gridSpan w:val="2"/>
          </w:tcPr>
          <w:p w:rsidR="00714BB9" w:rsidRPr="00714BB9" w:rsidRDefault="00714BB9" w:rsidP="00182D58">
            <w:pPr>
              <w:tabs>
                <w:tab w:val="left" w:pos="-720"/>
                <w:tab w:val="left" w:pos="0"/>
                <w:tab w:val="left" w:pos="720"/>
                <w:tab w:val="left" w:pos="1440"/>
                <w:tab w:val="left" w:pos="1804"/>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For all authorities, the Secretary of State for Transport has also applied the above formula as he thinks appropriate to take account of traffic flows on substantial lengths of road which became principal roads for which the authority was the highway authority in the financial year beginning 1 April 2012 and in respect of which there was no significant change to the local road network or to the flow of traffic following the change in status of the road.</w:t>
            </w:r>
          </w:p>
        </w:tc>
      </w:tr>
      <w:tr w:rsidR="00714BB9" w:rsidRPr="00714BB9" w:rsidTr="00182D58">
        <w:trPr>
          <w:cantSplit/>
          <w:tblHeader/>
        </w:trPr>
        <w:tc>
          <w:tcPr>
            <w:tcW w:w="1904" w:type="dxa"/>
            <w:vMerge w:val="restart"/>
          </w:tcPr>
          <w:p w:rsidR="00714BB9" w:rsidRPr="00714BB9" w:rsidRDefault="00714BB9" w:rsidP="00182D58">
            <w:pPr>
              <w:pStyle w:val="Foote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b/>
              </w:rPr>
            </w:pPr>
            <w:r w:rsidRPr="00714BB9">
              <w:rPr>
                <w:rFonts w:ascii="Arial" w:hAnsi="Arial" w:cs="Arial"/>
                <w:b/>
              </w:rPr>
              <w:t>DAYTIME POPULATION PER KM</w:t>
            </w: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The sum of:</w:t>
            </w:r>
          </w:p>
        </w:tc>
      </w:tr>
      <w:tr w:rsidR="00714BB9" w:rsidRPr="00714BB9" w:rsidTr="00182D58">
        <w:trPr>
          <w:cantSplit/>
          <w:tblHeader/>
        </w:trPr>
        <w:tc>
          <w:tcPr>
            <w:tcW w:w="1904" w:type="dxa"/>
            <w:vMerge/>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w:t>
            </w:r>
            <w:proofErr w:type="spellStart"/>
            <w:r w:rsidRPr="00714BB9">
              <w:rPr>
                <w:rFonts w:ascii="Arial" w:hAnsi="Arial" w:cs="Arial"/>
              </w:rPr>
              <w:t>i</w:t>
            </w:r>
            <w:proofErr w:type="spellEnd"/>
            <w:r w:rsidRPr="00714BB9">
              <w:rPr>
                <w:rFonts w:ascii="Arial" w:hAnsi="Arial" w:cs="Arial"/>
              </w:rPr>
              <w:t>)</w:t>
            </w:r>
          </w:p>
        </w:tc>
        <w:tc>
          <w:tcPr>
            <w:tcW w:w="6520" w:type="dxa"/>
          </w:tcPr>
          <w:p w:rsidR="00714BB9" w:rsidRPr="00714BB9" w:rsidRDefault="00714BB9" w:rsidP="00182D58">
            <w:pPr>
              <w:tabs>
                <w:tab w:val="left" w:pos="-720"/>
                <w:tab w:val="left" w:pos="22"/>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total resident population at 30 June 2011, as estimated by the Office for National Statistics; </w:t>
            </w:r>
            <w:r w:rsidRPr="00714BB9">
              <w:rPr>
                <w:rFonts w:ascii="Arial" w:hAnsi="Arial" w:cs="Arial"/>
                <w:i/>
              </w:rPr>
              <w:t>plus</w:t>
            </w:r>
          </w:p>
        </w:tc>
      </w:tr>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(ii)</w:t>
            </w:r>
          </w:p>
        </w:tc>
        <w:tc>
          <w:tcPr>
            <w:tcW w:w="6520" w:type="dxa"/>
          </w:tcPr>
          <w:p w:rsidR="00714BB9" w:rsidRPr="00714BB9" w:rsidRDefault="00714BB9" w:rsidP="00182D58">
            <w:pPr>
              <w:tabs>
                <w:tab w:val="left" w:pos="-720"/>
                <w:tab w:val="left" w:pos="-545"/>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i/>
              </w:rPr>
            </w:pPr>
            <w:r w:rsidRPr="00714BB9">
              <w:rPr>
                <w:rFonts w:ascii="Arial" w:hAnsi="Arial" w:cs="Arial"/>
                <w:i/>
              </w:rPr>
              <w:t>Either the result of:</w:t>
            </w:r>
          </w:p>
          <w:p w:rsidR="00714BB9" w:rsidRPr="00714BB9" w:rsidRDefault="00714BB9" w:rsidP="00182D58">
            <w:pPr>
              <w:tabs>
                <w:tab w:val="left" w:pos="-720"/>
                <w:tab w:val="left" w:pos="-545"/>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number of persons working but not resident in the authority’s area </w:t>
            </w:r>
            <w:r w:rsidRPr="00714BB9">
              <w:rPr>
                <w:rFonts w:ascii="Arial" w:hAnsi="Arial" w:cs="Arial"/>
                <w:i/>
              </w:rPr>
              <w:t>minus</w:t>
            </w:r>
            <w:r w:rsidRPr="00714BB9">
              <w:rPr>
                <w:rFonts w:ascii="Arial" w:hAnsi="Arial" w:cs="Arial"/>
              </w:rPr>
              <w:t xml:space="preserve"> the number of persons resident in but working outside the authority’s area, as estimated by the Secretary of State using information from the 2001 Census; </w:t>
            </w:r>
          </w:p>
        </w:tc>
      </w:tr>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520" w:type="dxa"/>
          </w:tcPr>
          <w:p w:rsidR="00714BB9" w:rsidRPr="00714BB9" w:rsidRDefault="00714BB9" w:rsidP="00182D58">
            <w:pPr>
              <w:tabs>
                <w:tab w:val="left" w:pos="-720"/>
                <w:tab w:val="left" w:pos="-545"/>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i/>
              </w:rPr>
              <w:t>or</w:t>
            </w:r>
            <w:r w:rsidRPr="00714BB9">
              <w:rPr>
                <w:rFonts w:ascii="Arial" w:hAnsi="Arial" w:cs="Arial"/>
              </w:rPr>
              <w:t xml:space="preserve"> </w:t>
            </w:r>
            <w:r w:rsidRPr="00714BB9">
              <w:rPr>
                <w:rFonts w:ascii="Arial" w:hAnsi="Arial" w:cs="Arial"/>
                <w:b/>
              </w:rPr>
              <w:t>zero</w:t>
            </w:r>
            <w:r w:rsidRPr="00714BB9">
              <w:rPr>
                <w:rFonts w:ascii="Arial" w:hAnsi="Arial" w:cs="Arial"/>
              </w:rPr>
              <w:t xml:space="preserve">, whichever is the greater; </w:t>
            </w:r>
            <w:r w:rsidRPr="00714BB9">
              <w:rPr>
                <w:rFonts w:ascii="Arial" w:hAnsi="Arial" w:cs="Arial"/>
                <w:i/>
              </w:rPr>
              <w:t>plus</w:t>
            </w:r>
          </w:p>
        </w:tc>
      </w:tr>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(iii)</w:t>
            </w:r>
          </w:p>
        </w:tc>
        <w:tc>
          <w:tcPr>
            <w:tcW w:w="6520" w:type="dxa"/>
          </w:tcPr>
          <w:p w:rsidR="00714BB9" w:rsidRPr="00714BB9" w:rsidRDefault="00714BB9" w:rsidP="00182D58">
            <w:pPr>
              <w:tabs>
                <w:tab w:val="left" w:pos="-720"/>
                <w:tab w:val="left" w:pos="-545"/>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annual average number of nights stayed by domestic and foreign visitors in the authority’s area, </w:t>
            </w:r>
            <w:r w:rsidRPr="00714BB9">
              <w:rPr>
                <w:rFonts w:ascii="Arial" w:hAnsi="Arial" w:cs="Arial"/>
                <w:i/>
              </w:rPr>
              <w:t>divided</w:t>
            </w:r>
            <w:r w:rsidRPr="00714BB9">
              <w:rPr>
                <w:rFonts w:ascii="Arial" w:hAnsi="Arial" w:cs="Arial"/>
              </w:rPr>
              <w:t xml:space="preserve"> by 365, as estimated by the Secretary of State</w:t>
            </w:r>
          </w:p>
        </w:tc>
      </w:tr>
    </w:tbl>
    <w:p w:rsidR="00714BB9" w:rsidRPr="00714BB9" w:rsidRDefault="00714BB9" w:rsidP="00714B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714BB9" w:rsidRPr="00714BB9" w:rsidRDefault="00714BB9" w:rsidP="00714B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14BB9">
        <w:rPr>
          <w:rFonts w:ascii="Arial" w:hAnsi="Arial" w:cs="Arial"/>
        </w:rPr>
        <w:lastRenderedPageBreak/>
        <w:t xml:space="preserve">The result of the above is then divided by </w:t>
      </w:r>
      <w:proofErr w:type="spellStart"/>
      <w:r w:rsidRPr="00714BB9">
        <w:rPr>
          <w:rFonts w:ascii="Arial" w:hAnsi="Arial" w:cs="Arial"/>
          <w:b/>
        </w:rPr>
        <w:t>unweighted</w:t>
      </w:r>
      <w:proofErr w:type="spellEnd"/>
      <w:r w:rsidRPr="00714BB9">
        <w:rPr>
          <w:rFonts w:ascii="Arial" w:hAnsi="Arial" w:cs="Arial"/>
          <w:b/>
        </w:rPr>
        <w:t xml:space="preserve"> road lengths</w:t>
      </w:r>
      <w:r w:rsidRPr="00714BB9">
        <w:rPr>
          <w:rFonts w:ascii="Arial" w:hAnsi="Arial" w:cs="Arial"/>
        </w:rPr>
        <w:t xml:space="preserve"> (as defined below)</w:t>
      </w:r>
    </w:p>
    <w:p w:rsidR="00714BB9" w:rsidRDefault="00714BB9" w:rsidP="00714B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p>
    <w:p w:rsidR="00714BB9" w:rsidRPr="00714BB9" w:rsidRDefault="00714BB9" w:rsidP="00714B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rPr>
      </w:pPr>
      <w:r w:rsidRPr="00714BB9">
        <w:rPr>
          <w:rFonts w:ascii="Arial" w:hAnsi="Arial" w:cs="Arial"/>
          <w:i/>
        </w:rPr>
        <w:t>Overnight visitors</w:t>
      </w:r>
    </w:p>
    <w:p w:rsidR="00714BB9" w:rsidRPr="00714BB9" w:rsidRDefault="00714BB9" w:rsidP="00714BB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14BB9">
        <w:rPr>
          <w:rFonts w:ascii="Arial" w:hAnsi="Arial" w:cs="Arial"/>
        </w:rPr>
        <w:t>The estimate at (iii) is generally based on information from the United Kingdom Tourism Surveys (2002 to 2010), for domestic visitors; and from the International Passenger Surveys (2009 to 2011) and the 1991 Census, for the apportionment only, of foreign visitors.</w:t>
      </w:r>
    </w:p>
    <w:tbl>
      <w:tblPr>
        <w:tblW w:w="0" w:type="auto"/>
        <w:tblInd w:w="120" w:type="dxa"/>
        <w:tblLayout w:type="fixed"/>
        <w:tblCellMar>
          <w:left w:w="120" w:type="dxa"/>
          <w:right w:w="120" w:type="dxa"/>
        </w:tblCellMar>
        <w:tblLook w:val="0000" w:firstRow="0" w:lastRow="0" w:firstColumn="0" w:lastColumn="0" w:noHBand="0" w:noVBand="0"/>
      </w:tblPr>
      <w:tblGrid>
        <w:gridCol w:w="1904"/>
        <w:gridCol w:w="648"/>
        <w:gridCol w:w="6520"/>
      </w:tblGrid>
      <w:tr w:rsidR="00714BB9" w:rsidRPr="00714BB9" w:rsidTr="00182D58">
        <w:trPr>
          <w:trHeight w:val="445"/>
          <w:tblHeader/>
        </w:trPr>
        <w:tc>
          <w:tcPr>
            <w:tcW w:w="1904" w:type="dxa"/>
            <w:vMerge w:val="restart"/>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bookmarkStart w:id="2" w:name="_Toc436531419"/>
            <w:bookmarkStart w:id="3" w:name="_Toc436533966"/>
            <w:bookmarkStart w:id="4" w:name="_Toc436554890"/>
            <w:bookmarkStart w:id="5" w:name="_Toc436555067"/>
            <w:bookmarkStart w:id="6" w:name="_Toc436555244"/>
            <w:bookmarkStart w:id="7" w:name="_Toc436555421"/>
            <w:bookmarkStart w:id="8" w:name="_Toc436642168"/>
            <w:bookmarkStart w:id="9" w:name="_Toc436718398"/>
            <w:bookmarkStart w:id="10" w:name="_Toc441993968"/>
            <w:bookmarkStart w:id="11" w:name="_Toc441994232"/>
            <w:bookmarkStart w:id="12" w:name="_Toc441995394"/>
            <w:bookmarkStart w:id="13" w:name="_Toc530990726"/>
            <w:bookmarkEnd w:id="1"/>
            <w:r w:rsidRPr="00714BB9">
              <w:rPr>
                <w:rFonts w:ascii="Arial" w:hAnsi="Arial" w:cs="Arial"/>
                <w:b/>
              </w:rPr>
              <w:t>UNWEIGHTED ROAD LENGTHS</w:t>
            </w:r>
          </w:p>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The sum of:</w:t>
            </w:r>
          </w:p>
        </w:tc>
      </w:tr>
      <w:tr w:rsidR="00714BB9" w:rsidRPr="00714BB9" w:rsidTr="00182D58">
        <w:trPr>
          <w:trHeight w:val="1005"/>
          <w:tblHeader/>
        </w:trPr>
        <w:tc>
          <w:tcPr>
            <w:tcW w:w="1904" w:type="dxa"/>
            <w:vMerge/>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720"/>
              <w:jc w:val="both"/>
              <w:rPr>
                <w:rFonts w:ascii="Arial" w:hAnsi="Arial" w:cs="Arial"/>
              </w:rPr>
            </w:pPr>
            <w:r w:rsidRPr="00714BB9">
              <w:rPr>
                <w:rFonts w:ascii="Arial" w:hAnsi="Arial" w:cs="Arial"/>
              </w:rPr>
              <w:t>(</w:t>
            </w:r>
            <w:proofErr w:type="spellStart"/>
            <w:r w:rsidRPr="00714BB9">
              <w:rPr>
                <w:rFonts w:ascii="Arial" w:hAnsi="Arial" w:cs="Arial"/>
              </w:rPr>
              <w:t>i</w:t>
            </w:r>
            <w:proofErr w:type="spellEnd"/>
            <w:r w:rsidRPr="00714BB9">
              <w:rPr>
                <w:rFonts w:ascii="Arial" w:hAnsi="Arial" w:cs="Arial"/>
              </w:rPr>
              <w:t>)</w:t>
            </w:r>
          </w:p>
        </w:tc>
        <w:tc>
          <w:tcPr>
            <w:tcW w:w="6520" w:type="dxa"/>
          </w:tcPr>
          <w:p w:rsidR="00714BB9" w:rsidRPr="00714BB9" w:rsidRDefault="00714BB9" w:rsidP="00182D5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22"/>
              <w:jc w:val="both"/>
              <w:rPr>
                <w:rFonts w:ascii="Arial" w:hAnsi="Arial" w:cs="Arial"/>
              </w:rPr>
            </w:pPr>
            <w:r w:rsidRPr="00714BB9">
              <w:rPr>
                <w:rFonts w:ascii="Arial" w:hAnsi="Arial" w:cs="Arial"/>
                <w:b/>
              </w:rPr>
              <w:t>Principal built</w:t>
            </w:r>
            <w:r w:rsidRPr="00714BB9">
              <w:rPr>
                <w:rFonts w:ascii="Arial" w:hAnsi="Arial" w:cs="Arial"/>
                <w:b/>
              </w:rPr>
              <w:noBreakHyphen/>
              <w:t>up roads:</w:t>
            </w:r>
            <w:r w:rsidRPr="00714BB9">
              <w:rPr>
                <w:rFonts w:ascii="Arial" w:hAnsi="Arial" w:cs="Arial"/>
              </w:rPr>
              <w:t xml:space="preserve"> the length (in kilometres) of principal roads that are subject to a speed limit not exceeding 40 miles per hour and principal motorways; and</w:t>
            </w:r>
          </w:p>
        </w:tc>
      </w:tr>
      <w:tr w:rsidR="00714BB9" w:rsidRPr="00714BB9" w:rsidTr="00182D58">
        <w:trPr>
          <w:trHeight w:val="990"/>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720"/>
              <w:jc w:val="both"/>
              <w:rPr>
                <w:rFonts w:ascii="Arial" w:hAnsi="Arial" w:cs="Arial"/>
              </w:rPr>
            </w:pPr>
            <w:r w:rsidRPr="00714BB9">
              <w:rPr>
                <w:rFonts w:ascii="Arial" w:hAnsi="Arial" w:cs="Arial"/>
              </w:rPr>
              <w:t>(ii)</w:t>
            </w:r>
          </w:p>
        </w:tc>
        <w:tc>
          <w:tcPr>
            <w:tcW w:w="6520" w:type="dxa"/>
          </w:tcPr>
          <w:p w:rsidR="00714BB9" w:rsidRPr="00714BB9" w:rsidRDefault="00714BB9" w:rsidP="00182D58">
            <w:pPr>
              <w:tabs>
                <w:tab w:val="left" w:pos="-720"/>
                <w:tab w:val="left" w:pos="22"/>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22"/>
              <w:jc w:val="both"/>
              <w:rPr>
                <w:rFonts w:ascii="Arial" w:hAnsi="Arial" w:cs="Arial"/>
              </w:rPr>
            </w:pPr>
            <w:r w:rsidRPr="00714BB9">
              <w:rPr>
                <w:rFonts w:ascii="Arial" w:hAnsi="Arial" w:cs="Arial"/>
                <w:b/>
              </w:rPr>
              <w:t>Principal non built</w:t>
            </w:r>
            <w:r w:rsidRPr="00714BB9">
              <w:rPr>
                <w:rFonts w:ascii="Arial" w:hAnsi="Arial" w:cs="Arial"/>
                <w:b/>
              </w:rPr>
              <w:noBreakHyphen/>
              <w:t>up roads:</w:t>
            </w:r>
            <w:r w:rsidRPr="00714BB9">
              <w:rPr>
                <w:rFonts w:ascii="Arial" w:hAnsi="Arial" w:cs="Arial"/>
              </w:rPr>
              <w:t xml:space="preserve"> the length (in kilometres) of principal roads that are not subject to a speed limit of 40 miles per hour or less, but excluding principal motorways; and</w:t>
            </w:r>
          </w:p>
        </w:tc>
      </w:tr>
      <w:tr w:rsidR="00714BB9" w:rsidRPr="00714BB9" w:rsidTr="00182D58">
        <w:trPr>
          <w:trHeight w:val="720"/>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720"/>
              <w:jc w:val="both"/>
              <w:rPr>
                <w:rFonts w:ascii="Arial" w:hAnsi="Arial" w:cs="Arial"/>
              </w:rPr>
            </w:pPr>
            <w:r w:rsidRPr="00714BB9">
              <w:rPr>
                <w:rFonts w:ascii="Arial" w:hAnsi="Arial" w:cs="Arial"/>
              </w:rPr>
              <w:t>(iii)</w:t>
            </w:r>
          </w:p>
        </w:tc>
        <w:tc>
          <w:tcPr>
            <w:tcW w:w="6520" w:type="dxa"/>
          </w:tcPr>
          <w:p w:rsidR="00714BB9" w:rsidRPr="00714BB9" w:rsidRDefault="00714BB9" w:rsidP="00182D58">
            <w:pPr>
              <w:tabs>
                <w:tab w:val="left" w:pos="-720"/>
                <w:tab w:val="left" w:pos="-545"/>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Other built</w:t>
            </w:r>
            <w:r w:rsidRPr="00714BB9">
              <w:rPr>
                <w:rFonts w:ascii="Arial" w:hAnsi="Arial" w:cs="Arial"/>
                <w:b/>
              </w:rPr>
              <w:noBreakHyphen/>
              <w:t>up roads:</w:t>
            </w:r>
            <w:r w:rsidRPr="00714BB9">
              <w:rPr>
                <w:rFonts w:ascii="Arial" w:hAnsi="Arial" w:cs="Arial"/>
              </w:rPr>
              <w:t xml:space="preserve"> the length (in kilometres) of all other roads that are subject to a speed limit not exceeding 40 miles per hour; and</w:t>
            </w:r>
          </w:p>
        </w:tc>
      </w:tr>
      <w:tr w:rsidR="00714BB9" w:rsidRPr="00714BB9" w:rsidTr="00182D58">
        <w:trPr>
          <w:trHeight w:val="702"/>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648"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720"/>
              <w:jc w:val="both"/>
              <w:rPr>
                <w:rFonts w:ascii="Arial" w:hAnsi="Arial" w:cs="Arial"/>
              </w:rPr>
            </w:pPr>
            <w:r w:rsidRPr="00714BB9">
              <w:rPr>
                <w:rFonts w:ascii="Arial" w:hAnsi="Arial" w:cs="Arial"/>
              </w:rPr>
              <w:t>(iv)</w:t>
            </w:r>
          </w:p>
        </w:tc>
        <w:tc>
          <w:tcPr>
            <w:tcW w:w="6520" w:type="dxa"/>
          </w:tcPr>
          <w:p w:rsidR="00714BB9" w:rsidRPr="00714BB9" w:rsidRDefault="00714BB9" w:rsidP="00182D58">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hanging="22"/>
              <w:jc w:val="both"/>
              <w:rPr>
                <w:rFonts w:ascii="Arial" w:hAnsi="Arial" w:cs="Arial"/>
              </w:rPr>
            </w:pPr>
            <w:r w:rsidRPr="00714BB9">
              <w:rPr>
                <w:rFonts w:ascii="Arial" w:hAnsi="Arial" w:cs="Arial"/>
                <w:b/>
              </w:rPr>
              <w:t>Other non built</w:t>
            </w:r>
            <w:r w:rsidRPr="00714BB9">
              <w:rPr>
                <w:rFonts w:ascii="Arial" w:hAnsi="Arial" w:cs="Arial"/>
                <w:b/>
              </w:rPr>
              <w:noBreakHyphen/>
              <w:t>up roads:</w:t>
            </w:r>
            <w:r w:rsidRPr="00714BB9">
              <w:rPr>
                <w:rFonts w:ascii="Arial" w:hAnsi="Arial" w:cs="Arial"/>
              </w:rPr>
              <w:t xml:space="preserve"> the length (in kilometres) of all other roads that are not subject to a speed limit of 40 miles per hour or less,</w:t>
            </w:r>
          </w:p>
        </w:tc>
      </w:tr>
      <w:tr w:rsidR="00714BB9" w:rsidRPr="00714BB9" w:rsidTr="00182D58">
        <w:trPr>
          <w:trHeight w:val="1203"/>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roofErr w:type="gramStart"/>
            <w:r w:rsidRPr="00714BB9">
              <w:rPr>
                <w:rFonts w:ascii="Arial" w:hAnsi="Arial" w:cs="Arial"/>
              </w:rPr>
              <w:t>where</w:t>
            </w:r>
            <w:proofErr w:type="gramEnd"/>
            <w:r w:rsidRPr="00714BB9">
              <w:rPr>
                <w:rFonts w:ascii="Arial" w:hAnsi="Arial" w:cs="Arial"/>
              </w:rPr>
              <w:t xml:space="preserve"> the lengths of principal roads relate to the position at 1 April 2012, as estimated by the Secretary of State for Transport. The roads are those for which the authority is the highway authority. These road lengths exclude those roads that are </w:t>
            </w:r>
            <w:proofErr w:type="spellStart"/>
            <w:r w:rsidRPr="00714BB9">
              <w:rPr>
                <w:rFonts w:ascii="Arial" w:hAnsi="Arial" w:cs="Arial"/>
              </w:rPr>
              <w:t>detrunked</w:t>
            </w:r>
            <w:proofErr w:type="spellEnd"/>
            <w:r w:rsidRPr="00714BB9">
              <w:rPr>
                <w:rFonts w:ascii="Arial" w:hAnsi="Arial" w:cs="Arial"/>
              </w:rPr>
              <w:t>.</w:t>
            </w:r>
          </w:p>
        </w:tc>
      </w:tr>
      <w:tr w:rsidR="00714BB9" w:rsidRPr="00714BB9" w:rsidTr="00182D58">
        <w:trPr>
          <w:tblHeader/>
        </w:trPr>
        <w:tc>
          <w:tcPr>
            <w:tcW w:w="1904" w:type="dxa"/>
          </w:tcPr>
          <w:p w:rsidR="00714BB9" w:rsidRPr="00714BB9" w:rsidRDefault="00714BB9" w:rsidP="00182D58">
            <w:pPr>
              <w:spacing w:before="120"/>
              <w:jc w:val="both"/>
              <w:rPr>
                <w:rFonts w:ascii="Arial" w:hAnsi="Arial" w:cs="Arial"/>
              </w:rPr>
            </w:pP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lengths of roads have been adjusted, as the Secretary of State for Transport considers appropriate, to reflect any change in responsibility for the maintenance of roads between the local authority and the Department for Transport, between 1 April 2012 and 1 April 2013 which was agreed by the Secretary of State for Transport on or by 1 October 2012 and involves a net adjustment of at least one kilometre of road length for the local authority. These road lengths exclude those roads that are </w:t>
            </w:r>
            <w:proofErr w:type="spellStart"/>
            <w:r w:rsidRPr="00714BB9">
              <w:rPr>
                <w:rFonts w:ascii="Arial" w:hAnsi="Arial" w:cs="Arial"/>
              </w:rPr>
              <w:t>detrunked</w:t>
            </w:r>
            <w:proofErr w:type="spellEnd"/>
            <w:r w:rsidRPr="00714BB9">
              <w:rPr>
                <w:rFonts w:ascii="Arial" w:hAnsi="Arial" w:cs="Arial"/>
              </w:rPr>
              <w:t>.</w:t>
            </w:r>
          </w:p>
        </w:tc>
      </w:tr>
    </w:tbl>
    <w:p w:rsidR="00714BB9" w:rsidRPr="00714BB9" w:rsidRDefault="00714BB9" w:rsidP="00714BB9">
      <w:pPr>
        <w:rPr>
          <w:rFonts w:ascii="Arial" w:hAnsi="Arial" w:cs="Arial"/>
        </w:rPr>
      </w:pPr>
      <w:bookmarkStart w:id="14" w:name="WeightedRoadLengthsB"/>
      <w:bookmarkStart w:id="15" w:name="UnweightedRoadLengths"/>
      <w:bookmarkStart w:id="16" w:name="_Toc436531421"/>
      <w:bookmarkStart w:id="17" w:name="_Toc436533968"/>
      <w:bookmarkStart w:id="18" w:name="_Toc436554892"/>
      <w:bookmarkStart w:id="19" w:name="_Toc436555069"/>
      <w:bookmarkStart w:id="20" w:name="_Toc436555246"/>
      <w:bookmarkStart w:id="21" w:name="_Toc436555423"/>
      <w:bookmarkStart w:id="22" w:name="_Toc436642170"/>
      <w:bookmarkStart w:id="23" w:name="_Toc436718400"/>
      <w:bookmarkStart w:id="24" w:name="_Toc441993970"/>
      <w:bookmarkStart w:id="25" w:name="_Toc441994234"/>
      <w:bookmarkStart w:id="26" w:name="_Toc441995396"/>
      <w:bookmarkStart w:id="27" w:name="_Toc530990728"/>
      <w:bookmarkEnd w:id="2"/>
      <w:bookmarkEnd w:id="3"/>
      <w:bookmarkEnd w:id="4"/>
      <w:bookmarkEnd w:id="5"/>
      <w:bookmarkEnd w:id="6"/>
      <w:bookmarkEnd w:id="7"/>
      <w:bookmarkEnd w:id="8"/>
      <w:bookmarkEnd w:id="9"/>
      <w:bookmarkEnd w:id="10"/>
      <w:bookmarkEnd w:id="11"/>
      <w:bookmarkEnd w:id="12"/>
      <w:bookmarkEnd w:id="13"/>
      <w:bookmarkEnd w:id="14"/>
      <w:bookmarkEnd w:id="15"/>
    </w:p>
    <w:tbl>
      <w:tblPr>
        <w:tblW w:w="0" w:type="auto"/>
        <w:tblInd w:w="120" w:type="dxa"/>
        <w:tblLayout w:type="fixed"/>
        <w:tblCellMar>
          <w:left w:w="120" w:type="dxa"/>
          <w:right w:w="120" w:type="dxa"/>
        </w:tblCellMar>
        <w:tblLook w:val="0000" w:firstRow="0" w:lastRow="0" w:firstColumn="0" w:lastColumn="0" w:noHBand="0" w:noVBand="0"/>
      </w:tblPr>
      <w:tblGrid>
        <w:gridCol w:w="1904"/>
        <w:gridCol w:w="223"/>
        <w:gridCol w:w="6945"/>
      </w:tblGrid>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r w:rsidRPr="00714BB9">
              <w:rPr>
                <w:rFonts w:ascii="Arial" w:hAnsi="Arial" w:cs="Arial"/>
                <w:b/>
              </w:rPr>
              <w:lastRenderedPageBreak/>
              <w:t>DAYS WITH SNOW LYING</w:t>
            </w: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The annual average number of days with snow lying at 09.00 hours during 1978 to 1990 inclusive, as estimated by the Secretary of State on the basis of information from the Meteorological Office.</w:t>
            </w:r>
          </w:p>
        </w:tc>
      </w:tr>
      <w:tr w:rsidR="00714BB9" w:rsidRPr="00714BB9" w:rsidTr="00182D58">
        <w:trPr>
          <w:tblHeader/>
        </w:trPr>
        <w:tc>
          <w:tcPr>
            <w:tcW w:w="1904"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b/>
              </w:rPr>
              <w:t xml:space="preserve">PREDICTED GRITTING DAYS </w:t>
            </w:r>
          </w:p>
        </w:tc>
        <w:tc>
          <w:tcPr>
            <w:tcW w:w="7168"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rPr>
            </w:pPr>
            <w:r w:rsidRPr="00714BB9">
              <w:rPr>
                <w:rFonts w:ascii="Arial" w:hAnsi="Arial" w:cs="Arial"/>
              </w:rPr>
              <w:t xml:space="preserve">The annual average number of days where gritting would have been predicted, using the Meteorological Office Open Road Index (MOORI), generally averaged over the 10 most recent winters up to and including 2001-02 where data are available, as estimated by the Secretary of State. </w:t>
            </w:r>
          </w:p>
        </w:tc>
      </w:tr>
      <w:bookmarkEnd w:id="16"/>
      <w:bookmarkEnd w:id="17"/>
      <w:bookmarkEnd w:id="18"/>
      <w:bookmarkEnd w:id="19"/>
      <w:bookmarkEnd w:id="20"/>
      <w:bookmarkEnd w:id="21"/>
      <w:bookmarkEnd w:id="22"/>
      <w:bookmarkEnd w:id="23"/>
      <w:bookmarkEnd w:id="24"/>
      <w:bookmarkEnd w:id="25"/>
      <w:bookmarkEnd w:id="26"/>
      <w:bookmarkEnd w:id="27"/>
      <w:tr w:rsidR="00714BB9" w:rsidRPr="00714BB9" w:rsidTr="00182D58">
        <w:trPr>
          <w:tblHeader/>
        </w:trPr>
        <w:tc>
          <w:tcPr>
            <w:tcW w:w="2127" w:type="dxa"/>
            <w:gridSpan w:val="2"/>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rPr>
                <w:rFonts w:ascii="Arial" w:hAnsi="Arial" w:cs="Arial"/>
              </w:rPr>
            </w:pPr>
            <w:r w:rsidRPr="00714BB9">
              <w:rPr>
                <w:rFonts w:ascii="Arial" w:hAnsi="Arial" w:cs="Arial"/>
                <w:b/>
              </w:rPr>
              <w:t>AREA COST ADJUSTMENT FOR HIGHWAY MAINTENANCE</w:t>
            </w:r>
          </w:p>
        </w:tc>
        <w:tc>
          <w:tcPr>
            <w:tcW w:w="6945" w:type="dxa"/>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rPr>
              <w:t xml:space="preserve">A factor calculated to reflect differences in the cost of highway maintenance across the country. The factor is given in Annex G. It is generally based on information derived from the following sources: the 2009, 2010 and 2011 Annual Survey of Hours and Earnings provided by the Office for National Statistics; </w:t>
            </w:r>
            <w:r w:rsidRPr="00714BB9">
              <w:rPr>
                <w:rFonts w:ascii="Arial" w:hAnsi="Arial" w:cs="Arial"/>
                <w:color w:val="000000"/>
              </w:rPr>
              <w:t xml:space="preserve">2007 Annual Business Inquiry Part 2 provided by the Office for National Statistics; 2008 Small and Medium Enterprise statistics provided by the Department for Business, Innovation and Skills; </w:t>
            </w:r>
            <w:r w:rsidRPr="00714BB9">
              <w:rPr>
                <w:rFonts w:ascii="Arial" w:hAnsi="Arial" w:cs="Arial"/>
                <w:color w:val="000000"/>
                <w:lang w:val="en-US"/>
              </w:rPr>
              <w:t xml:space="preserve"> </w:t>
            </w:r>
            <w:r w:rsidRPr="00714BB9">
              <w:rPr>
                <w:rFonts w:ascii="Arial" w:hAnsi="Arial" w:cs="Arial"/>
              </w:rPr>
              <w:t xml:space="preserve"> </w:t>
            </w:r>
            <w:r w:rsidRPr="00714BB9">
              <w:rPr>
                <w:rFonts w:ascii="Arial" w:hAnsi="Arial" w:cs="Arial"/>
                <w:spacing w:val="-2"/>
              </w:rPr>
              <w:t xml:space="preserve">Subjective Analysis Return 2005-06 and 2007-08; Trading Services Revenue accounts 2007-08; Revenue Outturn forms (RO2) 2007-08; rateable values per square metre for offices in administrative areas in England and Wales from the VOA statistical release Business </w:t>
            </w:r>
            <w:proofErr w:type="spellStart"/>
            <w:r w:rsidRPr="00714BB9">
              <w:rPr>
                <w:rFonts w:ascii="Arial" w:hAnsi="Arial" w:cs="Arial"/>
                <w:spacing w:val="-2"/>
              </w:rPr>
              <w:t>Floorspace</w:t>
            </w:r>
            <w:proofErr w:type="spellEnd"/>
            <w:r w:rsidRPr="00714BB9">
              <w:rPr>
                <w:rFonts w:ascii="Arial" w:hAnsi="Arial" w:cs="Arial"/>
                <w:spacing w:val="-2"/>
              </w:rPr>
              <w:t xml:space="preserve"> 2012; gross non-domestic rates and increases and reductions in rate yields, as supplied by authorities to the Secretary of State on the National Non-Domestic Rates Provisional Contributions Return 2010-11; </w:t>
            </w:r>
            <w:r w:rsidRPr="00714BB9">
              <w:rPr>
                <w:rFonts w:ascii="Arial" w:hAnsi="Arial" w:cs="Arial"/>
                <w:color w:val="000000"/>
              </w:rPr>
              <w:t xml:space="preserve">an applicable sample of publicly available company accounts; </w:t>
            </w:r>
            <w:r w:rsidRPr="00714BB9">
              <w:rPr>
                <w:rFonts w:ascii="Arial" w:hAnsi="Arial" w:cs="Arial"/>
                <w:spacing w:val="-2"/>
              </w:rPr>
              <w:t>and the total resident population as at 30 June 2011, as estimated by the Office for National Statistics.</w:t>
            </w:r>
          </w:p>
        </w:tc>
      </w:tr>
    </w:tbl>
    <w:p w:rsidR="00714BB9" w:rsidRPr="00714BB9" w:rsidRDefault="00714BB9" w:rsidP="00714BB9">
      <w:pPr>
        <w:ind w:left="360"/>
        <w:rPr>
          <w:rFonts w:ascii="Arial" w:hAnsi="Arial" w:cs="Arial"/>
        </w:rPr>
      </w:pPr>
    </w:p>
    <w:p w:rsidR="00714BB9" w:rsidRPr="00714BB9" w:rsidRDefault="00714BB9" w:rsidP="00714BB9">
      <w:pPr>
        <w:rPr>
          <w:rFonts w:ascii="Arial" w:hAnsi="Arial" w:cs="Arial"/>
        </w:rPr>
      </w:pPr>
      <w:r w:rsidRPr="00714BB9">
        <w:rPr>
          <w:rFonts w:ascii="Arial" w:hAnsi="Arial" w:cs="Arial"/>
        </w:rPr>
        <w:br w:type="page"/>
      </w:r>
    </w:p>
    <w:p w:rsidR="00714BB9" w:rsidRPr="00714BB9" w:rsidRDefault="00714BB9" w:rsidP="00714BB9">
      <w:pPr>
        <w:ind w:left="360"/>
        <w:rPr>
          <w:rFonts w:ascii="Arial" w:hAnsi="Arial" w:cs="Arial"/>
          <w:b/>
        </w:rPr>
      </w:pPr>
      <w:r w:rsidRPr="00714BB9">
        <w:rPr>
          <w:rFonts w:ascii="Arial" w:hAnsi="Arial" w:cs="Arial"/>
          <w:b/>
        </w:rPr>
        <w:lastRenderedPageBreak/>
        <w:t>Annex B: 2013-14 County-Level EPCS Relative Needs Formula</w:t>
      </w:r>
    </w:p>
    <w:p w:rsidR="00714BB9" w:rsidRPr="00714BB9" w:rsidRDefault="00714BB9" w:rsidP="00714BB9">
      <w:pPr>
        <w:ind w:left="360"/>
        <w:rPr>
          <w:rFonts w:ascii="Arial" w:hAnsi="Arial" w:cs="Arial"/>
        </w:rPr>
      </w:pPr>
    </w:p>
    <w:p w:rsidR="00714BB9" w:rsidRPr="00714BB9" w:rsidRDefault="00714BB9" w:rsidP="00714BB9">
      <w:pPr>
        <w:tabs>
          <w:tab w:val="num" w:pos="567"/>
        </w:tabs>
        <w:rPr>
          <w:rFonts w:ascii="Arial" w:hAnsi="Arial" w:cs="Arial"/>
          <w:b/>
          <w:i/>
        </w:rPr>
      </w:pPr>
      <w:r w:rsidRPr="00714BB9">
        <w:rPr>
          <w:rFonts w:ascii="Arial" w:hAnsi="Arial" w:cs="Arial"/>
          <w:b/>
          <w:i/>
        </w:rPr>
        <w:t>Basic amount</w:t>
      </w:r>
    </w:p>
    <w:tbl>
      <w:tblPr>
        <w:tblW w:w="0" w:type="auto"/>
        <w:tblInd w:w="120" w:type="dxa"/>
        <w:tblLayout w:type="fixed"/>
        <w:tblCellMar>
          <w:left w:w="120" w:type="dxa"/>
          <w:right w:w="120" w:type="dxa"/>
        </w:tblCellMar>
        <w:tblLook w:val="0000" w:firstRow="0" w:lastRow="0" w:firstColumn="0" w:lastColumn="0" w:noHBand="0" w:noVBand="0"/>
      </w:tblPr>
      <w:tblGrid>
        <w:gridCol w:w="2694"/>
        <w:gridCol w:w="6378"/>
      </w:tblGrid>
      <w:tr w:rsidR="00714BB9" w:rsidRPr="00714BB9" w:rsidTr="00182D58">
        <w:tc>
          <w:tcPr>
            <w:tcW w:w="2694"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COUNTY SERVICES EPCS BASIC AMOUNT</w:t>
            </w:r>
          </w:p>
        </w:tc>
        <w:tc>
          <w:tcPr>
            <w:tcW w:w="6378"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color w:val="000000"/>
              </w:rPr>
            </w:pPr>
          </w:p>
          <w:p w:rsidR="00714BB9" w:rsidRPr="00714BB9" w:rsidRDefault="00714BB9" w:rsidP="00182D58">
            <w:pPr>
              <w:tabs>
                <w:tab w:val="num" w:pos="567"/>
              </w:tabs>
              <w:spacing w:after="58"/>
              <w:ind w:left="567" w:hanging="502"/>
              <w:jc w:val="both"/>
              <w:rPr>
                <w:rFonts w:ascii="Arial" w:hAnsi="Arial" w:cs="Arial"/>
                <w:b/>
              </w:rPr>
            </w:pPr>
            <w:r w:rsidRPr="00714BB9">
              <w:rPr>
                <w:rFonts w:ascii="Arial" w:hAnsi="Arial" w:cs="Arial"/>
                <w:color w:val="000000"/>
              </w:rPr>
              <w:t>6.6566</w:t>
            </w:r>
          </w:p>
        </w:tc>
      </w:tr>
    </w:tbl>
    <w:p w:rsidR="00714BB9" w:rsidRDefault="00714BB9" w:rsidP="00714BB9">
      <w:pPr>
        <w:tabs>
          <w:tab w:val="num" w:pos="567"/>
        </w:tabs>
        <w:ind w:left="567" w:hanging="502"/>
        <w:rPr>
          <w:rFonts w:ascii="Arial" w:hAnsi="Arial" w:cs="Arial"/>
          <w:b/>
        </w:rPr>
      </w:pPr>
    </w:p>
    <w:p w:rsidR="00714BB9" w:rsidRPr="00714BB9" w:rsidRDefault="00714BB9" w:rsidP="00714BB9">
      <w:pPr>
        <w:tabs>
          <w:tab w:val="num" w:pos="567"/>
        </w:tabs>
        <w:ind w:left="567" w:hanging="502"/>
        <w:rPr>
          <w:rFonts w:ascii="Arial" w:hAnsi="Arial" w:cs="Arial"/>
          <w:b/>
        </w:rPr>
      </w:pPr>
    </w:p>
    <w:p w:rsidR="00714BB9" w:rsidRPr="00714BB9" w:rsidRDefault="00714BB9" w:rsidP="00714BB9">
      <w:pPr>
        <w:tabs>
          <w:tab w:val="num" w:pos="567"/>
        </w:tabs>
        <w:ind w:left="567" w:hanging="502"/>
        <w:rPr>
          <w:rFonts w:ascii="Arial" w:hAnsi="Arial" w:cs="Arial"/>
          <w:b/>
          <w:i/>
        </w:rPr>
      </w:pPr>
      <w:r w:rsidRPr="00714BB9">
        <w:rPr>
          <w:rFonts w:ascii="Arial" w:hAnsi="Arial" w:cs="Arial"/>
          <w:b/>
          <w:i/>
        </w:rPr>
        <w:t>Top-ups</w:t>
      </w:r>
    </w:p>
    <w:tbl>
      <w:tblPr>
        <w:tblW w:w="0" w:type="auto"/>
        <w:tblInd w:w="120" w:type="dxa"/>
        <w:tblLayout w:type="fixed"/>
        <w:tblCellMar>
          <w:left w:w="120" w:type="dxa"/>
          <w:right w:w="120" w:type="dxa"/>
        </w:tblCellMar>
        <w:tblLook w:val="0000" w:firstRow="0" w:lastRow="0" w:firstColumn="0" w:lastColumn="0" w:noHBand="0" w:noVBand="0"/>
      </w:tblPr>
      <w:tblGrid>
        <w:gridCol w:w="2694"/>
        <w:gridCol w:w="6378"/>
      </w:tblGrid>
      <w:tr w:rsidR="00714BB9" w:rsidRPr="00714BB9" w:rsidTr="00182D58">
        <w:tc>
          <w:tcPr>
            <w:tcW w:w="2694"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COUNTY SERVICES EPCS DENSITY TOP-UP</w:t>
            </w:r>
          </w:p>
        </w:tc>
        <w:tc>
          <w:tcPr>
            <w:tcW w:w="6378"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b/>
              </w:rPr>
            </w:pPr>
            <w:r w:rsidRPr="00714BB9">
              <w:rPr>
                <w:rFonts w:ascii="Arial" w:hAnsi="Arial" w:cs="Arial"/>
                <w:color w:val="000000"/>
              </w:rPr>
              <w:t xml:space="preserve">0.1622 </w:t>
            </w:r>
            <w:r w:rsidRPr="00714BB9">
              <w:rPr>
                <w:rFonts w:ascii="Arial" w:hAnsi="Arial" w:cs="Arial"/>
                <w:i/>
                <w:color w:val="000000"/>
              </w:rPr>
              <w:t>multiplied by</w:t>
            </w:r>
            <w:r w:rsidRPr="00714BB9">
              <w:rPr>
                <w:rFonts w:ascii="Arial" w:hAnsi="Arial" w:cs="Arial"/>
                <w:b/>
                <w:color w:val="000000"/>
              </w:rPr>
              <w:t xml:space="preserve"> POPULATION DENSITY</w:t>
            </w:r>
          </w:p>
        </w:tc>
      </w:tr>
      <w:tr w:rsidR="00714BB9" w:rsidRPr="00714BB9" w:rsidTr="00182D58">
        <w:tc>
          <w:tcPr>
            <w:tcW w:w="2694"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COUNTY SERVICES EPCS SPARSITY TOP-UP</w:t>
            </w:r>
          </w:p>
        </w:tc>
        <w:tc>
          <w:tcPr>
            <w:tcW w:w="6378"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b/>
              </w:rPr>
            </w:pPr>
            <w:r w:rsidRPr="00714BB9">
              <w:rPr>
                <w:rFonts w:ascii="Arial" w:hAnsi="Arial" w:cs="Arial"/>
                <w:color w:val="000000"/>
              </w:rPr>
              <w:t xml:space="preserve">0.7157 </w:t>
            </w:r>
            <w:r w:rsidRPr="00714BB9">
              <w:rPr>
                <w:rFonts w:ascii="Arial" w:hAnsi="Arial" w:cs="Arial"/>
                <w:i/>
                <w:color w:val="000000"/>
              </w:rPr>
              <w:t>multiplied by</w:t>
            </w:r>
            <w:r w:rsidRPr="00714BB9">
              <w:rPr>
                <w:rFonts w:ascii="Arial" w:hAnsi="Arial" w:cs="Arial"/>
                <w:b/>
                <w:color w:val="000000"/>
              </w:rPr>
              <w:t xml:space="preserve"> POPULATION SPARSITY</w:t>
            </w:r>
          </w:p>
        </w:tc>
      </w:tr>
      <w:tr w:rsidR="00714BB9" w:rsidRPr="00714BB9" w:rsidTr="00182D58">
        <w:tc>
          <w:tcPr>
            <w:tcW w:w="2694"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46"/>
              <w:ind w:left="567" w:hanging="502"/>
              <w:rPr>
                <w:rFonts w:ascii="Arial" w:hAnsi="Arial" w:cs="Arial"/>
                <w:b/>
              </w:rPr>
            </w:pPr>
            <w:r w:rsidRPr="00714BB9">
              <w:rPr>
                <w:rFonts w:ascii="Arial" w:hAnsi="Arial" w:cs="Arial"/>
                <w:b/>
                <w:color w:val="000000"/>
              </w:rPr>
              <w:t>COUNTY SERVICES EPCS ADDITIONAL POPULATION TOP-UP</w:t>
            </w:r>
          </w:p>
        </w:tc>
        <w:tc>
          <w:tcPr>
            <w:tcW w:w="6378"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ind w:left="567" w:hanging="502"/>
              <w:jc w:val="both"/>
              <w:rPr>
                <w:rFonts w:ascii="Arial" w:hAnsi="Arial" w:cs="Arial"/>
                <w:color w:val="000000"/>
              </w:rPr>
            </w:pPr>
            <w:r w:rsidRPr="00714BB9">
              <w:rPr>
                <w:rFonts w:ascii="Arial" w:hAnsi="Arial" w:cs="Arial"/>
                <w:color w:val="000000"/>
              </w:rPr>
              <w:t xml:space="preserve">4.2499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color w:val="000000"/>
              </w:rPr>
              <w:t>NET</w:t>
            </w:r>
            <w:r w:rsidRPr="00714BB9">
              <w:rPr>
                <w:rFonts w:ascii="Arial" w:hAnsi="Arial" w:cs="Arial"/>
                <w:color w:val="000000"/>
              </w:rPr>
              <w:t xml:space="preserve"> </w:t>
            </w:r>
            <w:r w:rsidRPr="00714BB9">
              <w:rPr>
                <w:rFonts w:ascii="Arial" w:hAnsi="Arial" w:cs="Arial"/>
                <w:b/>
                <w:color w:val="000000"/>
              </w:rPr>
              <w:t>IN-COMMUTERS</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46"/>
              <w:ind w:left="567" w:hanging="502"/>
              <w:jc w:val="both"/>
              <w:rPr>
                <w:rFonts w:ascii="Arial" w:hAnsi="Arial" w:cs="Arial"/>
                <w:b/>
              </w:rPr>
            </w:pPr>
            <w:r w:rsidRPr="00714BB9">
              <w:rPr>
                <w:rFonts w:ascii="Arial" w:hAnsi="Arial" w:cs="Arial"/>
                <w:color w:val="000000"/>
              </w:rPr>
              <w:t xml:space="preserve">7.0817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color w:val="000000"/>
              </w:rPr>
              <w:t xml:space="preserve"> DAY VISITORS</w:t>
            </w:r>
          </w:p>
        </w:tc>
      </w:tr>
      <w:tr w:rsidR="00714BB9" w:rsidRPr="00714BB9" w:rsidTr="00182D58">
        <w:tc>
          <w:tcPr>
            <w:tcW w:w="2694" w:type="dxa"/>
          </w:tcPr>
          <w:p w:rsidR="00714BB9" w:rsidRPr="00714BB9" w:rsidRDefault="00714BB9" w:rsidP="00182D58">
            <w:pPr>
              <w:tabs>
                <w:tab w:val="num" w:pos="567"/>
              </w:tabs>
              <w:spacing w:line="-120" w:lineRule="auto"/>
              <w:ind w:left="567" w:hanging="502"/>
              <w:rPr>
                <w:rFonts w:ascii="Arial" w:hAnsi="Arial" w:cs="Arial"/>
                <w:b/>
              </w:rPr>
            </w:pPr>
          </w:p>
          <w:p w:rsidR="00714BB9" w:rsidRPr="00714BB9" w:rsidRDefault="00714BB9" w:rsidP="00182D58">
            <w:pPr>
              <w:tabs>
                <w:tab w:val="num" w:pos="567"/>
              </w:tabs>
              <w:spacing w:after="58"/>
              <w:ind w:left="567" w:hanging="502"/>
              <w:rPr>
                <w:rFonts w:ascii="Arial" w:hAnsi="Arial" w:cs="Arial"/>
                <w:b/>
              </w:rPr>
            </w:pPr>
            <w:r w:rsidRPr="00714BB9">
              <w:rPr>
                <w:rFonts w:ascii="Arial" w:hAnsi="Arial" w:cs="Arial"/>
                <w:b/>
                <w:color w:val="000000"/>
              </w:rPr>
              <w:t>COUNTY SERVICES EPCS DEPRIVATION TOP-UP</w:t>
            </w:r>
          </w:p>
        </w:tc>
        <w:tc>
          <w:tcPr>
            <w:tcW w:w="6378" w:type="dxa"/>
          </w:tcPr>
          <w:p w:rsidR="00714BB9" w:rsidRPr="00714BB9" w:rsidRDefault="00714BB9" w:rsidP="00182D58">
            <w:pPr>
              <w:tabs>
                <w:tab w:val="num" w:pos="567"/>
              </w:tabs>
              <w:spacing w:line="-120" w:lineRule="auto"/>
              <w:ind w:left="567" w:hanging="502"/>
              <w:jc w:val="both"/>
              <w:rPr>
                <w:rFonts w:ascii="Arial" w:hAnsi="Arial" w:cs="Arial"/>
                <w:b/>
              </w:rPr>
            </w:pPr>
          </w:p>
          <w:p w:rsidR="00714BB9" w:rsidRPr="00714BB9" w:rsidRDefault="00714BB9" w:rsidP="00182D58">
            <w:pPr>
              <w:tabs>
                <w:tab w:val="num" w:pos="567"/>
              </w:tabs>
              <w:spacing w:after="58"/>
              <w:ind w:left="567" w:hanging="502"/>
              <w:jc w:val="both"/>
              <w:rPr>
                <w:rFonts w:ascii="Arial" w:hAnsi="Arial" w:cs="Arial"/>
                <w:i/>
                <w:color w:val="000000"/>
              </w:rPr>
            </w:pPr>
            <w:r w:rsidRPr="00714BB9">
              <w:rPr>
                <w:rFonts w:ascii="Arial" w:hAnsi="Arial" w:cs="Arial"/>
                <w:color w:val="000000"/>
              </w:rPr>
              <w:t xml:space="preserve">25.4938 </w:t>
            </w:r>
            <w:r w:rsidRPr="00714BB9">
              <w:rPr>
                <w:rFonts w:ascii="Arial" w:hAnsi="Arial" w:cs="Arial"/>
                <w:i/>
                <w:color w:val="000000"/>
              </w:rPr>
              <w:t xml:space="preserve">multiplied by </w:t>
            </w:r>
            <w:r w:rsidRPr="00714BB9">
              <w:rPr>
                <w:rFonts w:ascii="Arial" w:hAnsi="Arial" w:cs="Arial"/>
                <w:b/>
                <w:color w:val="000000"/>
              </w:rPr>
              <w:t>UNEMPLOYMENT RELATED BENEFIT CLAIMANTS</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color w:val="000000"/>
              </w:rPr>
              <w:t xml:space="preserve">19.8285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rPr>
              <w:t>INCOME SUPPORT/ INCOME BASED JOBSEEKER’S ALLOWANCE/ GUARANTEE ELEMENT OF PENSION CREDIT CLAIMANTS</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color w:val="000000"/>
              </w:rPr>
              <w:t xml:space="preserve">9.9136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rPr>
              <w:t xml:space="preserve">INCAPACITY BENEFIT AND SEVERE DISABLEMENT ALLOWANCE </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567" w:hanging="502"/>
              <w:jc w:val="both"/>
              <w:rPr>
                <w:rFonts w:ascii="Arial" w:hAnsi="Arial" w:cs="Arial"/>
                <w:color w:val="000000"/>
              </w:rPr>
            </w:pPr>
            <w:r w:rsidRPr="00714BB9">
              <w:rPr>
                <w:rFonts w:ascii="Arial" w:hAnsi="Arial" w:cs="Arial"/>
                <w:color w:val="000000"/>
              </w:rPr>
              <w:t xml:space="preserve">3.5818 </w:t>
            </w:r>
            <w:r w:rsidRPr="00714BB9">
              <w:rPr>
                <w:rFonts w:ascii="Arial" w:hAnsi="Arial" w:cs="Arial"/>
                <w:i/>
                <w:color w:val="000000"/>
              </w:rPr>
              <w:t>multiplied by</w:t>
            </w:r>
            <w:r w:rsidRPr="00714BB9">
              <w:rPr>
                <w:rFonts w:ascii="Arial" w:hAnsi="Arial" w:cs="Arial"/>
                <w:color w:val="000000"/>
              </w:rPr>
              <w:t xml:space="preserve"> </w:t>
            </w:r>
            <w:r w:rsidRPr="00714BB9">
              <w:rPr>
                <w:rFonts w:ascii="Arial" w:hAnsi="Arial" w:cs="Arial"/>
                <w:b/>
              </w:rPr>
              <w:t>COUNTRY OF BIRTH OF RESIDENTS</w:t>
            </w:r>
          </w:p>
        </w:tc>
      </w:tr>
    </w:tbl>
    <w:p w:rsidR="00714BB9" w:rsidRDefault="00714BB9" w:rsidP="00714BB9">
      <w:pPr>
        <w:ind w:left="360"/>
        <w:rPr>
          <w:rFonts w:ascii="Arial" w:hAnsi="Arial" w:cs="Arial"/>
        </w:rPr>
      </w:pPr>
    </w:p>
    <w:p w:rsidR="00714BB9" w:rsidRPr="00714BB9" w:rsidRDefault="00714BB9" w:rsidP="00714BB9">
      <w:pPr>
        <w:ind w:left="360"/>
        <w:rPr>
          <w:rFonts w:ascii="Arial" w:hAnsi="Arial" w:cs="Arial"/>
        </w:rPr>
      </w:pPr>
    </w:p>
    <w:p w:rsidR="00714BB9" w:rsidRPr="00714BB9" w:rsidRDefault="00714BB9" w:rsidP="00714BB9">
      <w:pPr>
        <w:pStyle w:val="BodyText2"/>
        <w:tabs>
          <w:tab w:val="num" w:pos="567"/>
        </w:tabs>
        <w:rPr>
          <w:rFonts w:ascii="Arial" w:hAnsi="Arial" w:cs="Arial"/>
        </w:rPr>
      </w:pPr>
      <w:r w:rsidRPr="00714BB9">
        <w:rPr>
          <w:rFonts w:ascii="Arial" w:hAnsi="Arial" w:cs="Arial"/>
        </w:rPr>
        <w:t xml:space="preserve">The full formula used to calculate the </w:t>
      </w:r>
      <w:r w:rsidRPr="00714BB9">
        <w:rPr>
          <w:rFonts w:ascii="Arial" w:hAnsi="Arial" w:cs="Arial"/>
          <w:i/>
        </w:rPr>
        <w:t xml:space="preserve">RNF </w:t>
      </w:r>
      <w:r w:rsidRPr="00714BB9">
        <w:rPr>
          <w:rFonts w:ascii="Arial" w:hAnsi="Arial" w:cs="Arial"/>
        </w:rPr>
        <w:t>element for these services is:</w:t>
      </w:r>
    </w:p>
    <w:p w:rsidR="00714BB9" w:rsidRPr="00714BB9" w:rsidRDefault="00714BB9" w:rsidP="00714BB9">
      <w:pPr>
        <w:tabs>
          <w:tab w:val="num" w:pos="567"/>
        </w:tabs>
        <w:ind w:left="567" w:hanging="502"/>
        <w:rPr>
          <w:rFonts w:ascii="Arial" w:hAnsi="Arial" w:cs="Arial"/>
          <w:b/>
        </w:rPr>
      </w:pPr>
    </w:p>
    <w:tbl>
      <w:tblPr>
        <w:tblW w:w="0" w:type="auto"/>
        <w:tblInd w:w="829"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709"/>
        <w:gridCol w:w="7655"/>
      </w:tblGrid>
      <w:tr w:rsidR="00714BB9" w:rsidRPr="00714BB9" w:rsidTr="00182D58">
        <w:tc>
          <w:tcPr>
            <w:tcW w:w="8363" w:type="dxa"/>
            <w:gridSpan w:val="2"/>
            <w:shd w:val="solid" w:color="000000" w:fill="FFFFFF"/>
          </w:tcPr>
          <w:p w:rsidR="00714BB9" w:rsidRPr="00714BB9" w:rsidRDefault="00714BB9" w:rsidP="00182D58">
            <w:pPr>
              <w:pStyle w:val="Heading6"/>
              <w:tabs>
                <w:tab w:val="num" w:pos="567"/>
              </w:tabs>
              <w:ind w:left="567" w:hanging="502"/>
              <w:rPr>
                <w:rFonts w:ascii="Arial" w:hAnsi="Arial" w:cs="Arial"/>
              </w:rPr>
            </w:pPr>
            <w:r w:rsidRPr="00714BB9">
              <w:rPr>
                <w:rFonts w:ascii="Arial" w:hAnsi="Arial" w:cs="Arial"/>
              </w:rPr>
              <w:lastRenderedPageBreak/>
              <w:t>Services provided predominantly by county councils in non-metropolitan areas</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(a)</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b/>
                <w:sz w:val="22"/>
                <w:szCs w:val="22"/>
              </w:rPr>
              <w:t>PROJECTED POPULATION</w:t>
            </w:r>
            <w:r w:rsidRPr="00714BB9">
              <w:rPr>
                <w:rFonts w:cs="Arial"/>
                <w:sz w:val="22"/>
                <w:szCs w:val="22"/>
              </w:rPr>
              <w:t xml:space="preserve"> </w:t>
            </w:r>
            <w:r w:rsidRPr="00714BB9">
              <w:rPr>
                <w:rFonts w:cs="Arial"/>
                <w:b/>
                <w:sz w:val="22"/>
                <w:szCs w:val="22"/>
              </w:rPr>
              <w:t>IN 2013</w:t>
            </w:r>
            <w:r w:rsidRPr="00714BB9">
              <w:rPr>
                <w:rFonts w:cs="Arial"/>
                <w:sz w:val="22"/>
                <w:szCs w:val="22"/>
              </w:rPr>
              <w:t xml:space="preserve"> </w:t>
            </w:r>
            <w:r w:rsidRPr="00714BB9">
              <w:rPr>
                <w:rFonts w:cs="Arial"/>
                <w:i/>
                <w:sz w:val="22"/>
                <w:szCs w:val="22"/>
              </w:rPr>
              <w:t>multiplied by</w:t>
            </w:r>
            <w:r w:rsidRPr="00714BB9">
              <w:rPr>
                <w:rFonts w:cs="Arial"/>
                <w:sz w:val="22"/>
                <w:szCs w:val="22"/>
              </w:rPr>
              <w:t xml:space="preserve"> the result of:</w:t>
            </w:r>
          </w:p>
          <w:p w:rsidR="00714BB9" w:rsidRPr="00714BB9" w:rsidRDefault="00714BB9" w:rsidP="00182D58">
            <w:pPr>
              <w:tabs>
                <w:tab w:val="num" w:pos="567"/>
              </w:tabs>
              <w:ind w:left="1069" w:hanging="502"/>
              <w:jc w:val="both"/>
              <w:rPr>
                <w:rFonts w:ascii="Arial" w:hAnsi="Arial" w:cs="Arial"/>
                <w:i/>
                <w:color w:val="000000"/>
              </w:rPr>
            </w:pPr>
            <w:r w:rsidRPr="00714BB9">
              <w:rPr>
                <w:rFonts w:ascii="Arial" w:hAnsi="Arial" w:cs="Arial"/>
                <w:b/>
                <w:color w:val="000000"/>
              </w:rPr>
              <w:t>COUNTY SERVICES EPCS BASIC AMOUNT</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1069" w:hanging="502"/>
              <w:jc w:val="both"/>
              <w:rPr>
                <w:rFonts w:ascii="Arial" w:hAnsi="Arial" w:cs="Arial"/>
                <w:b/>
                <w:color w:val="000000"/>
              </w:rPr>
            </w:pPr>
            <w:r w:rsidRPr="00714BB9">
              <w:rPr>
                <w:rFonts w:ascii="Arial" w:hAnsi="Arial" w:cs="Arial"/>
                <w:b/>
                <w:color w:val="000000"/>
              </w:rPr>
              <w:t>COUNTY SERVICES EPCS DENSITY TOP-UP</w:t>
            </w:r>
            <w:r w:rsidRPr="00714BB9">
              <w:rPr>
                <w:rFonts w:ascii="Arial" w:hAnsi="Arial" w:cs="Arial"/>
                <w:color w:val="000000"/>
              </w:rPr>
              <w:t xml:space="preserve">; </w:t>
            </w:r>
            <w:r w:rsidRPr="00714BB9">
              <w:rPr>
                <w:rFonts w:ascii="Arial" w:hAnsi="Arial" w:cs="Arial"/>
                <w:i/>
                <w:color w:val="000000"/>
              </w:rPr>
              <w:t>plus</w:t>
            </w:r>
          </w:p>
          <w:p w:rsidR="00714BB9" w:rsidRPr="00714BB9" w:rsidRDefault="00714BB9" w:rsidP="00182D58">
            <w:pPr>
              <w:tabs>
                <w:tab w:val="num" w:pos="567"/>
              </w:tabs>
              <w:spacing w:after="58"/>
              <w:ind w:left="1069" w:hanging="502"/>
              <w:jc w:val="both"/>
              <w:rPr>
                <w:rFonts w:ascii="Arial" w:hAnsi="Arial" w:cs="Arial"/>
                <w:color w:val="000000"/>
              </w:rPr>
            </w:pPr>
            <w:r w:rsidRPr="00714BB9">
              <w:rPr>
                <w:rFonts w:ascii="Arial" w:hAnsi="Arial" w:cs="Arial"/>
                <w:b/>
                <w:color w:val="000000"/>
              </w:rPr>
              <w:t>COUNTY SERVICES EPCS SPARSITY TOP-UP</w:t>
            </w:r>
            <w:r w:rsidRPr="00714BB9">
              <w:rPr>
                <w:rFonts w:ascii="Arial" w:hAnsi="Arial" w:cs="Arial"/>
                <w:color w:val="000000"/>
              </w:rPr>
              <w:t xml:space="preserve">; </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(b)</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b/>
                <w:sz w:val="22"/>
                <w:szCs w:val="22"/>
              </w:rPr>
              <w:t>COUNTY SERVICES EPCS ADDITIONAL POPULATION TOP-UP</w:t>
            </w:r>
            <w:r w:rsidRPr="00714BB9">
              <w:rPr>
                <w:rFonts w:cs="Arial"/>
                <w:sz w:val="22"/>
                <w:szCs w:val="22"/>
              </w:rPr>
              <w:t xml:space="preserve">; </w:t>
            </w:r>
            <w:r w:rsidRPr="00714BB9">
              <w:rPr>
                <w:rFonts w:cs="Arial"/>
                <w:i/>
                <w:sz w:val="22"/>
                <w:szCs w:val="22"/>
              </w:rPr>
              <w:t>plus</w:t>
            </w:r>
          </w:p>
          <w:p w:rsidR="00714BB9" w:rsidRPr="00714BB9" w:rsidRDefault="00714BB9" w:rsidP="00182D58">
            <w:pPr>
              <w:pStyle w:val="BodyText"/>
              <w:tabs>
                <w:tab w:val="num" w:pos="567"/>
              </w:tabs>
              <w:ind w:left="567" w:hanging="502"/>
              <w:rPr>
                <w:rFonts w:cs="Arial"/>
                <w:b/>
                <w:sz w:val="22"/>
                <w:szCs w:val="22"/>
              </w:rPr>
            </w:pPr>
            <w:r w:rsidRPr="00714BB9">
              <w:rPr>
                <w:rFonts w:cs="Arial"/>
                <w:b/>
                <w:sz w:val="22"/>
                <w:szCs w:val="22"/>
              </w:rPr>
              <w:t>COUNTY SERVICES EPCS DEPRIVATION TOP-UP</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(c)</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The results of (a) and (b) are added together and that result is then </w:t>
            </w:r>
            <w:r w:rsidRPr="00714BB9">
              <w:rPr>
                <w:rFonts w:cs="Arial"/>
                <w:i/>
                <w:sz w:val="22"/>
                <w:szCs w:val="22"/>
              </w:rPr>
              <w:t>multiplied by</w:t>
            </w:r>
            <w:r w:rsidRPr="00714BB9">
              <w:rPr>
                <w:rFonts w:cs="Arial"/>
                <w:b/>
                <w:sz w:val="22"/>
                <w:szCs w:val="22"/>
              </w:rPr>
              <w:t xml:space="preserve"> AREA COST ADJUSTMENT FOR ENVIRONMENTAL, PROTECTIVE AND CULTURAL SERVICES;</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(d)</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For London boroughs and the Common Council of the City of London, the result of (c) is then </w:t>
            </w:r>
            <w:r w:rsidRPr="00714BB9">
              <w:rPr>
                <w:rFonts w:cs="Arial"/>
                <w:i/>
                <w:sz w:val="22"/>
                <w:szCs w:val="22"/>
              </w:rPr>
              <w:t>multiplied by</w:t>
            </w:r>
            <w:r w:rsidRPr="00714BB9">
              <w:rPr>
                <w:rFonts w:cs="Arial"/>
                <w:sz w:val="22"/>
                <w:szCs w:val="22"/>
              </w:rPr>
              <w:t xml:space="preserve"> 0.81134; for all other authorities the result of (c) remains the same.</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(e)</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 xml:space="preserve">The result of (d) is then </w:t>
            </w:r>
            <w:r w:rsidRPr="00714BB9">
              <w:rPr>
                <w:rFonts w:cs="Arial"/>
                <w:i/>
                <w:sz w:val="22"/>
                <w:szCs w:val="22"/>
              </w:rPr>
              <w:t>multiplied by</w:t>
            </w:r>
            <w:r w:rsidRPr="00714BB9">
              <w:rPr>
                <w:rFonts w:cs="Arial"/>
                <w:sz w:val="22"/>
                <w:szCs w:val="22"/>
              </w:rPr>
              <w:t xml:space="preserve"> the scaling factor given in Annex E for these services;</w:t>
            </w:r>
          </w:p>
        </w:tc>
      </w:tr>
      <w:tr w:rsidR="00714BB9" w:rsidRPr="00714BB9" w:rsidTr="00182D58">
        <w:tc>
          <w:tcPr>
            <w:tcW w:w="708"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(f)</w:t>
            </w:r>
          </w:p>
        </w:tc>
        <w:tc>
          <w:tcPr>
            <w:tcW w:w="7655"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The result of (e) is then divided by 10,000,000,000.</w:t>
            </w:r>
          </w:p>
        </w:tc>
      </w:tr>
    </w:tbl>
    <w:p w:rsidR="00714BB9" w:rsidRPr="00714BB9" w:rsidRDefault="00714BB9" w:rsidP="00714BB9">
      <w:pPr>
        <w:ind w:left="360"/>
        <w:rPr>
          <w:rFonts w:ascii="Arial" w:hAnsi="Arial" w:cs="Arial"/>
        </w:rPr>
      </w:pPr>
    </w:p>
    <w:p w:rsidR="00714BB9" w:rsidRPr="00714BB9" w:rsidRDefault="00714BB9" w:rsidP="00714BB9">
      <w:pPr>
        <w:ind w:left="360"/>
        <w:rPr>
          <w:rFonts w:ascii="Arial" w:hAnsi="Arial" w:cs="Arial"/>
        </w:rPr>
      </w:pPr>
      <w:r w:rsidRPr="00714BB9">
        <w:rPr>
          <w:rFonts w:ascii="Arial" w:hAnsi="Arial" w:cs="Arial"/>
        </w:rPr>
        <w:t>Where:</w:t>
      </w:r>
    </w:p>
    <w:tbl>
      <w:tblPr>
        <w:tblW w:w="0" w:type="auto"/>
        <w:tblInd w:w="118" w:type="dxa"/>
        <w:tblLayout w:type="fixed"/>
        <w:tblCellMar>
          <w:left w:w="120" w:type="dxa"/>
          <w:right w:w="120" w:type="dxa"/>
        </w:tblCellMar>
        <w:tblLook w:val="0000" w:firstRow="0" w:lastRow="0" w:firstColumn="0" w:lastColumn="0" w:noHBand="0" w:noVBand="0"/>
      </w:tblPr>
      <w:tblGrid>
        <w:gridCol w:w="2412"/>
        <w:gridCol w:w="6662"/>
      </w:tblGrid>
      <w:tr w:rsidR="00714BB9" w:rsidRPr="00714BB9" w:rsidTr="00182D58">
        <w:tc>
          <w:tcPr>
            <w:tcW w:w="2412" w:type="dxa"/>
          </w:tcPr>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Arial" w:hAnsi="Arial" w:cs="Arial"/>
              </w:rPr>
            </w:pPr>
            <w:r w:rsidRPr="00714BB9">
              <w:rPr>
                <w:rFonts w:ascii="Arial" w:hAnsi="Arial" w:cs="Arial"/>
                <w:b/>
              </w:rPr>
              <w:t>PROJECTED POPULATION IN 2013</w:t>
            </w:r>
          </w:p>
        </w:tc>
        <w:tc>
          <w:tcPr>
            <w:tcW w:w="6662" w:type="dxa"/>
          </w:tcPr>
          <w:p w:rsid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r w:rsidRPr="00714BB9">
              <w:rPr>
                <w:rFonts w:ascii="Arial" w:hAnsi="Arial" w:cs="Arial"/>
              </w:rPr>
              <w:t>The projected total resident population in 2013, as estimated by the Office for National Statistics and published on 28 September 2012.</w:t>
            </w:r>
          </w:p>
          <w:p w:rsidR="00714BB9" w:rsidRPr="00714BB9" w:rsidRDefault="00714BB9" w:rsidP="00182D5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both"/>
              <w:rPr>
                <w:rFonts w:ascii="Arial" w:hAnsi="Arial" w:cs="Arial"/>
              </w:rPr>
            </w:pPr>
          </w:p>
        </w:tc>
      </w:tr>
      <w:tr w:rsidR="00714BB9" w:rsidRPr="00714BB9" w:rsidTr="00182D58">
        <w:tc>
          <w:tcPr>
            <w:tcW w:w="2412" w:type="dxa"/>
          </w:tcPr>
          <w:p w:rsidR="00714BB9" w:rsidRPr="00714BB9" w:rsidRDefault="00714BB9" w:rsidP="00182D58">
            <w:pPr>
              <w:pStyle w:val="Heading3"/>
              <w:spacing w:before="120"/>
              <w:rPr>
                <w:rFonts w:ascii="Arial" w:hAnsi="Arial" w:cs="Arial"/>
                <w:sz w:val="22"/>
              </w:rPr>
            </w:pPr>
            <w:r w:rsidRPr="00714BB9">
              <w:rPr>
                <w:rFonts w:ascii="Arial" w:hAnsi="Arial" w:cs="Arial"/>
                <w:sz w:val="22"/>
              </w:rPr>
              <w:t>POPULATION DENSITY</w:t>
            </w:r>
          </w:p>
        </w:tc>
        <w:tc>
          <w:tcPr>
            <w:tcW w:w="6662" w:type="dxa"/>
          </w:tcPr>
          <w:p w:rsidR="00714BB9" w:rsidRPr="00714BB9" w:rsidRDefault="00714BB9" w:rsidP="00182D58">
            <w:pPr>
              <w:spacing w:before="120"/>
              <w:jc w:val="both"/>
              <w:rPr>
                <w:rFonts w:ascii="Arial" w:hAnsi="Arial" w:cs="Arial"/>
              </w:rPr>
            </w:pPr>
            <w:r w:rsidRPr="00714BB9">
              <w:rPr>
                <w:rFonts w:ascii="Arial" w:hAnsi="Arial" w:cs="Arial"/>
              </w:rPr>
              <w:t xml:space="preserve">The sum of the number of residents per hectare for each Output Area (OA) within the area of the authority at the 2001 Census </w:t>
            </w:r>
            <w:r w:rsidRPr="00714BB9">
              <w:rPr>
                <w:rFonts w:ascii="Arial" w:hAnsi="Arial" w:cs="Arial"/>
                <w:i/>
              </w:rPr>
              <w:t>multiplied by</w:t>
            </w:r>
            <w:r w:rsidRPr="00714BB9">
              <w:rPr>
                <w:rFonts w:ascii="Arial" w:hAnsi="Arial" w:cs="Arial"/>
              </w:rPr>
              <w:t xml:space="preserve"> that OA's share of the total usually resident population in the authority for each authority.  This sum is then </w:t>
            </w:r>
            <w:r w:rsidRPr="00714BB9">
              <w:rPr>
                <w:rFonts w:ascii="Arial" w:hAnsi="Arial" w:cs="Arial"/>
                <w:i/>
              </w:rPr>
              <w:t xml:space="preserve">multiplied by </w:t>
            </w:r>
            <w:r w:rsidRPr="00714BB9">
              <w:rPr>
                <w:rFonts w:ascii="Arial" w:hAnsi="Arial" w:cs="Arial"/>
              </w:rPr>
              <w:t xml:space="preserve">the ratio of the total resident population at 30 June 2011 (as estimated by the Office for National Statistics) to the 2001 Census resident population. This result is then </w:t>
            </w:r>
            <w:r w:rsidRPr="00714BB9">
              <w:rPr>
                <w:rFonts w:ascii="Arial" w:hAnsi="Arial" w:cs="Arial"/>
                <w:i/>
              </w:rPr>
              <w:t>divided by</w:t>
            </w:r>
            <w:r w:rsidRPr="00714BB9">
              <w:rPr>
                <w:rFonts w:ascii="Arial" w:hAnsi="Arial" w:cs="Arial"/>
              </w:rPr>
              <w:t xml:space="preserve"> 10.</w:t>
            </w:r>
          </w:p>
        </w:tc>
      </w:tr>
    </w:tbl>
    <w:p w:rsidR="00714BB9" w:rsidRPr="00714BB9" w:rsidRDefault="00714BB9" w:rsidP="00714BB9">
      <w:pPr>
        <w:jc w:val="both"/>
        <w:rPr>
          <w:rFonts w:ascii="Arial" w:hAnsi="Arial" w:cs="Arial"/>
        </w:rPr>
      </w:pPr>
      <w:r w:rsidRPr="00714BB9">
        <w:rPr>
          <w:rFonts w:ascii="Arial" w:hAnsi="Arial" w:cs="Arial"/>
        </w:rPr>
        <w:t>Output Areas were introduced by the Office for National Statistics as the smallest units of output for the 2001 census.  In England and Wales they have a minimum size of 100 residents and 40 households.  They are based on census day postcodes and fit within the boundaries of 2003 statistical wards (and parishes).</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567"/>
        <w:gridCol w:w="6095"/>
      </w:tblGrid>
      <w:tr w:rsidR="00714BB9" w:rsidRPr="00714BB9" w:rsidTr="00182D58">
        <w:trPr>
          <w:trHeight w:val="407"/>
        </w:trPr>
        <w:tc>
          <w:tcPr>
            <w:tcW w:w="2410" w:type="dxa"/>
            <w:vMerge w:val="restart"/>
          </w:tcPr>
          <w:p w:rsidR="00714BB9" w:rsidRPr="00714BB9" w:rsidRDefault="00714BB9" w:rsidP="00182D58">
            <w:pPr>
              <w:pStyle w:val="Heading3"/>
              <w:spacing w:before="120"/>
              <w:outlineLvl w:val="2"/>
              <w:rPr>
                <w:rFonts w:ascii="Arial" w:hAnsi="Arial" w:cs="Arial"/>
                <w:sz w:val="22"/>
              </w:rPr>
            </w:pPr>
            <w:r w:rsidRPr="00714BB9">
              <w:rPr>
                <w:rFonts w:ascii="Arial" w:hAnsi="Arial" w:cs="Arial"/>
                <w:sz w:val="22"/>
              </w:rPr>
              <w:lastRenderedPageBreak/>
              <w:t xml:space="preserve">POPULATION SPARSITY </w:t>
            </w:r>
          </w:p>
        </w:tc>
        <w:tc>
          <w:tcPr>
            <w:tcW w:w="6662" w:type="dxa"/>
            <w:gridSpan w:val="2"/>
          </w:tcPr>
          <w:p w:rsidR="00714BB9" w:rsidRPr="00714BB9" w:rsidRDefault="00714BB9" w:rsidP="00182D58">
            <w:pPr>
              <w:spacing w:before="120"/>
              <w:rPr>
                <w:rFonts w:ascii="Arial" w:hAnsi="Arial" w:cs="Arial"/>
              </w:rPr>
            </w:pPr>
            <w:r w:rsidRPr="00714BB9">
              <w:rPr>
                <w:rFonts w:ascii="Arial" w:hAnsi="Arial" w:cs="Arial"/>
              </w:rPr>
              <w:t xml:space="preserve">The population sparsity of each local authority measured at Output Area level.  </w:t>
            </w:r>
            <w:r w:rsidRPr="00714BB9">
              <w:rPr>
                <w:rFonts w:ascii="Arial" w:hAnsi="Arial" w:cs="Arial"/>
                <w:spacing w:val="-2"/>
              </w:rPr>
              <w:t>The sum of:</w:t>
            </w:r>
          </w:p>
        </w:tc>
      </w:tr>
      <w:tr w:rsidR="00714BB9" w:rsidRPr="00714BB9" w:rsidTr="00182D58">
        <w:trPr>
          <w:trHeight w:val="1422"/>
        </w:trPr>
        <w:tc>
          <w:tcPr>
            <w:tcW w:w="2410" w:type="dxa"/>
            <w:vMerge/>
          </w:tcPr>
          <w:p w:rsidR="00714BB9" w:rsidRPr="00714BB9" w:rsidRDefault="00714BB9" w:rsidP="00182D58">
            <w:pPr>
              <w:pStyle w:val="Heading3"/>
              <w:spacing w:before="120"/>
              <w:outlineLvl w:val="2"/>
              <w:rPr>
                <w:rFonts w:ascii="Arial" w:hAnsi="Arial" w:cs="Arial"/>
                <w:spacing w:val="-2"/>
                <w:sz w:val="22"/>
              </w:rPr>
            </w:pPr>
          </w:p>
        </w:tc>
        <w:tc>
          <w:tcPr>
            <w:tcW w:w="567" w:type="dxa"/>
            <w:shd w:val="clear" w:color="auto" w:fill="auto"/>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spacing w:val="-2"/>
              </w:rPr>
              <w:t>(</w:t>
            </w:r>
            <w:proofErr w:type="spellStart"/>
            <w:r w:rsidRPr="00714BB9">
              <w:rPr>
                <w:rFonts w:ascii="Arial" w:hAnsi="Arial" w:cs="Arial"/>
                <w:spacing w:val="-2"/>
              </w:rPr>
              <w:t>i</w:t>
            </w:r>
            <w:proofErr w:type="spellEnd"/>
            <w:r w:rsidRPr="00714BB9">
              <w:rPr>
                <w:rFonts w:ascii="Arial" w:hAnsi="Arial" w:cs="Arial"/>
                <w:spacing w:val="-2"/>
              </w:rPr>
              <w:t>)</w:t>
            </w:r>
          </w:p>
        </w:tc>
        <w:tc>
          <w:tcPr>
            <w:tcW w:w="6095" w:type="dxa"/>
            <w:shd w:val="clear" w:color="auto" w:fill="auto"/>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rPr>
              <w:t xml:space="preserve">3 </w:t>
            </w:r>
            <w:r w:rsidRPr="00714BB9">
              <w:rPr>
                <w:rFonts w:ascii="Arial" w:hAnsi="Arial" w:cs="Arial"/>
                <w:i/>
              </w:rPr>
              <w:t>multiplied by</w:t>
            </w:r>
            <w:r w:rsidRPr="00714BB9">
              <w:rPr>
                <w:rFonts w:ascii="Arial" w:hAnsi="Arial" w:cs="Arial"/>
              </w:rPr>
              <w:t xml:space="preserve"> the resident population of those Output Areas within the area of the authority at the 2001 Census with 0.5 or less residents per hectare, </w:t>
            </w:r>
            <w:r w:rsidRPr="00714BB9">
              <w:rPr>
                <w:rFonts w:ascii="Arial" w:hAnsi="Arial" w:cs="Arial"/>
                <w:i/>
              </w:rPr>
              <w:t>divided by</w:t>
            </w:r>
            <w:r w:rsidRPr="00714BB9">
              <w:rPr>
                <w:rFonts w:ascii="Arial" w:hAnsi="Arial" w:cs="Arial"/>
              </w:rPr>
              <w:t xml:space="preserve"> the total resident population of the authority, calculated using information from the 2001 Census; and</w:t>
            </w:r>
          </w:p>
        </w:tc>
      </w:tr>
      <w:tr w:rsidR="00714BB9" w:rsidRPr="00714BB9" w:rsidTr="00182D58">
        <w:trPr>
          <w:trHeight w:val="1412"/>
        </w:trPr>
        <w:tc>
          <w:tcPr>
            <w:tcW w:w="2410" w:type="dxa"/>
          </w:tcPr>
          <w:p w:rsidR="00714BB9" w:rsidRPr="00714BB9" w:rsidRDefault="00714BB9" w:rsidP="00182D58">
            <w:pPr>
              <w:pStyle w:val="Heading3"/>
              <w:spacing w:before="120"/>
              <w:outlineLvl w:val="2"/>
              <w:rPr>
                <w:rFonts w:ascii="Arial" w:hAnsi="Arial" w:cs="Arial"/>
                <w:spacing w:val="-2"/>
                <w:sz w:val="22"/>
              </w:rPr>
            </w:pPr>
          </w:p>
        </w:tc>
        <w:tc>
          <w:tcPr>
            <w:tcW w:w="567" w:type="dxa"/>
            <w:shd w:val="clear" w:color="auto" w:fill="auto"/>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spacing w:val="-2"/>
              </w:rPr>
              <w:t>(ii)</w:t>
            </w:r>
          </w:p>
        </w:tc>
        <w:tc>
          <w:tcPr>
            <w:tcW w:w="6095" w:type="dxa"/>
            <w:shd w:val="clear" w:color="auto" w:fill="auto"/>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rPr>
              <w:t xml:space="preserve">The resident population of those Output Areas within the area of the authority at the 2001 Census with more than 0.5 but less than or equal to 4 residents per hectare, </w:t>
            </w:r>
            <w:r w:rsidRPr="00714BB9">
              <w:rPr>
                <w:rFonts w:ascii="Arial" w:hAnsi="Arial" w:cs="Arial"/>
                <w:i/>
              </w:rPr>
              <w:t>divided by</w:t>
            </w:r>
            <w:r w:rsidRPr="00714BB9">
              <w:rPr>
                <w:rFonts w:ascii="Arial" w:hAnsi="Arial" w:cs="Arial"/>
              </w:rPr>
              <w:t xml:space="preserve"> the total resident population of the authority, calculated using information from the 2001 Census.</w:t>
            </w:r>
          </w:p>
        </w:tc>
      </w:tr>
    </w:tbl>
    <w:p w:rsidR="00714BB9" w:rsidRPr="00714BB9" w:rsidRDefault="00714BB9" w:rsidP="00714BB9">
      <w:pPr>
        <w:rPr>
          <w:rFonts w:ascii="Arial" w:hAnsi="Arial" w:cs="Arial"/>
        </w:rPr>
      </w:pPr>
    </w:p>
    <w:tbl>
      <w:tblPr>
        <w:tblW w:w="9214" w:type="dxa"/>
        <w:tblInd w:w="120" w:type="dxa"/>
        <w:tblLayout w:type="fixed"/>
        <w:tblCellMar>
          <w:left w:w="120" w:type="dxa"/>
          <w:right w:w="120" w:type="dxa"/>
        </w:tblCellMar>
        <w:tblLook w:val="0000" w:firstRow="0" w:lastRow="0" w:firstColumn="0" w:lastColumn="0" w:noHBand="0" w:noVBand="0"/>
      </w:tblPr>
      <w:tblGrid>
        <w:gridCol w:w="2410"/>
        <w:gridCol w:w="6662"/>
        <w:gridCol w:w="142"/>
      </w:tblGrid>
      <w:tr w:rsidR="00714BB9" w:rsidRPr="00714BB9" w:rsidTr="00714BB9">
        <w:trPr>
          <w:gridAfter w:val="1"/>
          <w:wAfter w:w="142" w:type="dxa"/>
          <w:cantSplit/>
        </w:trPr>
        <w:tc>
          <w:tcPr>
            <w:tcW w:w="2410" w:type="dxa"/>
          </w:tcPr>
          <w:p w:rsidR="00714BB9" w:rsidRPr="00714BB9" w:rsidRDefault="00714BB9" w:rsidP="00182D58">
            <w:pPr>
              <w:spacing w:before="120"/>
              <w:rPr>
                <w:rFonts w:ascii="Arial" w:hAnsi="Arial" w:cs="Arial"/>
                <w:b/>
              </w:rPr>
            </w:pPr>
            <w:r w:rsidRPr="00714BB9">
              <w:rPr>
                <w:rFonts w:ascii="Arial" w:hAnsi="Arial" w:cs="Arial"/>
                <w:b/>
              </w:rPr>
              <w:t>NET IN-COMMUTERS</w:t>
            </w:r>
          </w:p>
        </w:tc>
        <w:tc>
          <w:tcPr>
            <w:tcW w:w="6662" w:type="dxa"/>
          </w:tcPr>
          <w:p w:rsidR="00714BB9" w:rsidRPr="00714BB9" w:rsidRDefault="00714BB9" w:rsidP="00182D58">
            <w:pPr>
              <w:spacing w:before="120"/>
              <w:jc w:val="both"/>
              <w:rPr>
                <w:rFonts w:ascii="Arial" w:hAnsi="Arial" w:cs="Arial"/>
              </w:rPr>
            </w:pPr>
            <w:r w:rsidRPr="00714BB9">
              <w:rPr>
                <w:rFonts w:ascii="Arial" w:hAnsi="Arial" w:cs="Arial"/>
                <w:i/>
              </w:rPr>
              <w:t>Either the result of</w:t>
            </w:r>
            <w:r w:rsidRPr="00714BB9">
              <w:rPr>
                <w:rFonts w:ascii="Arial" w:hAnsi="Arial" w:cs="Arial"/>
              </w:rPr>
              <w:t>:</w:t>
            </w:r>
          </w:p>
          <w:p w:rsidR="00714BB9" w:rsidRPr="00714BB9" w:rsidRDefault="00714BB9" w:rsidP="00182D58">
            <w:pPr>
              <w:spacing w:before="120"/>
              <w:jc w:val="both"/>
              <w:rPr>
                <w:rFonts w:ascii="Arial" w:hAnsi="Arial" w:cs="Arial"/>
              </w:rPr>
            </w:pPr>
            <w:r w:rsidRPr="00714BB9">
              <w:rPr>
                <w:rFonts w:ascii="Arial" w:hAnsi="Arial" w:cs="Arial"/>
              </w:rPr>
              <w:t xml:space="preserve">The number of persons working but not resident in the authority’s area </w:t>
            </w:r>
            <w:r w:rsidRPr="00714BB9">
              <w:rPr>
                <w:rFonts w:ascii="Arial" w:hAnsi="Arial" w:cs="Arial"/>
                <w:i/>
              </w:rPr>
              <w:t>minus</w:t>
            </w:r>
            <w:r w:rsidRPr="00714BB9">
              <w:rPr>
                <w:rFonts w:ascii="Arial" w:hAnsi="Arial" w:cs="Arial"/>
              </w:rPr>
              <w:t xml:space="preserve"> the number of persons resident in but working outside the authority’s area, as estimated by the Secretary of State using information from the 2001 Census;</w:t>
            </w:r>
          </w:p>
        </w:tc>
      </w:tr>
      <w:tr w:rsidR="00714BB9" w:rsidRPr="00714BB9" w:rsidTr="00714BB9">
        <w:trPr>
          <w:gridAfter w:val="1"/>
          <w:wAfter w:w="142" w:type="dxa"/>
          <w:cantSplit/>
        </w:trPr>
        <w:tc>
          <w:tcPr>
            <w:tcW w:w="2410" w:type="dxa"/>
          </w:tcPr>
          <w:p w:rsidR="00714BB9" w:rsidRPr="00714BB9" w:rsidRDefault="00714BB9" w:rsidP="00182D58">
            <w:pPr>
              <w:spacing w:before="120"/>
              <w:jc w:val="both"/>
              <w:rPr>
                <w:rFonts w:ascii="Arial" w:hAnsi="Arial" w:cs="Arial"/>
              </w:rPr>
            </w:pPr>
          </w:p>
        </w:tc>
        <w:tc>
          <w:tcPr>
            <w:tcW w:w="6662" w:type="dxa"/>
          </w:tcPr>
          <w:p w:rsidR="00714BB9" w:rsidRPr="00714BB9" w:rsidRDefault="00714BB9" w:rsidP="00182D58">
            <w:pPr>
              <w:spacing w:before="120"/>
              <w:jc w:val="both"/>
              <w:rPr>
                <w:rFonts w:ascii="Arial" w:hAnsi="Arial" w:cs="Arial"/>
              </w:rPr>
            </w:pPr>
            <w:proofErr w:type="gramStart"/>
            <w:r w:rsidRPr="00714BB9">
              <w:rPr>
                <w:rFonts w:ascii="Arial" w:hAnsi="Arial" w:cs="Arial"/>
                <w:i/>
              </w:rPr>
              <w:t>or</w:t>
            </w:r>
            <w:proofErr w:type="gramEnd"/>
            <w:r w:rsidRPr="00714BB9">
              <w:rPr>
                <w:rFonts w:ascii="Arial" w:hAnsi="Arial" w:cs="Arial"/>
              </w:rPr>
              <w:t xml:space="preserve"> </w:t>
            </w:r>
            <w:r w:rsidRPr="00714BB9">
              <w:rPr>
                <w:rFonts w:ascii="Arial" w:hAnsi="Arial" w:cs="Arial"/>
                <w:b/>
              </w:rPr>
              <w:t>zero</w:t>
            </w:r>
            <w:r w:rsidRPr="00714BB9">
              <w:rPr>
                <w:rFonts w:ascii="Arial" w:hAnsi="Arial" w:cs="Arial"/>
              </w:rPr>
              <w:t>, whichever is the greater.</w:t>
            </w:r>
          </w:p>
        </w:tc>
      </w:tr>
      <w:tr w:rsidR="00714BB9" w:rsidRPr="00714BB9" w:rsidTr="00714BB9">
        <w:trPr>
          <w:gridAfter w:val="1"/>
          <w:wAfter w:w="142" w:type="dxa"/>
          <w:cantSplit/>
        </w:trPr>
        <w:tc>
          <w:tcPr>
            <w:tcW w:w="2410" w:type="dxa"/>
          </w:tcPr>
          <w:p w:rsidR="00714BB9" w:rsidRPr="00714BB9" w:rsidRDefault="00714BB9" w:rsidP="00182D58">
            <w:pPr>
              <w:spacing w:before="120"/>
              <w:rPr>
                <w:rFonts w:ascii="Arial" w:hAnsi="Arial" w:cs="Arial"/>
                <w:b/>
              </w:rPr>
            </w:pPr>
            <w:r w:rsidRPr="00714BB9">
              <w:rPr>
                <w:rFonts w:ascii="Arial" w:hAnsi="Arial" w:cs="Arial"/>
                <w:b/>
              </w:rPr>
              <w:t>DAY VISITORS</w:t>
            </w:r>
          </w:p>
        </w:tc>
        <w:tc>
          <w:tcPr>
            <w:tcW w:w="6662" w:type="dxa"/>
          </w:tcPr>
          <w:p w:rsidR="00714BB9" w:rsidRPr="00714BB9" w:rsidRDefault="00714BB9" w:rsidP="00182D58">
            <w:pPr>
              <w:spacing w:before="120"/>
              <w:jc w:val="both"/>
              <w:rPr>
                <w:rFonts w:ascii="Arial" w:hAnsi="Arial" w:cs="Arial"/>
              </w:rPr>
            </w:pPr>
            <w:r w:rsidRPr="00714BB9">
              <w:rPr>
                <w:rFonts w:ascii="Arial" w:hAnsi="Arial" w:cs="Arial"/>
              </w:rPr>
              <w:t xml:space="preserve">The annual number of day visitors to the authority's area, </w:t>
            </w:r>
            <w:r w:rsidRPr="00714BB9">
              <w:rPr>
                <w:rFonts w:ascii="Arial" w:hAnsi="Arial" w:cs="Arial"/>
                <w:i/>
              </w:rPr>
              <w:t>divided by</w:t>
            </w:r>
            <w:r w:rsidRPr="00714BB9">
              <w:rPr>
                <w:rFonts w:ascii="Arial" w:hAnsi="Arial" w:cs="Arial"/>
              </w:rPr>
              <w:t xml:space="preserve"> 365, as estimated by the Secretary of State using information provided by the Secretary of State for Culture, Media and Sport.</w:t>
            </w:r>
          </w:p>
        </w:tc>
      </w:tr>
      <w:tr w:rsidR="00714BB9" w:rsidRPr="00714BB9" w:rsidTr="00714BB9">
        <w:trPr>
          <w:gridAfter w:val="1"/>
          <w:wAfter w:w="142" w:type="dxa"/>
          <w:cantSplit/>
        </w:trPr>
        <w:tc>
          <w:tcPr>
            <w:tcW w:w="2410" w:type="dxa"/>
          </w:tcPr>
          <w:p w:rsidR="00714BB9" w:rsidRPr="00714BB9" w:rsidRDefault="00714BB9" w:rsidP="00182D58">
            <w:pPr>
              <w:spacing w:before="120" w:after="120"/>
              <w:rPr>
                <w:rFonts w:ascii="Arial" w:hAnsi="Arial" w:cs="Arial"/>
                <w:b/>
              </w:rPr>
            </w:pPr>
          </w:p>
        </w:tc>
        <w:tc>
          <w:tcPr>
            <w:tcW w:w="6662" w:type="dxa"/>
          </w:tcPr>
          <w:p w:rsidR="00714BB9" w:rsidRPr="00714BB9" w:rsidRDefault="00714BB9" w:rsidP="00182D58">
            <w:pPr>
              <w:spacing w:before="120" w:after="120"/>
              <w:jc w:val="both"/>
              <w:rPr>
                <w:rFonts w:ascii="Arial" w:hAnsi="Arial" w:cs="Arial"/>
              </w:rPr>
            </w:pPr>
            <w:r w:rsidRPr="00714BB9">
              <w:rPr>
                <w:rFonts w:ascii="Arial" w:hAnsi="Arial" w:cs="Arial"/>
              </w:rPr>
              <w:t>The estimate for day visitors is based on research commissioned by the former Department of National Heritage generally using information from the Leisure Day Visits Survey 1988-89, the 1991 Census, the 1991 Survey of Visits to Tourist Attractions undertaken by the National Tourist Boards, the 1991 Census of Employment and other information about urban areas, National Parks, areas of outstanding natural beauty and official bathing beaches. The information used for this purpose is that available to the former Secretary of State for National Heritage on 1 November 1993.</w:t>
            </w:r>
          </w:p>
        </w:tc>
      </w:tr>
      <w:tr w:rsidR="00714BB9" w:rsidRPr="00714BB9" w:rsidTr="00714BB9">
        <w:tc>
          <w:tcPr>
            <w:tcW w:w="2410" w:type="dxa"/>
          </w:tcPr>
          <w:p w:rsidR="00714BB9" w:rsidRPr="00714BB9" w:rsidRDefault="00714BB9" w:rsidP="00182D58">
            <w:pPr>
              <w:spacing w:before="120" w:after="120"/>
              <w:rPr>
                <w:rFonts w:ascii="Arial" w:hAnsi="Arial" w:cs="Arial"/>
              </w:rPr>
            </w:pPr>
            <w:r w:rsidRPr="00714BB9">
              <w:rPr>
                <w:rFonts w:ascii="Arial" w:hAnsi="Arial" w:cs="Arial"/>
                <w:b/>
              </w:rPr>
              <w:t xml:space="preserve">INCAPACITY BENEFIT AND SEVERE DISABLEMENT ALLOWANCE </w:t>
            </w:r>
          </w:p>
        </w:tc>
        <w:tc>
          <w:tcPr>
            <w:tcW w:w="6804" w:type="dxa"/>
            <w:gridSpan w:val="2"/>
          </w:tcPr>
          <w:p w:rsidR="00714BB9" w:rsidRPr="00714BB9" w:rsidRDefault="00714BB9" w:rsidP="00182D58">
            <w:pPr>
              <w:ind w:left="22" w:hanging="22"/>
              <w:rPr>
                <w:rFonts w:ascii="Arial" w:hAnsi="Arial" w:cs="Arial"/>
              </w:rPr>
            </w:pPr>
            <w:r w:rsidRPr="00714BB9">
              <w:rPr>
                <w:rFonts w:ascii="Arial" w:hAnsi="Arial" w:cs="Arial"/>
              </w:rPr>
              <w:t>The average number of people receiving Incapacity Benefit,  Severe Disablement Allowance or Employment and Support Allowance, over a period between May 2009 to February 2012, using twelve quarterly scans for this period, as estimated by the Secretary of State for Work and Pensions.</w:t>
            </w:r>
          </w:p>
        </w:tc>
      </w:tr>
    </w:tbl>
    <w:p w:rsidR="00714BB9" w:rsidRPr="00714BB9" w:rsidRDefault="00714BB9" w:rsidP="00714BB9">
      <w:pPr>
        <w:spacing w:line="255" w:lineRule="exact"/>
        <w:jc w:val="both"/>
        <w:rPr>
          <w:rFonts w:ascii="Arial" w:hAnsi="Arial" w:cs="Arial"/>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0"/>
        <w:gridCol w:w="6804"/>
      </w:tblGrid>
      <w:tr w:rsidR="00714BB9" w:rsidRPr="00714BB9" w:rsidTr="00182D58">
        <w:trPr>
          <w:trHeight w:val="395"/>
        </w:trPr>
        <w:tc>
          <w:tcPr>
            <w:tcW w:w="2410" w:type="dxa"/>
          </w:tcPr>
          <w:p w:rsidR="00714BB9" w:rsidRPr="00714BB9" w:rsidRDefault="00714BB9" w:rsidP="00182D58">
            <w:pPr>
              <w:keepNext/>
              <w:spacing w:before="120"/>
              <w:outlineLvl w:val="2"/>
              <w:rPr>
                <w:rFonts w:ascii="Arial" w:hAnsi="Arial" w:cs="Arial"/>
                <w:b/>
              </w:rPr>
            </w:pPr>
            <w:r w:rsidRPr="00714BB9">
              <w:rPr>
                <w:rFonts w:ascii="Arial" w:hAnsi="Arial" w:cs="Arial"/>
                <w:b/>
              </w:rPr>
              <w:lastRenderedPageBreak/>
              <w:t>INCOME SUPPORT/ INCOME BASED JOBSEEKER’S ALLOWANCE/ GUARANTEE ELEMENT OF PENSION CREDIT CLAIMANTS</w:t>
            </w:r>
          </w:p>
        </w:tc>
        <w:tc>
          <w:tcPr>
            <w:tcW w:w="6804" w:type="dxa"/>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spacing w:val="-2"/>
              </w:rPr>
              <w:t>The number of Income Support/ Income based Jobseekers Allowance/ Guarantee Element of Pension Credit claimants, over a period between:</w:t>
            </w:r>
          </w:p>
          <w:p w:rsidR="00714BB9" w:rsidRPr="00714BB9" w:rsidRDefault="00714BB9" w:rsidP="00182D58">
            <w:pPr>
              <w:tabs>
                <w:tab w:val="left" w:pos="-720"/>
              </w:tabs>
              <w:suppressAutoHyphens/>
              <w:spacing w:before="120"/>
              <w:ind w:left="360"/>
              <w:jc w:val="both"/>
              <w:rPr>
                <w:rFonts w:ascii="Arial" w:hAnsi="Arial" w:cs="Arial"/>
                <w:spacing w:val="-2"/>
              </w:rPr>
            </w:pPr>
            <w:r w:rsidRPr="00714BB9">
              <w:rPr>
                <w:rFonts w:ascii="Arial" w:hAnsi="Arial" w:cs="Arial"/>
                <w:spacing w:val="-2"/>
              </w:rPr>
              <w:t xml:space="preserve">a) May 2009 and February 2012, using twelve quarterly scans for this period, for Income Support/ Guarantee Element of Pension Credit claimants,  </w:t>
            </w:r>
            <w:r w:rsidRPr="00714BB9">
              <w:rPr>
                <w:rFonts w:ascii="Arial" w:hAnsi="Arial" w:cs="Arial"/>
                <w:i/>
                <w:spacing w:val="-2"/>
              </w:rPr>
              <w:t>and</w:t>
            </w:r>
          </w:p>
          <w:p w:rsidR="00714BB9" w:rsidRPr="00714BB9" w:rsidRDefault="00714BB9" w:rsidP="00182D58">
            <w:pPr>
              <w:tabs>
                <w:tab w:val="left" w:pos="-720"/>
              </w:tabs>
              <w:suppressAutoHyphens/>
              <w:spacing w:before="120"/>
              <w:ind w:left="360"/>
              <w:jc w:val="both"/>
              <w:rPr>
                <w:rFonts w:ascii="Arial" w:hAnsi="Arial" w:cs="Arial"/>
                <w:spacing w:val="-2"/>
              </w:rPr>
            </w:pPr>
            <w:r w:rsidRPr="00714BB9">
              <w:rPr>
                <w:rFonts w:ascii="Arial" w:hAnsi="Arial" w:cs="Arial"/>
                <w:spacing w:val="-2"/>
              </w:rPr>
              <w:t>b) August 2009 and August 2011, using scans made at the end of August of each year, for Income based Jobseekers Allowance claimants,</w:t>
            </w:r>
          </w:p>
          <w:p w:rsidR="00714BB9" w:rsidRPr="00714BB9" w:rsidRDefault="00714BB9" w:rsidP="00182D58">
            <w:pPr>
              <w:tabs>
                <w:tab w:val="left" w:pos="-720"/>
              </w:tabs>
              <w:suppressAutoHyphens/>
              <w:spacing w:before="120"/>
              <w:jc w:val="both"/>
              <w:rPr>
                <w:rFonts w:ascii="Arial" w:hAnsi="Arial" w:cs="Arial"/>
                <w:spacing w:val="-2"/>
              </w:rPr>
            </w:pPr>
            <w:proofErr w:type="gramStart"/>
            <w:r w:rsidRPr="00714BB9">
              <w:rPr>
                <w:rFonts w:ascii="Arial" w:hAnsi="Arial" w:cs="Arial"/>
                <w:spacing w:val="-2"/>
              </w:rPr>
              <w:t>as</w:t>
            </w:r>
            <w:proofErr w:type="gramEnd"/>
            <w:r w:rsidRPr="00714BB9">
              <w:rPr>
                <w:rFonts w:ascii="Arial" w:hAnsi="Arial" w:cs="Arial"/>
                <w:spacing w:val="-2"/>
              </w:rPr>
              <w:t xml:space="preserve"> estimated by the Secretary of State for Work and Pensions.</w:t>
            </w:r>
          </w:p>
        </w:tc>
      </w:tr>
    </w:tbl>
    <w:p w:rsidR="00714BB9" w:rsidRPr="00714BB9" w:rsidRDefault="00714BB9" w:rsidP="00714BB9">
      <w:pPr>
        <w:jc w:val="both"/>
        <w:rPr>
          <w:rFonts w:ascii="Arial" w:hAnsi="Arial" w:cs="Arial"/>
        </w:rPr>
      </w:pPr>
    </w:p>
    <w:tbl>
      <w:tblPr>
        <w:tblW w:w="9214" w:type="dxa"/>
        <w:tblInd w:w="120" w:type="dxa"/>
        <w:tblLayout w:type="fixed"/>
        <w:tblCellMar>
          <w:left w:w="120" w:type="dxa"/>
          <w:right w:w="120" w:type="dxa"/>
        </w:tblCellMar>
        <w:tblLook w:val="0000" w:firstRow="0" w:lastRow="0" w:firstColumn="0" w:lastColumn="0" w:noHBand="0" w:noVBand="0"/>
      </w:tblPr>
      <w:tblGrid>
        <w:gridCol w:w="2410"/>
        <w:gridCol w:w="6804"/>
      </w:tblGrid>
      <w:tr w:rsidR="00714BB9" w:rsidRPr="00714BB9" w:rsidTr="00182D58">
        <w:trPr>
          <w:cantSplit/>
        </w:trPr>
        <w:tc>
          <w:tcPr>
            <w:tcW w:w="2410" w:type="dxa"/>
          </w:tcPr>
          <w:p w:rsidR="00714BB9" w:rsidRPr="00714BB9" w:rsidRDefault="00714BB9" w:rsidP="00182D58">
            <w:pPr>
              <w:spacing w:before="120"/>
              <w:rPr>
                <w:rFonts w:ascii="Arial" w:hAnsi="Arial" w:cs="Arial"/>
                <w:b/>
              </w:rPr>
            </w:pPr>
            <w:r w:rsidRPr="00714BB9">
              <w:rPr>
                <w:rFonts w:ascii="Arial" w:hAnsi="Arial" w:cs="Arial"/>
                <w:b/>
              </w:rPr>
              <w:t>UNEMPLOYMENT RELATED BENEFIT CLAIMANTS</w:t>
            </w:r>
          </w:p>
        </w:tc>
        <w:tc>
          <w:tcPr>
            <w:tcW w:w="6804" w:type="dxa"/>
          </w:tcPr>
          <w:p w:rsidR="00714BB9" w:rsidRPr="00714BB9" w:rsidRDefault="00714BB9" w:rsidP="00182D58">
            <w:pPr>
              <w:spacing w:before="120"/>
              <w:jc w:val="both"/>
              <w:rPr>
                <w:rFonts w:ascii="Arial" w:hAnsi="Arial" w:cs="Arial"/>
              </w:rPr>
            </w:pPr>
            <w:r w:rsidRPr="00714BB9">
              <w:rPr>
                <w:rFonts w:ascii="Arial" w:hAnsi="Arial" w:cs="Arial"/>
              </w:rPr>
              <w:t>The average number of claimants of unemployment-related benefits, currently Jobseeker's Allowance and National Insurance credits, over the period between May 2009 and April 2012, calculated using monthly information provided by the Office for National Statistics through NOMIS.</w:t>
            </w:r>
          </w:p>
        </w:tc>
      </w:tr>
      <w:tr w:rsidR="00714BB9" w:rsidRPr="00714BB9" w:rsidTr="00182D58">
        <w:trPr>
          <w:cantSplit/>
          <w:trHeight w:val="958"/>
        </w:trPr>
        <w:tc>
          <w:tcPr>
            <w:tcW w:w="2410" w:type="dxa"/>
          </w:tcPr>
          <w:p w:rsidR="00714BB9" w:rsidRPr="00714BB9" w:rsidRDefault="00714BB9" w:rsidP="00182D58">
            <w:pPr>
              <w:spacing w:before="120"/>
              <w:rPr>
                <w:rFonts w:ascii="Arial" w:hAnsi="Arial" w:cs="Arial"/>
                <w:b/>
              </w:rPr>
            </w:pPr>
            <w:r w:rsidRPr="00714BB9">
              <w:rPr>
                <w:rFonts w:ascii="Arial" w:hAnsi="Arial" w:cs="Arial"/>
                <w:b/>
              </w:rPr>
              <w:t>COUNTRY OF BIRTH OF RESIDENTS</w:t>
            </w:r>
          </w:p>
        </w:tc>
        <w:tc>
          <w:tcPr>
            <w:tcW w:w="6804" w:type="dxa"/>
          </w:tcPr>
          <w:p w:rsidR="00714BB9" w:rsidRPr="00714BB9" w:rsidRDefault="00714BB9" w:rsidP="00182D58">
            <w:pPr>
              <w:tabs>
                <w:tab w:val="left" w:pos="-720"/>
              </w:tabs>
              <w:suppressAutoHyphens/>
              <w:spacing w:before="120"/>
              <w:jc w:val="both"/>
              <w:rPr>
                <w:rFonts w:ascii="Arial" w:hAnsi="Arial" w:cs="Arial"/>
                <w:spacing w:val="-2"/>
              </w:rPr>
            </w:pPr>
            <w:r w:rsidRPr="00714BB9">
              <w:rPr>
                <w:rFonts w:ascii="Arial" w:hAnsi="Arial" w:cs="Arial"/>
                <w:spacing w:val="-2"/>
              </w:rPr>
              <w:t xml:space="preserve">The proportion of residents who were born outside the UK, the Republic of Ireland, Ireland (part not specified), Channel Islands and Isle of Man, EU Countries, Canada, USA, Australia and New Zealand, calculated using information from the 2001 Census. The figure is adjusted using the </w:t>
            </w:r>
            <w:r w:rsidRPr="00714BB9">
              <w:rPr>
                <w:rFonts w:ascii="Arial" w:hAnsi="Arial" w:cs="Arial"/>
              </w:rPr>
              <w:t>resident population at 30 June 2001, as estimated by the Office for National Statistics and published on 9 September 2004.</w:t>
            </w:r>
          </w:p>
        </w:tc>
      </w:tr>
      <w:tr w:rsidR="00714BB9" w:rsidRPr="00714BB9" w:rsidTr="00182D58">
        <w:tc>
          <w:tcPr>
            <w:tcW w:w="2410" w:type="dxa"/>
          </w:tcPr>
          <w:p w:rsidR="00714BB9" w:rsidRPr="00714BB9" w:rsidRDefault="00714BB9" w:rsidP="00182D58">
            <w:pPr>
              <w:spacing w:after="58"/>
              <w:rPr>
                <w:rFonts w:ascii="Arial" w:hAnsi="Arial" w:cs="Arial"/>
                <w:b/>
              </w:rPr>
            </w:pPr>
            <w:r w:rsidRPr="00714BB9">
              <w:rPr>
                <w:rFonts w:ascii="Arial" w:hAnsi="Arial" w:cs="Arial"/>
                <w:b/>
              </w:rPr>
              <w:t>AREA COST ADJUSTMENT FOR ENVIRONMENTAL, PROTECTIVE AND CULTURAL SERVICES</w:t>
            </w:r>
          </w:p>
        </w:tc>
        <w:tc>
          <w:tcPr>
            <w:tcW w:w="6804" w:type="dxa"/>
          </w:tcPr>
          <w:p w:rsidR="00714BB9" w:rsidRPr="00714BB9" w:rsidRDefault="00714BB9" w:rsidP="00182D58">
            <w:pPr>
              <w:tabs>
                <w:tab w:val="left" w:pos="-720"/>
              </w:tabs>
              <w:suppressAutoHyphens/>
              <w:jc w:val="both"/>
              <w:rPr>
                <w:rFonts w:ascii="Arial" w:hAnsi="Arial" w:cs="Arial"/>
                <w:spacing w:val="-2"/>
              </w:rPr>
            </w:pPr>
            <w:r w:rsidRPr="00714BB9">
              <w:rPr>
                <w:rFonts w:ascii="Arial" w:hAnsi="Arial" w:cs="Arial"/>
              </w:rPr>
              <w:t>A factor calculated to reflect differences in the cost of providing the relevant services across the country. The factor is given in Annex G of the Calculation of 2013/14 Formula Funding. It is generally based on information derived from the following sources: the 2009, 2010 and 2011 Annual Survey of Hours and Earnings  provided by the Office for National Statistics;</w:t>
            </w:r>
            <w:r w:rsidRPr="00714BB9">
              <w:rPr>
                <w:rFonts w:ascii="Arial" w:hAnsi="Arial" w:cs="Arial"/>
                <w:color w:val="000000"/>
              </w:rPr>
              <w:t xml:space="preserve"> 2007 Annual Business Inquiry Part 2 provided by the Office for National Statistics; the 2008 Small and Medium Enterprise statistics provided by the Department for Business, Innovation and Skills;</w:t>
            </w:r>
            <w:r w:rsidRPr="00714BB9">
              <w:rPr>
                <w:rFonts w:ascii="Arial" w:hAnsi="Arial" w:cs="Arial"/>
              </w:rPr>
              <w:t xml:space="preserve"> </w:t>
            </w:r>
            <w:r w:rsidRPr="00714BB9">
              <w:rPr>
                <w:rFonts w:ascii="Arial" w:hAnsi="Arial" w:cs="Arial"/>
                <w:spacing w:val="-2"/>
              </w:rPr>
              <w:t xml:space="preserve">Subjective Analysis Return 2005-06 and 2007-08; Trading Services Revenue accounts 2007-08; Revenue Outturn forms (RO5) 2007-08; rateable values per square metre for offices in administrative areas in England and Wales from the VOA statistical release Business </w:t>
            </w:r>
            <w:proofErr w:type="spellStart"/>
            <w:r w:rsidRPr="00714BB9">
              <w:rPr>
                <w:rFonts w:ascii="Arial" w:hAnsi="Arial" w:cs="Arial"/>
                <w:spacing w:val="-2"/>
              </w:rPr>
              <w:t>Floorspace</w:t>
            </w:r>
            <w:proofErr w:type="spellEnd"/>
            <w:r w:rsidRPr="00714BB9">
              <w:rPr>
                <w:rFonts w:ascii="Arial" w:hAnsi="Arial" w:cs="Arial"/>
                <w:spacing w:val="-2"/>
              </w:rPr>
              <w:t xml:space="preserve"> 2012; gross non-domestic rates and increases and reductions in rate yields, as supplied by authorities to the Secretary of State on the National Non-Domestic Rates Provisional Contributions Return 2010-11; </w:t>
            </w:r>
            <w:r w:rsidRPr="00714BB9">
              <w:rPr>
                <w:rFonts w:ascii="Arial" w:hAnsi="Arial" w:cs="Arial"/>
                <w:color w:val="000000"/>
              </w:rPr>
              <w:t xml:space="preserve">an applicable sample of publicly available company accounts; </w:t>
            </w:r>
            <w:r w:rsidRPr="00714BB9">
              <w:rPr>
                <w:rFonts w:ascii="Arial" w:hAnsi="Arial" w:cs="Arial"/>
                <w:spacing w:val="-2"/>
              </w:rPr>
              <w:t>and the total resident population as at 30 June 2011, as estimated by the Office for National Statistics.</w:t>
            </w:r>
          </w:p>
        </w:tc>
      </w:tr>
    </w:tbl>
    <w:p w:rsidR="00714BB9" w:rsidRPr="00714BB9" w:rsidRDefault="00714BB9" w:rsidP="00714BB9">
      <w:pPr>
        <w:ind w:left="360"/>
        <w:rPr>
          <w:rFonts w:ascii="Arial" w:hAnsi="Arial" w:cs="Arial"/>
        </w:rPr>
      </w:pPr>
    </w:p>
    <w:p w:rsidR="00714BB9" w:rsidRPr="00714BB9" w:rsidRDefault="00714BB9" w:rsidP="00714BB9">
      <w:pPr>
        <w:ind w:left="360"/>
        <w:rPr>
          <w:rFonts w:ascii="Arial" w:hAnsi="Arial" w:cs="Arial"/>
        </w:rPr>
      </w:pPr>
    </w:p>
    <w:p w:rsidR="00714BB9" w:rsidRPr="00714BB9" w:rsidRDefault="00714BB9" w:rsidP="00714BB9">
      <w:pPr>
        <w:rPr>
          <w:rFonts w:ascii="Arial" w:hAnsi="Arial" w:cs="Arial"/>
        </w:rPr>
      </w:pPr>
      <w:r w:rsidRPr="00714BB9">
        <w:rPr>
          <w:rFonts w:ascii="Arial" w:hAnsi="Arial" w:cs="Arial"/>
          <w:b/>
        </w:rPr>
        <w:t>Annex C: Local Transport Funding</w:t>
      </w:r>
    </w:p>
    <w:p w:rsidR="00714BB9" w:rsidRPr="00714BB9" w:rsidRDefault="00714BB9" w:rsidP="00714BB9">
      <w:pPr>
        <w:rPr>
          <w:rFonts w:ascii="Arial" w:hAnsi="Arial" w:cs="Arial"/>
        </w:rPr>
      </w:pPr>
    </w:p>
    <w:tbl>
      <w:tblPr>
        <w:tblW w:w="0" w:type="auto"/>
        <w:tblInd w:w="829" w:type="dxa"/>
        <w:tblBorders>
          <w:top w:val="single" w:sz="6" w:space="0" w:color="000000"/>
          <w:left w:val="single" w:sz="6" w:space="0" w:color="000000"/>
          <w:bottom w:val="single" w:sz="6" w:space="0" w:color="auto"/>
          <w:right w:val="single" w:sz="6" w:space="0" w:color="000000"/>
          <w:insideH w:val="single" w:sz="6" w:space="0" w:color="FFFFFF"/>
        </w:tblBorders>
        <w:tblLayout w:type="fixed"/>
        <w:tblCellMar>
          <w:left w:w="120" w:type="dxa"/>
          <w:right w:w="120" w:type="dxa"/>
        </w:tblCellMar>
        <w:tblLook w:val="0000" w:firstRow="0" w:lastRow="0" w:firstColumn="0" w:lastColumn="0" w:noHBand="0" w:noVBand="0"/>
      </w:tblPr>
      <w:tblGrid>
        <w:gridCol w:w="709"/>
        <w:gridCol w:w="7654"/>
      </w:tblGrid>
      <w:tr w:rsidR="00714BB9" w:rsidRPr="00714BB9" w:rsidTr="00182D58">
        <w:trPr>
          <w:cantSplit/>
        </w:trPr>
        <w:tc>
          <w:tcPr>
            <w:tcW w:w="8363" w:type="dxa"/>
            <w:gridSpan w:val="2"/>
            <w:shd w:val="solid" w:color="000000" w:fill="FFFFFF"/>
          </w:tcPr>
          <w:p w:rsidR="00714BB9" w:rsidRPr="00714BB9" w:rsidRDefault="00714BB9" w:rsidP="00182D58">
            <w:pPr>
              <w:pStyle w:val="Heading6"/>
              <w:tabs>
                <w:tab w:val="num" w:pos="567"/>
              </w:tabs>
              <w:ind w:left="567" w:hanging="502"/>
              <w:rPr>
                <w:rFonts w:ascii="Arial" w:hAnsi="Arial" w:cs="Arial"/>
              </w:rPr>
            </w:pPr>
            <w:r w:rsidRPr="00714BB9">
              <w:rPr>
                <w:rFonts w:ascii="Arial" w:hAnsi="Arial" w:cs="Arial"/>
              </w:rPr>
              <w:t>Local Transport Services</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(a)</w:t>
            </w:r>
          </w:p>
        </w:tc>
        <w:tc>
          <w:tcPr>
            <w:tcW w:w="7654" w:type="dxa"/>
          </w:tcPr>
          <w:p w:rsidR="00714BB9" w:rsidRPr="00714BB9" w:rsidRDefault="00714BB9" w:rsidP="00182D58">
            <w:pPr>
              <w:pStyle w:val="BodyText"/>
              <w:tabs>
                <w:tab w:val="num" w:pos="567"/>
              </w:tabs>
              <w:ind w:left="62"/>
              <w:rPr>
                <w:rFonts w:cs="Arial"/>
                <w:sz w:val="22"/>
                <w:szCs w:val="22"/>
              </w:rPr>
            </w:pPr>
            <w:r w:rsidRPr="00714BB9">
              <w:rPr>
                <w:rFonts w:cs="Arial"/>
                <w:sz w:val="22"/>
                <w:szCs w:val="22"/>
              </w:rPr>
              <w:t>The sum of:</w:t>
            </w:r>
          </w:p>
          <w:p w:rsidR="00714BB9" w:rsidRPr="00714BB9" w:rsidRDefault="00714BB9" w:rsidP="00182D58">
            <w:pPr>
              <w:tabs>
                <w:tab w:val="left" w:pos="730"/>
              </w:tabs>
              <w:ind w:left="2160"/>
              <w:rPr>
                <w:rFonts w:ascii="Arial" w:hAnsi="Arial" w:cs="Arial"/>
              </w:rPr>
            </w:pPr>
          </w:p>
          <w:p w:rsidR="00714BB9" w:rsidRPr="00714BB9" w:rsidRDefault="00714BB9" w:rsidP="00182D58">
            <w:pPr>
              <w:tabs>
                <w:tab w:val="left" w:pos="730"/>
              </w:tabs>
              <w:ind w:left="730"/>
              <w:rPr>
                <w:rFonts w:ascii="Arial" w:hAnsi="Arial" w:cs="Arial"/>
              </w:rPr>
            </w:pPr>
            <w:proofErr w:type="gramStart"/>
            <w:r w:rsidRPr="00714BB9">
              <w:rPr>
                <w:rFonts w:ascii="Arial" w:hAnsi="Arial" w:cs="Arial"/>
              </w:rPr>
              <w:t>the</w:t>
            </w:r>
            <w:proofErr w:type="gramEnd"/>
            <w:r w:rsidRPr="00714BB9">
              <w:rPr>
                <w:rFonts w:ascii="Arial" w:hAnsi="Arial" w:cs="Arial"/>
              </w:rPr>
              <w:t xml:space="preserve"> 2010/11 allocations of the Road Safety Grant, as estimated by the Secretary of State. The estimate is generally derived from the Road Safety Grant allocations as allocated by the Department for Transport and paid in the 2010 Area Based Grant by the Department for Communities and Local Government. The 2010/11 Road Safety Grant for the Integrated Transport Authorities, including where an authority has acted as the lead authority for the area, has been divided between their constituent authorities as a common amount per head of their resident population at 30 June 2009, as estimated by the Registrar General;</w:t>
            </w:r>
            <w:r w:rsidRPr="00714BB9">
              <w:rPr>
                <w:rFonts w:ascii="Arial" w:hAnsi="Arial" w:cs="Arial"/>
                <w:i/>
              </w:rPr>
              <w:t xml:space="preserve"> plus</w:t>
            </w:r>
          </w:p>
          <w:p w:rsidR="00714BB9" w:rsidRPr="00714BB9" w:rsidRDefault="00714BB9" w:rsidP="00182D58">
            <w:pPr>
              <w:tabs>
                <w:tab w:val="left" w:pos="730"/>
              </w:tabs>
              <w:rPr>
                <w:rFonts w:ascii="Arial" w:hAnsi="Arial" w:cs="Arial"/>
              </w:rPr>
            </w:pPr>
          </w:p>
        </w:tc>
      </w:tr>
      <w:tr w:rsidR="00714BB9" w:rsidRPr="00714BB9" w:rsidTr="00182D58">
        <w:trPr>
          <w:cantSplit/>
        </w:trPr>
        <w:tc>
          <w:tcPr>
            <w:tcW w:w="709" w:type="dxa"/>
          </w:tcPr>
          <w:p w:rsidR="00714BB9" w:rsidRPr="00714BB9" w:rsidRDefault="00714BB9" w:rsidP="00182D58">
            <w:pPr>
              <w:pStyle w:val="BodyText"/>
              <w:tabs>
                <w:tab w:val="num" w:pos="567"/>
              </w:tabs>
              <w:ind w:left="567" w:hanging="502"/>
              <w:rPr>
                <w:rFonts w:cs="Arial"/>
                <w:sz w:val="22"/>
                <w:szCs w:val="22"/>
              </w:rPr>
            </w:pPr>
          </w:p>
        </w:tc>
        <w:tc>
          <w:tcPr>
            <w:tcW w:w="7654" w:type="dxa"/>
          </w:tcPr>
          <w:p w:rsidR="00714BB9" w:rsidRPr="00714BB9" w:rsidRDefault="00714BB9" w:rsidP="00182D58">
            <w:pPr>
              <w:tabs>
                <w:tab w:val="left" w:pos="730"/>
              </w:tabs>
              <w:ind w:left="730"/>
              <w:rPr>
                <w:rFonts w:ascii="Arial" w:hAnsi="Arial" w:cs="Arial"/>
              </w:rPr>
            </w:pPr>
            <w:proofErr w:type="gramStart"/>
            <w:r w:rsidRPr="00714BB9">
              <w:rPr>
                <w:rFonts w:ascii="Arial" w:hAnsi="Arial" w:cs="Arial"/>
              </w:rPr>
              <w:t>the</w:t>
            </w:r>
            <w:proofErr w:type="gramEnd"/>
            <w:r w:rsidRPr="00714BB9">
              <w:rPr>
                <w:rFonts w:ascii="Arial" w:hAnsi="Arial" w:cs="Arial"/>
              </w:rPr>
              <w:t xml:space="preserve"> 2010/11 allocations of the Rural Bus Subsidy, as estimated by the Secretary of State. The estimate is generally derived from the Road Safety Grant allocations as allocated by the Department for Transport and paid in the 2010 Area Based Grant by the Department for Communities and Local Government. The 2010/11 Road Safety Grant for the Integrated Transport Authorities has been divided between their constituent authorities as a common amount per head of their resident population at 30 June 2009, as estimated by the Registrar General; </w:t>
            </w:r>
            <w:r w:rsidRPr="00714BB9">
              <w:rPr>
                <w:rFonts w:ascii="Arial" w:hAnsi="Arial" w:cs="Arial"/>
                <w:i/>
              </w:rPr>
              <w:t>plus</w:t>
            </w:r>
          </w:p>
        </w:tc>
      </w:tr>
      <w:tr w:rsidR="00714BB9" w:rsidRPr="00714BB9" w:rsidTr="00182D58">
        <w:trPr>
          <w:cantSplit/>
        </w:trPr>
        <w:tc>
          <w:tcPr>
            <w:tcW w:w="709" w:type="dxa"/>
          </w:tcPr>
          <w:p w:rsidR="00714BB9" w:rsidRPr="00714BB9" w:rsidRDefault="00714BB9" w:rsidP="00182D58">
            <w:pPr>
              <w:pStyle w:val="BodyText"/>
              <w:tabs>
                <w:tab w:val="num" w:pos="567"/>
              </w:tabs>
              <w:ind w:left="567" w:hanging="502"/>
              <w:rPr>
                <w:rFonts w:cs="Arial"/>
                <w:sz w:val="22"/>
                <w:szCs w:val="22"/>
              </w:rPr>
            </w:pPr>
          </w:p>
        </w:tc>
        <w:tc>
          <w:tcPr>
            <w:tcW w:w="7654" w:type="dxa"/>
          </w:tcPr>
          <w:p w:rsidR="00714BB9" w:rsidRDefault="00714BB9" w:rsidP="00182D58">
            <w:pPr>
              <w:pStyle w:val="BodyText"/>
              <w:tabs>
                <w:tab w:val="num" w:pos="567"/>
              </w:tabs>
              <w:ind w:left="720"/>
              <w:rPr>
                <w:rFonts w:cs="Arial"/>
                <w:sz w:val="22"/>
                <w:szCs w:val="22"/>
              </w:rPr>
            </w:pPr>
            <w:r w:rsidRPr="00714BB9">
              <w:rPr>
                <w:rFonts w:cs="Arial"/>
                <w:sz w:val="22"/>
                <w:szCs w:val="22"/>
              </w:rPr>
              <w:t xml:space="preserve">the 2010/11 allocations of the </w:t>
            </w:r>
            <w:proofErr w:type="spellStart"/>
            <w:r w:rsidRPr="00714BB9">
              <w:rPr>
                <w:rFonts w:cs="Arial"/>
                <w:sz w:val="22"/>
                <w:szCs w:val="22"/>
              </w:rPr>
              <w:t>Detrunking</w:t>
            </w:r>
            <w:proofErr w:type="spellEnd"/>
            <w:r w:rsidRPr="00714BB9">
              <w:rPr>
                <w:rFonts w:cs="Arial"/>
                <w:sz w:val="22"/>
                <w:szCs w:val="22"/>
              </w:rPr>
              <w:t xml:space="preserve"> Grant for each authority as allocated by the Department for Transport and paid in the 2010 Area Based Grant by the Department for Communities and Local Government</w:t>
            </w:r>
          </w:p>
          <w:p w:rsidR="00714BB9" w:rsidRPr="00714BB9" w:rsidRDefault="00714BB9" w:rsidP="00182D58">
            <w:pPr>
              <w:pStyle w:val="BodyText"/>
              <w:tabs>
                <w:tab w:val="num" w:pos="567"/>
              </w:tabs>
              <w:ind w:left="720"/>
              <w:rPr>
                <w:rFonts w:cs="Arial"/>
                <w:sz w:val="22"/>
                <w:szCs w:val="22"/>
              </w:rPr>
            </w:pP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(b)</w:t>
            </w:r>
          </w:p>
        </w:tc>
        <w:tc>
          <w:tcPr>
            <w:tcW w:w="7654"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The sum for all authorities of the result of (a)</w:t>
            </w:r>
          </w:p>
        </w:tc>
      </w:tr>
      <w:tr w:rsidR="00714BB9" w:rsidRPr="00714BB9" w:rsidTr="00182D58">
        <w:tc>
          <w:tcPr>
            <w:tcW w:w="709" w:type="dxa"/>
          </w:tcPr>
          <w:p w:rsidR="00714BB9" w:rsidRPr="00714BB9" w:rsidRDefault="00714BB9" w:rsidP="00182D58">
            <w:pPr>
              <w:pStyle w:val="BodyText"/>
              <w:tabs>
                <w:tab w:val="num" w:pos="567"/>
              </w:tabs>
              <w:ind w:left="567" w:hanging="502"/>
              <w:rPr>
                <w:rFonts w:cs="Arial"/>
                <w:sz w:val="22"/>
                <w:szCs w:val="22"/>
              </w:rPr>
            </w:pPr>
            <w:r w:rsidRPr="00714BB9">
              <w:rPr>
                <w:rFonts w:cs="Arial"/>
                <w:sz w:val="22"/>
                <w:szCs w:val="22"/>
              </w:rPr>
              <w:t>(c)</w:t>
            </w:r>
          </w:p>
        </w:tc>
        <w:tc>
          <w:tcPr>
            <w:tcW w:w="7654" w:type="dxa"/>
          </w:tcPr>
          <w:p w:rsidR="00714BB9" w:rsidRPr="00714BB9" w:rsidRDefault="00714BB9" w:rsidP="00182D58">
            <w:pPr>
              <w:pStyle w:val="BodyText"/>
              <w:tabs>
                <w:tab w:val="num" w:pos="567"/>
              </w:tabs>
              <w:ind w:left="62"/>
              <w:rPr>
                <w:rFonts w:cs="Arial"/>
                <w:sz w:val="22"/>
                <w:szCs w:val="22"/>
              </w:rPr>
            </w:pPr>
            <w:r w:rsidRPr="00714BB9">
              <w:rPr>
                <w:rFonts w:cs="Arial"/>
                <w:sz w:val="22"/>
                <w:szCs w:val="22"/>
              </w:rPr>
              <w:t xml:space="preserve">The result of (a) </w:t>
            </w:r>
            <w:r w:rsidRPr="00714BB9">
              <w:rPr>
                <w:rFonts w:cs="Arial"/>
                <w:i/>
                <w:sz w:val="22"/>
                <w:szCs w:val="22"/>
              </w:rPr>
              <w:t>divided by</w:t>
            </w:r>
            <w:r w:rsidRPr="00714BB9">
              <w:rPr>
                <w:rFonts w:cs="Arial"/>
                <w:sz w:val="22"/>
                <w:szCs w:val="22"/>
              </w:rPr>
              <w:t xml:space="preserve"> the result of (b) </w:t>
            </w:r>
            <w:r w:rsidRPr="00714BB9">
              <w:rPr>
                <w:rFonts w:cs="Arial"/>
                <w:i/>
                <w:sz w:val="22"/>
                <w:szCs w:val="22"/>
              </w:rPr>
              <w:t>multiplied by</w:t>
            </w:r>
            <w:r w:rsidRPr="00714BB9">
              <w:rPr>
                <w:rFonts w:cs="Arial"/>
                <w:sz w:val="22"/>
                <w:szCs w:val="22"/>
              </w:rPr>
              <w:t xml:space="preserve"> £80,000,000</w:t>
            </w:r>
          </w:p>
        </w:tc>
      </w:tr>
    </w:tbl>
    <w:p w:rsidR="00714BB9" w:rsidRPr="00714BB9" w:rsidRDefault="00714BB9" w:rsidP="00714BB9">
      <w:pPr>
        <w:rPr>
          <w:rFonts w:ascii="Arial" w:hAnsi="Arial" w:cs="Arial"/>
          <w:b/>
        </w:rPr>
      </w:pPr>
      <w:r w:rsidRPr="00714BB9">
        <w:rPr>
          <w:rFonts w:ascii="Arial" w:hAnsi="Arial" w:cs="Arial"/>
          <w:b/>
        </w:rPr>
        <w:br w:type="page"/>
      </w:r>
    </w:p>
    <w:p w:rsidR="00714BB9" w:rsidRPr="00714BB9" w:rsidRDefault="00714BB9" w:rsidP="00714BB9">
      <w:pPr>
        <w:ind w:left="360"/>
        <w:rPr>
          <w:rFonts w:ascii="Arial" w:hAnsi="Arial" w:cs="Arial"/>
          <w:b/>
        </w:rPr>
      </w:pPr>
      <w:r w:rsidRPr="00714BB9">
        <w:rPr>
          <w:rFonts w:ascii="Arial" w:hAnsi="Arial" w:cs="Arial"/>
          <w:b/>
        </w:rPr>
        <w:lastRenderedPageBreak/>
        <w:t>Annex D: 2013-14 Concessionary Travel Relative Needs Formula</w:t>
      </w:r>
    </w:p>
    <w:p w:rsidR="00714BB9" w:rsidRPr="00714BB9" w:rsidRDefault="00714BB9" w:rsidP="00714BB9">
      <w:pPr>
        <w:ind w:left="360"/>
        <w:rPr>
          <w:rFonts w:ascii="Arial" w:hAnsi="Arial" w:cs="Arial"/>
        </w:rPr>
      </w:pPr>
    </w:p>
    <w:tbl>
      <w:tblPr>
        <w:tblW w:w="0" w:type="auto"/>
        <w:tblInd w:w="829" w:type="dxa"/>
        <w:tblBorders>
          <w:top w:val="single" w:sz="6" w:space="0" w:color="000000"/>
          <w:left w:val="single" w:sz="6" w:space="0" w:color="000000"/>
          <w:bottom w:val="single" w:sz="6" w:space="0" w:color="000000"/>
          <w:right w:val="single" w:sz="6" w:space="0" w:color="000000"/>
          <w:insideH w:val="single" w:sz="6" w:space="0" w:color="FFFFFF"/>
          <w:insideV w:val="single" w:sz="6" w:space="0" w:color="FFFFFF"/>
        </w:tblBorders>
        <w:tblLayout w:type="fixed"/>
        <w:tblCellMar>
          <w:left w:w="120" w:type="dxa"/>
          <w:right w:w="120" w:type="dxa"/>
        </w:tblCellMar>
        <w:tblLook w:val="0000" w:firstRow="0" w:lastRow="0" w:firstColumn="0" w:lastColumn="0" w:noHBand="0" w:noVBand="0"/>
      </w:tblPr>
      <w:tblGrid>
        <w:gridCol w:w="708"/>
        <w:gridCol w:w="7655"/>
      </w:tblGrid>
      <w:tr w:rsidR="00714BB9" w:rsidRPr="00714BB9" w:rsidTr="00182D58">
        <w:tc>
          <w:tcPr>
            <w:tcW w:w="8363" w:type="dxa"/>
            <w:gridSpan w:val="2"/>
            <w:tcBorders>
              <w:top w:val="single" w:sz="6" w:space="0" w:color="000000"/>
              <w:bottom w:val="single" w:sz="6" w:space="0" w:color="FFFFFF"/>
            </w:tcBorders>
            <w:shd w:val="solid" w:color="000000" w:fill="FFFFFF"/>
          </w:tcPr>
          <w:p w:rsidR="00714BB9" w:rsidRPr="00714BB9" w:rsidRDefault="00714BB9" w:rsidP="00182D58">
            <w:pPr>
              <w:pStyle w:val="Heading6"/>
              <w:tabs>
                <w:tab w:val="num" w:pos="567"/>
              </w:tabs>
              <w:ind w:left="567" w:hanging="502"/>
              <w:rPr>
                <w:rFonts w:ascii="Arial" w:hAnsi="Arial" w:cs="Arial"/>
              </w:rPr>
            </w:pPr>
            <w:r w:rsidRPr="00714BB9">
              <w:rPr>
                <w:rFonts w:ascii="Arial" w:hAnsi="Arial" w:cs="Arial"/>
                <w:i w:val="0"/>
              </w:rPr>
              <w:t>Concessionary Travel</w:t>
            </w:r>
          </w:p>
        </w:tc>
      </w:tr>
      <w:tr w:rsidR="00714BB9" w:rsidRPr="00714BB9" w:rsidTr="00182D58">
        <w:tc>
          <w:tcPr>
            <w:tcW w:w="708" w:type="dxa"/>
            <w:tcBorders>
              <w:top w:val="single" w:sz="6" w:space="0" w:color="FFFFFF"/>
              <w:bottom w:val="single" w:sz="6" w:space="0" w:color="FFFFFF"/>
              <w:right w:val="nil"/>
            </w:tcBorders>
          </w:tcPr>
          <w:p w:rsidR="00714BB9" w:rsidRPr="00714BB9" w:rsidRDefault="00714BB9" w:rsidP="00182D58">
            <w:pPr>
              <w:pStyle w:val="BodyText"/>
              <w:tabs>
                <w:tab w:val="num" w:pos="567"/>
              </w:tabs>
              <w:spacing w:before="120" w:after="60"/>
              <w:ind w:left="567" w:hanging="505"/>
              <w:rPr>
                <w:rFonts w:cs="Arial"/>
                <w:sz w:val="22"/>
                <w:szCs w:val="22"/>
              </w:rPr>
            </w:pPr>
            <w:r w:rsidRPr="00714BB9">
              <w:rPr>
                <w:rFonts w:cs="Arial"/>
                <w:sz w:val="22"/>
                <w:szCs w:val="22"/>
              </w:rPr>
              <w:t>(a)</w:t>
            </w:r>
          </w:p>
        </w:tc>
        <w:tc>
          <w:tcPr>
            <w:tcW w:w="7655" w:type="dxa"/>
            <w:tcBorders>
              <w:top w:val="single" w:sz="6" w:space="0" w:color="FFFFFF"/>
              <w:left w:val="nil"/>
              <w:bottom w:val="single" w:sz="6" w:space="0" w:color="FFFFFF"/>
            </w:tcBorders>
          </w:tcPr>
          <w:p w:rsidR="00714BB9" w:rsidRPr="00714BB9" w:rsidRDefault="00714BB9" w:rsidP="00182D58">
            <w:pPr>
              <w:pStyle w:val="BodyText"/>
              <w:tabs>
                <w:tab w:val="num" w:pos="567"/>
              </w:tabs>
              <w:spacing w:before="120" w:after="60"/>
              <w:ind w:left="567" w:hanging="505"/>
              <w:rPr>
                <w:rFonts w:cs="Arial"/>
                <w:sz w:val="22"/>
                <w:szCs w:val="22"/>
              </w:rPr>
            </w:pPr>
            <w:r w:rsidRPr="00714BB9">
              <w:rPr>
                <w:rFonts w:cs="Arial"/>
                <w:b/>
                <w:sz w:val="22"/>
                <w:szCs w:val="22"/>
              </w:rPr>
              <w:t xml:space="preserve">MODELLED CONCESSIONARY BUS BOARDINGS </w:t>
            </w:r>
            <w:r w:rsidRPr="00714BB9">
              <w:rPr>
                <w:rFonts w:cs="Arial"/>
                <w:sz w:val="22"/>
                <w:szCs w:val="22"/>
              </w:rPr>
              <w:t xml:space="preserve">is </w:t>
            </w:r>
            <w:r w:rsidRPr="00714BB9">
              <w:rPr>
                <w:rFonts w:cs="Arial"/>
                <w:i/>
                <w:sz w:val="22"/>
                <w:szCs w:val="22"/>
              </w:rPr>
              <w:t>multiplied by</w:t>
            </w:r>
            <w:r w:rsidRPr="00714BB9">
              <w:rPr>
                <w:rFonts w:cs="Arial"/>
                <w:sz w:val="22"/>
                <w:szCs w:val="22"/>
              </w:rPr>
              <w:t xml:space="preserve"> the scaling factor given in Annex E for </w:t>
            </w:r>
            <w:r w:rsidRPr="00714BB9">
              <w:rPr>
                <w:rFonts w:cs="Arial"/>
                <w:i/>
                <w:sz w:val="22"/>
                <w:szCs w:val="22"/>
              </w:rPr>
              <w:t>Concessionary Travel</w:t>
            </w:r>
            <w:r w:rsidRPr="00714BB9">
              <w:rPr>
                <w:rFonts w:cs="Arial"/>
                <w:sz w:val="22"/>
                <w:szCs w:val="22"/>
              </w:rPr>
              <w:t>.</w:t>
            </w:r>
          </w:p>
        </w:tc>
      </w:tr>
      <w:tr w:rsidR="00714BB9" w:rsidRPr="00714BB9" w:rsidTr="00182D58">
        <w:tc>
          <w:tcPr>
            <w:tcW w:w="708" w:type="dxa"/>
            <w:tcBorders>
              <w:top w:val="single" w:sz="6" w:space="0" w:color="FFFFFF"/>
              <w:bottom w:val="single" w:sz="6" w:space="0" w:color="auto"/>
              <w:right w:val="nil"/>
            </w:tcBorders>
          </w:tcPr>
          <w:p w:rsidR="00714BB9" w:rsidRPr="00714BB9" w:rsidRDefault="00714BB9" w:rsidP="00182D58">
            <w:pPr>
              <w:pStyle w:val="BodyText"/>
              <w:tabs>
                <w:tab w:val="num" w:pos="567"/>
              </w:tabs>
              <w:spacing w:before="120" w:after="60"/>
              <w:ind w:left="567" w:hanging="505"/>
              <w:rPr>
                <w:rFonts w:cs="Arial"/>
                <w:sz w:val="22"/>
                <w:szCs w:val="22"/>
              </w:rPr>
            </w:pPr>
            <w:r w:rsidRPr="00714BB9">
              <w:rPr>
                <w:rFonts w:cs="Arial"/>
                <w:sz w:val="22"/>
                <w:szCs w:val="22"/>
              </w:rPr>
              <w:t>(b)</w:t>
            </w:r>
          </w:p>
        </w:tc>
        <w:tc>
          <w:tcPr>
            <w:tcW w:w="7655" w:type="dxa"/>
            <w:tcBorders>
              <w:top w:val="single" w:sz="6" w:space="0" w:color="FFFFFF"/>
              <w:left w:val="nil"/>
              <w:bottom w:val="single" w:sz="6" w:space="0" w:color="auto"/>
            </w:tcBorders>
          </w:tcPr>
          <w:p w:rsidR="00714BB9" w:rsidRPr="00714BB9" w:rsidRDefault="00714BB9" w:rsidP="00182D58">
            <w:pPr>
              <w:pStyle w:val="BodyText"/>
              <w:tabs>
                <w:tab w:val="num" w:pos="567"/>
              </w:tabs>
              <w:spacing w:before="120" w:after="60"/>
              <w:ind w:left="567" w:hanging="505"/>
              <w:rPr>
                <w:rFonts w:cs="Arial"/>
                <w:sz w:val="22"/>
                <w:szCs w:val="22"/>
              </w:rPr>
            </w:pPr>
            <w:r w:rsidRPr="00714BB9">
              <w:rPr>
                <w:rFonts w:cs="Arial"/>
                <w:sz w:val="22"/>
                <w:szCs w:val="22"/>
              </w:rPr>
              <w:t>The result of (a) is then divided by 10,000,000,000.</w:t>
            </w:r>
          </w:p>
        </w:tc>
      </w:tr>
    </w:tbl>
    <w:p w:rsidR="00714BB9" w:rsidRPr="00714BB9" w:rsidRDefault="00714BB9" w:rsidP="00714BB9">
      <w:pPr>
        <w:ind w:left="360"/>
        <w:rPr>
          <w:rFonts w:ascii="Arial" w:hAnsi="Arial" w:cs="Arial"/>
        </w:rPr>
      </w:pPr>
    </w:p>
    <w:p w:rsidR="00714BB9" w:rsidRPr="00714BB9" w:rsidRDefault="00714BB9" w:rsidP="00714BB9">
      <w:pPr>
        <w:ind w:left="360"/>
        <w:rPr>
          <w:rFonts w:ascii="Arial" w:hAnsi="Arial" w:cs="Arial"/>
        </w:rPr>
      </w:pPr>
      <w:r w:rsidRPr="00714BB9">
        <w:rPr>
          <w:rFonts w:ascii="Arial" w:hAnsi="Arial" w:cs="Arial"/>
        </w:rPr>
        <w:t>Where:</w:t>
      </w:r>
    </w:p>
    <w:p w:rsidR="00714BB9" w:rsidRPr="00714BB9" w:rsidRDefault="00714BB9" w:rsidP="00714BB9">
      <w:pPr>
        <w:ind w:left="360"/>
        <w:rPr>
          <w:rFonts w:ascii="Arial" w:hAnsi="Arial" w:cs="Arial"/>
        </w:rPr>
      </w:pPr>
    </w:p>
    <w:tbl>
      <w:tblPr>
        <w:tblW w:w="9214" w:type="dxa"/>
        <w:tblInd w:w="120" w:type="dxa"/>
        <w:tblLayout w:type="fixed"/>
        <w:tblCellMar>
          <w:left w:w="120" w:type="dxa"/>
          <w:right w:w="120" w:type="dxa"/>
        </w:tblCellMar>
        <w:tblLook w:val="0000" w:firstRow="0" w:lastRow="0" w:firstColumn="0" w:lastColumn="0" w:noHBand="0" w:noVBand="0"/>
      </w:tblPr>
      <w:tblGrid>
        <w:gridCol w:w="2410"/>
        <w:gridCol w:w="6804"/>
      </w:tblGrid>
      <w:tr w:rsidR="00714BB9" w:rsidRPr="00714BB9" w:rsidTr="00182D58">
        <w:trPr>
          <w:cantSplit/>
        </w:trPr>
        <w:tc>
          <w:tcPr>
            <w:tcW w:w="2410" w:type="dxa"/>
          </w:tcPr>
          <w:p w:rsidR="00714BB9" w:rsidRPr="00714BB9" w:rsidRDefault="00714BB9" w:rsidP="00182D58">
            <w:pPr>
              <w:spacing w:before="120"/>
              <w:rPr>
                <w:rFonts w:ascii="Arial" w:hAnsi="Arial" w:cs="Arial"/>
                <w:b/>
              </w:rPr>
            </w:pPr>
            <w:r w:rsidRPr="00714BB9">
              <w:rPr>
                <w:rFonts w:ascii="Arial" w:hAnsi="Arial" w:cs="Arial"/>
                <w:b/>
              </w:rPr>
              <w:t xml:space="preserve">MODELLED CONCESSIONARY BUS BOARDINGS </w:t>
            </w:r>
          </w:p>
          <w:p w:rsidR="00714BB9" w:rsidRPr="00714BB9" w:rsidRDefault="00714BB9" w:rsidP="00182D58">
            <w:pPr>
              <w:spacing w:before="120"/>
              <w:rPr>
                <w:rFonts w:ascii="Arial" w:hAnsi="Arial" w:cs="Arial"/>
                <w:b/>
              </w:rPr>
            </w:pPr>
          </w:p>
        </w:tc>
        <w:tc>
          <w:tcPr>
            <w:tcW w:w="6804" w:type="dxa"/>
          </w:tcPr>
          <w:p w:rsidR="00714BB9" w:rsidRPr="00714BB9" w:rsidRDefault="00714BB9" w:rsidP="00182D58">
            <w:pPr>
              <w:spacing w:before="120"/>
              <w:rPr>
                <w:rFonts w:ascii="Arial" w:hAnsi="Arial" w:cs="Arial"/>
              </w:rPr>
            </w:pPr>
            <w:r w:rsidRPr="00714BB9">
              <w:rPr>
                <w:rFonts w:ascii="Arial" w:hAnsi="Arial" w:cs="Arial"/>
              </w:rPr>
              <w:t xml:space="preserve">The annual number of concessionary bus </w:t>
            </w:r>
            <w:proofErr w:type="spellStart"/>
            <w:r w:rsidRPr="00714BB9">
              <w:rPr>
                <w:rFonts w:ascii="Arial" w:hAnsi="Arial" w:cs="Arial"/>
              </w:rPr>
              <w:t>boardings</w:t>
            </w:r>
            <w:proofErr w:type="spellEnd"/>
            <w:r w:rsidRPr="00714BB9">
              <w:rPr>
                <w:rFonts w:ascii="Arial" w:hAnsi="Arial" w:cs="Arial"/>
              </w:rPr>
              <w:t xml:space="preserve"> by older and disabled people, as estimated by the Secretary of State for Transport.</w:t>
            </w:r>
          </w:p>
          <w:p w:rsidR="00714BB9" w:rsidRPr="00714BB9" w:rsidRDefault="00714BB9" w:rsidP="00182D58">
            <w:pPr>
              <w:rPr>
                <w:rFonts w:ascii="Arial" w:hAnsi="Arial" w:cs="Arial"/>
              </w:rPr>
            </w:pPr>
          </w:p>
          <w:p w:rsidR="00714BB9" w:rsidRPr="00714BB9" w:rsidRDefault="00714BB9" w:rsidP="00182D58">
            <w:pPr>
              <w:jc w:val="both"/>
              <w:rPr>
                <w:rFonts w:ascii="Arial" w:hAnsi="Arial" w:cs="Arial"/>
              </w:rPr>
            </w:pPr>
            <w:r w:rsidRPr="00714BB9">
              <w:rPr>
                <w:rFonts w:ascii="Arial" w:hAnsi="Arial" w:cs="Arial"/>
              </w:rPr>
              <w:t xml:space="preserve">The estimate for modelled concessionary bus </w:t>
            </w:r>
            <w:proofErr w:type="spellStart"/>
            <w:r w:rsidRPr="00714BB9">
              <w:rPr>
                <w:rFonts w:ascii="Arial" w:hAnsi="Arial" w:cs="Arial"/>
              </w:rPr>
              <w:t>boardings</w:t>
            </w:r>
            <w:proofErr w:type="spellEnd"/>
            <w:r w:rsidRPr="00714BB9">
              <w:rPr>
                <w:rFonts w:ascii="Arial" w:hAnsi="Arial" w:cs="Arial"/>
              </w:rPr>
              <w:t xml:space="preserve"> uses information derived from the following sources: mid-2009 and mid-2010 population estimates; rural/urban status classifications; the Annual Population Survey; the Public Service Vehicle Operator Survey; the Light Rail Operators Survey; the National Public Transport Data Repository and vehicle registration statistics. The coefficients for these data inputs are based on analysis of data from the </w:t>
            </w:r>
            <w:proofErr w:type="spellStart"/>
            <w:r w:rsidRPr="00714BB9">
              <w:rPr>
                <w:rFonts w:ascii="Arial" w:hAnsi="Arial" w:cs="Arial"/>
              </w:rPr>
              <w:t>DfT</w:t>
            </w:r>
            <w:proofErr w:type="spellEnd"/>
            <w:r w:rsidRPr="00714BB9">
              <w:rPr>
                <w:rFonts w:ascii="Arial" w:hAnsi="Arial" w:cs="Arial"/>
              </w:rPr>
              <w:t xml:space="preserve"> National Travel Survey.</w:t>
            </w:r>
          </w:p>
        </w:tc>
      </w:tr>
    </w:tbl>
    <w:p w:rsidR="00714BB9" w:rsidRPr="00714BB9" w:rsidRDefault="00714BB9" w:rsidP="00714BB9">
      <w:pPr>
        <w:ind w:left="360"/>
        <w:rPr>
          <w:rFonts w:ascii="Arial" w:hAnsi="Arial" w:cs="Arial"/>
        </w:rPr>
      </w:pPr>
    </w:p>
    <w:p w:rsidR="00F65461" w:rsidRPr="00714BB9" w:rsidRDefault="00F65461" w:rsidP="002A1E1B">
      <w:pPr>
        <w:spacing w:line="256" w:lineRule="auto"/>
        <w:ind w:left="344" w:hanging="10"/>
        <w:rPr>
          <w:rFonts w:ascii="Arial" w:hAnsi="Arial" w:cs="Arial"/>
        </w:rPr>
      </w:pPr>
    </w:p>
    <w:sectPr w:rsidR="00F65461" w:rsidRPr="00714BB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0D1" w:rsidRDefault="008060D1" w:rsidP="003F6819">
      <w:pPr>
        <w:spacing w:after="0" w:line="240" w:lineRule="auto"/>
      </w:pPr>
      <w:r>
        <w:separator/>
      </w:r>
    </w:p>
  </w:endnote>
  <w:endnote w:type="continuationSeparator" w:id="0">
    <w:p w:rsidR="008060D1" w:rsidRDefault="008060D1" w:rsidP="003F6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D1" w:rsidRDefault="00806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551268"/>
      <w:docPartObj>
        <w:docPartGallery w:val="Page Numbers (Bottom of Page)"/>
        <w:docPartUnique/>
      </w:docPartObj>
    </w:sdtPr>
    <w:sdtEndPr>
      <w:rPr>
        <w:noProof/>
      </w:rPr>
    </w:sdtEndPr>
    <w:sdtContent>
      <w:p w:rsidR="008060D1" w:rsidRDefault="008060D1">
        <w:pPr>
          <w:pStyle w:val="Footer"/>
          <w:jc w:val="right"/>
        </w:pPr>
        <w:r>
          <w:fldChar w:fldCharType="begin"/>
        </w:r>
        <w:r>
          <w:instrText xml:space="preserve"> PAGE   \* MERGEFORMAT </w:instrText>
        </w:r>
        <w:r>
          <w:fldChar w:fldCharType="separate"/>
        </w:r>
        <w:r w:rsidR="001035F1">
          <w:rPr>
            <w:noProof/>
          </w:rPr>
          <w:t>1</w:t>
        </w:r>
        <w:r>
          <w:rPr>
            <w:noProof/>
          </w:rPr>
          <w:fldChar w:fldCharType="end"/>
        </w:r>
      </w:p>
    </w:sdtContent>
  </w:sdt>
  <w:p w:rsidR="008060D1" w:rsidRDefault="00806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D1" w:rsidRDefault="00806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0D1" w:rsidRDefault="008060D1" w:rsidP="003F6819">
      <w:pPr>
        <w:spacing w:after="0" w:line="240" w:lineRule="auto"/>
      </w:pPr>
      <w:r>
        <w:separator/>
      </w:r>
    </w:p>
  </w:footnote>
  <w:footnote w:type="continuationSeparator" w:id="0">
    <w:p w:rsidR="008060D1" w:rsidRDefault="008060D1" w:rsidP="003F6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D1" w:rsidRDefault="00806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D1" w:rsidRDefault="00806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D1" w:rsidRDefault="00806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014"/>
    <w:multiLevelType w:val="hybridMultilevel"/>
    <w:tmpl w:val="3F286914"/>
    <w:lvl w:ilvl="0" w:tplc="8E9ECAE8">
      <w:start w:val="1"/>
      <w:numFmt w:val="bullet"/>
      <w:lvlText w:val="•"/>
      <w:lvlJc w:val="left"/>
      <w:pPr>
        <w:tabs>
          <w:tab w:val="num" w:pos="720"/>
        </w:tabs>
        <w:ind w:left="720" w:hanging="360"/>
      </w:pPr>
      <w:rPr>
        <w:rFonts w:ascii="Arial" w:hAnsi="Arial" w:hint="default"/>
      </w:rPr>
    </w:lvl>
    <w:lvl w:ilvl="1" w:tplc="D5325A38" w:tentative="1">
      <w:start w:val="1"/>
      <w:numFmt w:val="bullet"/>
      <w:lvlText w:val="•"/>
      <w:lvlJc w:val="left"/>
      <w:pPr>
        <w:tabs>
          <w:tab w:val="num" w:pos="1440"/>
        </w:tabs>
        <w:ind w:left="1440" w:hanging="360"/>
      </w:pPr>
      <w:rPr>
        <w:rFonts w:ascii="Arial" w:hAnsi="Arial" w:hint="default"/>
      </w:rPr>
    </w:lvl>
    <w:lvl w:ilvl="2" w:tplc="ADE00CC0" w:tentative="1">
      <w:start w:val="1"/>
      <w:numFmt w:val="bullet"/>
      <w:lvlText w:val="•"/>
      <w:lvlJc w:val="left"/>
      <w:pPr>
        <w:tabs>
          <w:tab w:val="num" w:pos="2160"/>
        </w:tabs>
        <w:ind w:left="2160" w:hanging="360"/>
      </w:pPr>
      <w:rPr>
        <w:rFonts w:ascii="Arial" w:hAnsi="Arial" w:hint="default"/>
      </w:rPr>
    </w:lvl>
    <w:lvl w:ilvl="3" w:tplc="A79824F8" w:tentative="1">
      <w:start w:val="1"/>
      <w:numFmt w:val="bullet"/>
      <w:lvlText w:val="•"/>
      <w:lvlJc w:val="left"/>
      <w:pPr>
        <w:tabs>
          <w:tab w:val="num" w:pos="2880"/>
        </w:tabs>
        <w:ind w:left="2880" w:hanging="360"/>
      </w:pPr>
      <w:rPr>
        <w:rFonts w:ascii="Arial" w:hAnsi="Arial" w:hint="default"/>
      </w:rPr>
    </w:lvl>
    <w:lvl w:ilvl="4" w:tplc="C6A09B22" w:tentative="1">
      <w:start w:val="1"/>
      <w:numFmt w:val="bullet"/>
      <w:lvlText w:val="•"/>
      <w:lvlJc w:val="left"/>
      <w:pPr>
        <w:tabs>
          <w:tab w:val="num" w:pos="3600"/>
        </w:tabs>
        <w:ind w:left="3600" w:hanging="360"/>
      </w:pPr>
      <w:rPr>
        <w:rFonts w:ascii="Arial" w:hAnsi="Arial" w:hint="default"/>
      </w:rPr>
    </w:lvl>
    <w:lvl w:ilvl="5" w:tplc="F006B900" w:tentative="1">
      <w:start w:val="1"/>
      <w:numFmt w:val="bullet"/>
      <w:lvlText w:val="•"/>
      <w:lvlJc w:val="left"/>
      <w:pPr>
        <w:tabs>
          <w:tab w:val="num" w:pos="4320"/>
        </w:tabs>
        <w:ind w:left="4320" w:hanging="360"/>
      </w:pPr>
      <w:rPr>
        <w:rFonts w:ascii="Arial" w:hAnsi="Arial" w:hint="default"/>
      </w:rPr>
    </w:lvl>
    <w:lvl w:ilvl="6" w:tplc="C1381EFE" w:tentative="1">
      <w:start w:val="1"/>
      <w:numFmt w:val="bullet"/>
      <w:lvlText w:val="•"/>
      <w:lvlJc w:val="left"/>
      <w:pPr>
        <w:tabs>
          <w:tab w:val="num" w:pos="5040"/>
        </w:tabs>
        <w:ind w:left="5040" w:hanging="360"/>
      </w:pPr>
      <w:rPr>
        <w:rFonts w:ascii="Arial" w:hAnsi="Arial" w:hint="default"/>
      </w:rPr>
    </w:lvl>
    <w:lvl w:ilvl="7" w:tplc="4A1215A8" w:tentative="1">
      <w:start w:val="1"/>
      <w:numFmt w:val="bullet"/>
      <w:lvlText w:val="•"/>
      <w:lvlJc w:val="left"/>
      <w:pPr>
        <w:tabs>
          <w:tab w:val="num" w:pos="5760"/>
        </w:tabs>
        <w:ind w:left="5760" w:hanging="360"/>
      </w:pPr>
      <w:rPr>
        <w:rFonts w:ascii="Arial" w:hAnsi="Arial" w:hint="default"/>
      </w:rPr>
    </w:lvl>
    <w:lvl w:ilvl="8" w:tplc="4A7C053C" w:tentative="1">
      <w:start w:val="1"/>
      <w:numFmt w:val="bullet"/>
      <w:lvlText w:val="•"/>
      <w:lvlJc w:val="left"/>
      <w:pPr>
        <w:tabs>
          <w:tab w:val="num" w:pos="6480"/>
        </w:tabs>
        <w:ind w:left="6480" w:hanging="360"/>
      </w:pPr>
      <w:rPr>
        <w:rFonts w:ascii="Arial" w:hAnsi="Arial" w:hint="default"/>
      </w:rPr>
    </w:lvl>
  </w:abstractNum>
  <w:abstractNum w:abstractNumId="1">
    <w:nsid w:val="177762B3"/>
    <w:multiLevelType w:val="hybridMultilevel"/>
    <w:tmpl w:val="8E8C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86649B"/>
    <w:multiLevelType w:val="hybridMultilevel"/>
    <w:tmpl w:val="7D7C94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E0A1816"/>
    <w:multiLevelType w:val="hybridMultilevel"/>
    <w:tmpl w:val="8FBC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1B0A69"/>
    <w:multiLevelType w:val="hybridMultilevel"/>
    <w:tmpl w:val="3B7ED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C6D05"/>
    <w:multiLevelType w:val="hybridMultilevel"/>
    <w:tmpl w:val="2BDE6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D2FE1"/>
    <w:multiLevelType w:val="hybridMultilevel"/>
    <w:tmpl w:val="091A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097887"/>
    <w:multiLevelType w:val="hybridMultilevel"/>
    <w:tmpl w:val="3E4C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220085"/>
    <w:multiLevelType w:val="hybridMultilevel"/>
    <w:tmpl w:val="7E669DBA"/>
    <w:lvl w:ilvl="0" w:tplc="4F5843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D7231A"/>
    <w:multiLevelType w:val="hybridMultilevel"/>
    <w:tmpl w:val="AD18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243900"/>
    <w:multiLevelType w:val="hybridMultilevel"/>
    <w:tmpl w:val="48EC0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D6788E"/>
    <w:multiLevelType w:val="hybridMultilevel"/>
    <w:tmpl w:val="9424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B44031"/>
    <w:multiLevelType w:val="hybridMultilevel"/>
    <w:tmpl w:val="A1EA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nsid w:val="56681267"/>
    <w:multiLevelType w:val="hybridMultilevel"/>
    <w:tmpl w:val="59D227D2"/>
    <w:lvl w:ilvl="0" w:tplc="EBD86724">
      <w:start w:val="1"/>
      <w:numFmt w:val="bullet"/>
      <w:lvlText w:val="•"/>
      <w:lvlJc w:val="left"/>
      <w:pPr>
        <w:tabs>
          <w:tab w:val="num" w:pos="720"/>
        </w:tabs>
        <w:ind w:left="720" w:hanging="360"/>
      </w:pPr>
      <w:rPr>
        <w:rFonts w:ascii="Arial" w:hAnsi="Arial" w:hint="default"/>
      </w:rPr>
    </w:lvl>
    <w:lvl w:ilvl="1" w:tplc="4FFCE0B8" w:tentative="1">
      <w:start w:val="1"/>
      <w:numFmt w:val="bullet"/>
      <w:lvlText w:val="•"/>
      <w:lvlJc w:val="left"/>
      <w:pPr>
        <w:tabs>
          <w:tab w:val="num" w:pos="1440"/>
        </w:tabs>
        <w:ind w:left="1440" w:hanging="360"/>
      </w:pPr>
      <w:rPr>
        <w:rFonts w:ascii="Arial" w:hAnsi="Arial" w:hint="default"/>
      </w:rPr>
    </w:lvl>
    <w:lvl w:ilvl="2" w:tplc="993AEBA6" w:tentative="1">
      <w:start w:val="1"/>
      <w:numFmt w:val="bullet"/>
      <w:lvlText w:val="•"/>
      <w:lvlJc w:val="left"/>
      <w:pPr>
        <w:tabs>
          <w:tab w:val="num" w:pos="2160"/>
        </w:tabs>
        <w:ind w:left="2160" w:hanging="360"/>
      </w:pPr>
      <w:rPr>
        <w:rFonts w:ascii="Arial" w:hAnsi="Arial" w:hint="default"/>
      </w:rPr>
    </w:lvl>
    <w:lvl w:ilvl="3" w:tplc="DD04A304" w:tentative="1">
      <w:start w:val="1"/>
      <w:numFmt w:val="bullet"/>
      <w:lvlText w:val="•"/>
      <w:lvlJc w:val="left"/>
      <w:pPr>
        <w:tabs>
          <w:tab w:val="num" w:pos="2880"/>
        </w:tabs>
        <w:ind w:left="2880" w:hanging="360"/>
      </w:pPr>
      <w:rPr>
        <w:rFonts w:ascii="Arial" w:hAnsi="Arial" w:hint="default"/>
      </w:rPr>
    </w:lvl>
    <w:lvl w:ilvl="4" w:tplc="3E083F92" w:tentative="1">
      <w:start w:val="1"/>
      <w:numFmt w:val="bullet"/>
      <w:lvlText w:val="•"/>
      <w:lvlJc w:val="left"/>
      <w:pPr>
        <w:tabs>
          <w:tab w:val="num" w:pos="3600"/>
        </w:tabs>
        <w:ind w:left="3600" w:hanging="360"/>
      </w:pPr>
      <w:rPr>
        <w:rFonts w:ascii="Arial" w:hAnsi="Arial" w:hint="default"/>
      </w:rPr>
    </w:lvl>
    <w:lvl w:ilvl="5" w:tplc="211810B2" w:tentative="1">
      <w:start w:val="1"/>
      <w:numFmt w:val="bullet"/>
      <w:lvlText w:val="•"/>
      <w:lvlJc w:val="left"/>
      <w:pPr>
        <w:tabs>
          <w:tab w:val="num" w:pos="4320"/>
        </w:tabs>
        <w:ind w:left="4320" w:hanging="360"/>
      </w:pPr>
      <w:rPr>
        <w:rFonts w:ascii="Arial" w:hAnsi="Arial" w:hint="default"/>
      </w:rPr>
    </w:lvl>
    <w:lvl w:ilvl="6" w:tplc="FF88CB34" w:tentative="1">
      <w:start w:val="1"/>
      <w:numFmt w:val="bullet"/>
      <w:lvlText w:val="•"/>
      <w:lvlJc w:val="left"/>
      <w:pPr>
        <w:tabs>
          <w:tab w:val="num" w:pos="5040"/>
        </w:tabs>
        <w:ind w:left="5040" w:hanging="360"/>
      </w:pPr>
      <w:rPr>
        <w:rFonts w:ascii="Arial" w:hAnsi="Arial" w:hint="default"/>
      </w:rPr>
    </w:lvl>
    <w:lvl w:ilvl="7" w:tplc="1E3070CC" w:tentative="1">
      <w:start w:val="1"/>
      <w:numFmt w:val="bullet"/>
      <w:lvlText w:val="•"/>
      <w:lvlJc w:val="left"/>
      <w:pPr>
        <w:tabs>
          <w:tab w:val="num" w:pos="5760"/>
        </w:tabs>
        <w:ind w:left="5760" w:hanging="360"/>
      </w:pPr>
      <w:rPr>
        <w:rFonts w:ascii="Arial" w:hAnsi="Arial" w:hint="default"/>
      </w:rPr>
    </w:lvl>
    <w:lvl w:ilvl="8" w:tplc="B14C2312" w:tentative="1">
      <w:start w:val="1"/>
      <w:numFmt w:val="bullet"/>
      <w:lvlText w:val="•"/>
      <w:lvlJc w:val="left"/>
      <w:pPr>
        <w:tabs>
          <w:tab w:val="num" w:pos="6480"/>
        </w:tabs>
        <w:ind w:left="6480" w:hanging="360"/>
      </w:pPr>
      <w:rPr>
        <w:rFonts w:ascii="Arial" w:hAnsi="Arial" w:hint="default"/>
      </w:rPr>
    </w:lvl>
  </w:abstractNum>
  <w:abstractNum w:abstractNumId="15">
    <w:nsid w:val="5721592A"/>
    <w:multiLevelType w:val="hybridMultilevel"/>
    <w:tmpl w:val="B9928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276B73"/>
    <w:multiLevelType w:val="hybridMultilevel"/>
    <w:tmpl w:val="DCECE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F14783"/>
    <w:multiLevelType w:val="hybridMultilevel"/>
    <w:tmpl w:val="58FE6A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8">
    <w:nsid w:val="615417CD"/>
    <w:multiLevelType w:val="hybridMultilevel"/>
    <w:tmpl w:val="8658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6B6032"/>
    <w:multiLevelType w:val="hybridMultilevel"/>
    <w:tmpl w:val="2EB2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2EB0FB6"/>
    <w:multiLevelType w:val="hybridMultilevel"/>
    <w:tmpl w:val="5F10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320CCA"/>
    <w:multiLevelType w:val="hybridMultilevel"/>
    <w:tmpl w:val="C846D9C2"/>
    <w:lvl w:ilvl="0" w:tplc="13BA3A64">
      <w:start w:val="1"/>
      <w:numFmt w:val="bullet"/>
      <w:lvlText w:val="•"/>
      <w:lvlJc w:val="left"/>
      <w:pPr>
        <w:tabs>
          <w:tab w:val="num" w:pos="720"/>
        </w:tabs>
        <w:ind w:left="720" w:hanging="360"/>
      </w:pPr>
      <w:rPr>
        <w:rFonts w:ascii="Arial" w:hAnsi="Arial" w:hint="default"/>
      </w:rPr>
    </w:lvl>
    <w:lvl w:ilvl="1" w:tplc="8E306DF8" w:tentative="1">
      <w:start w:val="1"/>
      <w:numFmt w:val="bullet"/>
      <w:lvlText w:val="•"/>
      <w:lvlJc w:val="left"/>
      <w:pPr>
        <w:tabs>
          <w:tab w:val="num" w:pos="1440"/>
        </w:tabs>
        <w:ind w:left="1440" w:hanging="360"/>
      </w:pPr>
      <w:rPr>
        <w:rFonts w:ascii="Arial" w:hAnsi="Arial" w:hint="default"/>
      </w:rPr>
    </w:lvl>
    <w:lvl w:ilvl="2" w:tplc="42FC2F6E" w:tentative="1">
      <w:start w:val="1"/>
      <w:numFmt w:val="bullet"/>
      <w:lvlText w:val="•"/>
      <w:lvlJc w:val="left"/>
      <w:pPr>
        <w:tabs>
          <w:tab w:val="num" w:pos="2160"/>
        </w:tabs>
        <w:ind w:left="2160" w:hanging="360"/>
      </w:pPr>
      <w:rPr>
        <w:rFonts w:ascii="Arial" w:hAnsi="Arial" w:hint="default"/>
      </w:rPr>
    </w:lvl>
    <w:lvl w:ilvl="3" w:tplc="112E9168" w:tentative="1">
      <w:start w:val="1"/>
      <w:numFmt w:val="bullet"/>
      <w:lvlText w:val="•"/>
      <w:lvlJc w:val="left"/>
      <w:pPr>
        <w:tabs>
          <w:tab w:val="num" w:pos="2880"/>
        </w:tabs>
        <w:ind w:left="2880" w:hanging="360"/>
      </w:pPr>
      <w:rPr>
        <w:rFonts w:ascii="Arial" w:hAnsi="Arial" w:hint="default"/>
      </w:rPr>
    </w:lvl>
    <w:lvl w:ilvl="4" w:tplc="CC1CD032" w:tentative="1">
      <w:start w:val="1"/>
      <w:numFmt w:val="bullet"/>
      <w:lvlText w:val="•"/>
      <w:lvlJc w:val="left"/>
      <w:pPr>
        <w:tabs>
          <w:tab w:val="num" w:pos="3600"/>
        </w:tabs>
        <w:ind w:left="3600" w:hanging="360"/>
      </w:pPr>
      <w:rPr>
        <w:rFonts w:ascii="Arial" w:hAnsi="Arial" w:hint="default"/>
      </w:rPr>
    </w:lvl>
    <w:lvl w:ilvl="5" w:tplc="9AB486D2" w:tentative="1">
      <w:start w:val="1"/>
      <w:numFmt w:val="bullet"/>
      <w:lvlText w:val="•"/>
      <w:lvlJc w:val="left"/>
      <w:pPr>
        <w:tabs>
          <w:tab w:val="num" w:pos="4320"/>
        </w:tabs>
        <w:ind w:left="4320" w:hanging="360"/>
      </w:pPr>
      <w:rPr>
        <w:rFonts w:ascii="Arial" w:hAnsi="Arial" w:hint="default"/>
      </w:rPr>
    </w:lvl>
    <w:lvl w:ilvl="6" w:tplc="A30EF868" w:tentative="1">
      <w:start w:val="1"/>
      <w:numFmt w:val="bullet"/>
      <w:lvlText w:val="•"/>
      <w:lvlJc w:val="left"/>
      <w:pPr>
        <w:tabs>
          <w:tab w:val="num" w:pos="5040"/>
        </w:tabs>
        <w:ind w:left="5040" w:hanging="360"/>
      </w:pPr>
      <w:rPr>
        <w:rFonts w:ascii="Arial" w:hAnsi="Arial" w:hint="default"/>
      </w:rPr>
    </w:lvl>
    <w:lvl w:ilvl="7" w:tplc="3D50A316" w:tentative="1">
      <w:start w:val="1"/>
      <w:numFmt w:val="bullet"/>
      <w:lvlText w:val="•"/>
      <w:lvlJc w:val="left"/>
      <w:pPr>
        <w:tabs>
          <w:tab w:val="num" w:pos="5760"/>
        </w:tabs>
        <w:ind w:left="5760" w:hanging="360"/>
      </w:pPr>
      <w:rPr>
        <w:rFonts w:ascii="Arial" w:hAnsi="Arial" w:hint="default"/>
      </w:rPr>
    </w:lvl>
    <w:lvl w:ilvl="8" w:tplc="099852EC" w:tentative="1">
      <w:start w:val="1"/>
      <w:numFmt w:val="bullet"/>
      <w:lvlText w:val="•"/>
      <w:lvlJc w:val="left"/>
      <w:pPr>
        <w:tabs>
          <w:tab w:val="num" w:pos="6480"/>
        </w:tabs>
        <w:ind w:left="6480" w:hanging="360"/>
      </w:pPr>
      <w:rPr>
        <w:rFonts w:ascii="Arial" w:hAnsi="Arial" w:hint="default"/>
      </w:rPr>
    </w:lvl>
  </w:abstractNum>
  <w:abstractNum w:abstractNumId="22">
    <w:nsid w:val="6F15363F"/>
    <w:multiLevelType w:val="hybridMultilevel"/>
    <w:tmpl w:val="7BC8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A85F4B"/>
    <w:multiLevelType w:val="hybridMultilevel"/>
    <w:tmpl w:val="16B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554D24"/>
    <w:multiLevelType w:val="hybridMultilevel"/>
    <w:tmpl w:val="617A06BE"/>
    <w:lvl w:ilvl="0" w:tplc="13BA3A6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0F28DC"/>
    <w:multiLevelType w:val="hybridMultilevel"/>
    <w:tmpl w:val="8E86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8"/>
  </w:num>
  <w:num w:numId="5">
    <w:abstractNumId w:val="19"/>
  </w:num>
  <w:num w:numId="6">
    <w:abstractNumId w:val="23"/>
  </w:num>
  <w:num w:numId="7">
    <w:abstractNumId w:val="15"/>
  </w:num>
  <w:num w:numId="8">
    <w:abstractNumId w:val="12"/>
  </w:num>
  <w:num w:numId="9">
    <w:abstractNumId w:val="3"/>
  </w:num>
  <w:num w:numId="10">
    <w:abstractNumId w:val="10"/>
  </w:num>
  <w:num w:numId="11">
    <w:abstractNumId w:val="22"/>
  </w:num>
  <w:num w:numId="12">
    <w:abstractNumId w:val="25"/>
  </w:num>
  <w:num w:numId="13">
    <w:abstractNumId w:val="2"/>
  </w:num>
  <w:num w:numId="14">
    <w:abstractNumId w:val="7"/>
  </w:num>
  <w:num w:numId="15">
    <w:abstractNumId w:val="17"/>
  </w:num>
  <w:num w:numId="16">
    <w:abstractNumId w:val="5"/>
  </w:num>
  <w:num w:numId="17">
    <w:abstractNumId w:val="20"/>
  </w:num>
  <w:num w:numId="18">
    <w:abstractNumId w:val="13"/>
  </w:num>
  <w:num w:numId="19">
    <w:abstractNumId w:val="0"/>
  </w:num>
  <w:num w:numId="20">
    <w:abstractNumId w:val="21"/>
  </w:num>
  <w:num w:numId="21">
    <w:abstractNumId w:val="14"/>
  </w:num>
  <w:num w:numId="22">
    <w:abstractNumId w:val="24"/>
  </w:num>
  <w:num w:numId="23">
    <w:abstractNumId w:val="6"/>
  </w:num>
  <w:num w:numId="24">
    <w:abstractNumId w:val="1"/>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32D"/>
    <w:rsid w:val="00030848"/>
    <w:rsid w:val="000664A7"/>
    <w:rsid w:val="00066C56"/>
    <w:rsid w:val="000714B2"/>
    <w:rsid w:val="000A0BB6"/>
    <w:rsid w:val="001035F1"/>
    <w:rsid w:val="00293993"/>
    <w:rsid w:val="002A1E1B"/>
    <w:rsid w:val="002B0C4E"/>
    <w:rsid w:val="00303584"/>
    <w:rsid w:val="00335514"/>
    <w:rsid w:val="003547DF"/>
    <w:rsid w:val="003A1182"/>
    <w:rsid w:val="003F6819"/>
    <w:rsid w:val="00474020"/>
    <w:rsid w:val="00475AC3"/>
    <w:rsid w:val="004D1902"/>
    <w:rsid w:val="004F2585"/>
    <w:rsid w:val="0054261F"/>
    <w:rsid w:val="006B5C94"/>
    <w:rsid w:val="00714BB9"/>
    <w:rsid w:val="0072132B"/>
    <w:rsid w:val="00755F2B"/>
    <w:rsid w:val="00790812"/>
    <w:rsid w:val="007C44E5"/>
    <w:rsid w:val="007D36D2"/>
    <w:rsid w:val="007F7522"/>
    <w:rsid w:val="008060D1"/>
    <w:rsid w:val="00844C63"/>
    <w:rsid w:val="00893CBC"/>
    <w:rsid w:val="008958F8"/>
    <w:rsid w:val="0098232D"/>
    <w:rsid w:val="00997AE9"/>
    <w:rsid w:val="009F4151"/>
    <w:rsid w:val="00A16AF1"/>
    <w:rsid w:val="00A63061"/>
    <w:rsid w:val="00A94B4D"/>
    <w:rsid w:val="00AE1049"/>
    <w:rsid w:val="00AE1C09"/>
    <w:rsid w:val="00B718D3"/>
    <w:rsid w:val="00B94BEA"/>
    <w:rsid w:val="00BA4390"/>
    <w:rsid w:val="00BB6BAE"/>
    <w:rsid w:val="00BC5A16"/>
    <w:rsid w:val="00BD755C"/>
    <w:rsid w:val="00C0324E"/>
    <w:rsid w:val="00D03051"/>
    <w:rsid w:val="00D808DC"/>
    <w:rsid w:val="00DC48EA"/>
    <w:rsid w:val="00DF4EBA"/>
    <w:rsid w:val="00E770F6"/>
    <w:rsid w:val="00F65461"/>
    <w:rsid w:val="00F75AD2"/>
    <w:rsid w:val="00FD0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39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4BB9"/>
    <w:pPr>
      <w:keepNext/>
      <w:keepLines/>
      <w:spacing w:before="200" w:after="0" w:line="259" w:lineRule="auto"/>
      <w:outlineLvl w:val="2"/>
    </w:pPr>
    <w:rPr>
      <w:rFonts w:asciiTheme="majorHAnsi" w:eastAsiaTheme="majorEastAsia" w:hAnsiTheme="majorHAnsi" w:cstheme="majorBidi"/>
      <w:b/>
      <w:bCs/>
      <w:color w:val="4F81BD" w:themeColor="accent1"/>
      <w:sz w:val="24"/>
    </w:rPr>
  </w:style>
  <w:style w:type="paragraph" w:styleId="Heading6">
    <w:name w:val="heading 6"/>
    <w:basedOn w:val="Normal"/>
    <w:next w:val="Normal"/>
    <w:link w:val="Heading6Char"/>
    <w:uiPriority w:val="9"/>
    <w:semiHidden/>
    <w:unhideWhenUsed/>
    <w:qFormat/>
    <w:rsid w:val="002A1E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2D"/>
    <w:pPr>
      <w:ind w:left="720"/>
      <w:contextualSpacing/>
    </w:pPr>
  </w:style>
  <w:style w:type="table" w:styleId="TableGrid">
    <w:name w:val="Table Grid"/>
    <w:basedOn w:val="TableNormal"/>
    <w:rsid w:val="00982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5461"/>
    <w:pPr>
      <w:spacing w:before="120" w:after="120" w:line="280" w:lineRule="exact"/>
    </w:pPr>
    <w:rPr>
      <w:rFonts w:ascii="Arial" w:eastAsia="Times New Roman" w:hAnsi="Arial" w:cs="Times New Roman"/>
      <w:sz w:val="20"/>
      <w:szCs w:val="24"/>
      <w:lang w:eastAsia="en-GB"/>
    </w:rPr>
  </w:style>
  <w:style w:type="character" w:customStyle="1" w:styleId="FootnoteTextChar">
    <w:name w:val="Footnote Text Char"/>
    <w:basedOn w:val="DefaultParagraphFont"/>
    <w:link w:val="FootnoteText"/>
    <w:uiPriority w:val="99"/>
    <w:semiHidden/>
    <w:rsid w:val="00F65461"/>
    <w:rPr>
      <w:rFonts w:ascii="Arial" w:eastAsia="Times New Roman" w:hAnsi="Arial" w:cs="Times New Roman"/>
      <w:sz w:val="20"/>
      <w:szCs w:val="24"/>
      <w:lang w:eastAsia="en-GB"/>
    </w:rPr>
  </w:style>
  <w:style w:type="character" w:styleId="FootnoteReference">
    <w:name w:val="footnote reference"/>
    <w:uiPriority w:val="99"/>
    <w:semiHidden/>
    <w:rsid w:val="00F65461"/>
    <w:rPr>
      <w:vertAlign w:val="superscript"/>
    </w:rPr>
  </w:style>
  <w:style w:type="character" w:styleId="Hyperlink">
    <w:name w:val="Hyperlink"/>
    <w:basedOn w:val="DefaultParagraphFont"/>
    <w:uiPriority w:val="99"/>
    <w:unhideWhenUsed/>
    <w:rsid w:val="006B5C94"/>
    <w:rPr>
      <w:color w:val="0000FF" w:themeColor="hyperlink"/>
      <w:u w:val="single"/>
    </w:rPr>
  </w:style>
  <w:style w:type="paragraph" w:styleId="Header">
    <w:name w:val="header"/>
    <w:basedOn w:val="Normal"/>
    <w:link w:val="HeaderChar"/>
    <w:uiPriority w:val="99"/>
    <w:unhideWhenUsed/>
    <w:rsid w:val="0035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7DF"/>
  </w:style>
  <w:style w:type="paragraph" w:styleId="Footer">
    <w:name w:val="footer"/>
    <w:basedOn w:val="Normal"/>
    <w:link w:val="FooterChar"/>
    <w:unhideWhenUsed/>
    <w:rsid w:val="0035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7DF"/>
  </w:style>
  <w:style w:type="paragraph" w:styleId="BalloonText">
    <w:name w:val="Balloon Text"/>
    <w:basedOn w:val="Normal"/>
    <w:link w:val="BalloonTextChar"/>
    <w:uiPriority w:val="99"/>
    <w:semiHidden/>
    <w:unhideWhenUsed/>
    <w:rsid w:val="00C0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24E"/>
    <w:rPr>
      <w:rFonts w:ascii="Tahoma" w:hAnsi="Tahoma" w:cs="Tahoma"/>
      <w:sz w:val="16"/>
      <w:szCs w:val="16"/>
    </w:rPr>
  </w:style>
  <w:style w:type="paragraph" w:styleId="NoSpacing">
    <w:name w:val="No Spacing"/>
    <w:uiPriority w:val="1"/>
    <w:qFormat/>
    <w:rsid w:val="00C0324E"/>
    <w:pPr>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29399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2A1E1B"/>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2A1E1B"/>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2A1E1B"/>
    <w:rPr>
      <w:rFonts w:ascii="Arial" w:eastAsia="Times New Roman" w:hAnsi="Arial" w:cs="Times New Roman"/>
      <w:sz w:val="24"/>
      <w:szCs w:val="20"/>
    </w:rPr>
  </w:style>
  <w:style w:type="paragraph" w:customStyle="1" w:styleId="DeptBullets">
    <w:name w:val="DeptBullets"/>
    <w:basedOn w:val="Normal"/>
    <w:link w:val="DeptBulletsChar"/>
    <w:rsid w:val="002A1E1B"/>
    <w:pPr>
      <w:widowControl w:val="0"/>
      <w:numPr>
        <w:numId w:val="1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2A1E1B"/>
    <w:rPr>
      <w:rFonts w:ascii="Arial" w:eastAsia="Times New Roman" w:hAnsi="Arial" w:cs="Times New Roman"/>
      <w:sz w:val="24"/>
      <w:szCs w:val="20"/>
    </w:rPr>
  </w:style>
  <w:style w:type="paragraph" w:customStyle="1" w:styleId="Default">
    <w:name w:val="Default"/>
    <w:rsid w:val="002A1E1B"/>
    <w:pPr>
      <w:autoSpaceDE w:val="0"/>
      <w:autoSpaceDN w:val="0"/>
      <w:adjustRightInd w:val="0"/>
      <w:spacing w:after="0" w:line="240" w:lineRule="auto"/>
    </w:pPr>
    <w:rPr>
      <w:rFonts w:ascii="HelveticaNeueLT Std Med" w:eastAsia="Times New Roman" w:hAnsi="HelveticaNeueLT Std Med" w:cs="HelveticaNeueLT Std Med"/>
      <w:color w:val="000000"/>
      <w:sz w:val="24"/>
      <w:szCs w:val="24"/>
      <w:lang w:eastAsia="en-GB"/>
    </w:rPr>
  </w:style>
  <w:style w:type="paragraph" w:styleId="NormalWeb">
    <w:name w:val="Normal (Web)"/>
    <w:basedOn w:val="Normal"/>
    <w:uiPriority w:val="99"/>
    <w:unhideWhenUsed/>
    <w:rsid w:val="002A1E1B"/>
    <w:pPr>
      <w:spacing w:before="75" w:after="75" w:line="312" w:lineRule="atLeast"/>
    </w:pPr>
    <w:rPr>
      <w:rFonts w:ascii="Times New Roman" w:eastAsia="Times New Roman" w:hAnsi="Times New Roman" w:cs="Times New Roman"/>
      <w:color w:val="333333"/>
      <w:sz w:val="24"/>
      <w:szCs w:val="24"/>
      <w:lang w:eastAsia="en-GB"/>
    </w:rPr>
  </w:style>
  <w:style w:type="paragraph" w:styleId="BodyText2">
    <w:name w:val="Body Text 2"/>
    <w:basedOn w:val="Normal"/>
    <w:link w:val="BodyText2Char"/>
    <w:uiPriority w:val="99"/>
    <w:semiHidden/>
    <w:unhideWhenUsed/>
    <w:rsid w:val="00714BB9"/>
    <w:pPr>
      <w:spacing w:after="120" w:line="480" w:lineRule="auto"/>
    </w:pPr>
  </w:style>
  <w:style w:type="character" w:customStyle="1" w:styleId="BodyText2Char">
    <w:name w:val="Body Text 2 Char"/>
    <w:basedOn w:val="DefaultParagraphFont"/>
    <w:link w:val="BodyText2"/>
    <w:uiPriority w:val="99"/>
    <w:semiHidden/>
    <w:rsid w:val="00714BB9"/>
  </w:style>
  <w:style w:type="character" w:customStyle="1" w:styleId="Heading3Char">
    <w:name w:val="Heading 3 Char"/>
    <w:basedOn w:val="DefaultParagraphFont"/>
    <w:link w:val="Heading3"/>
    <w:uiPriority w:val="9"/>
    <w:semiHidden/>
    <w:rsid w:val="00714BB9"/>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939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4BB9"/>
    <w:pPr>
      <w:keepNext/>
      <w:keepLines/>
      <w:spacing w:before="200" w:after="0" w:line="259" w:lineRule="auto"/>
      <w:outlineLvl w:val="2"/>
    </w:pPr>
    <w:rPr>
      <w:rFonts w:asciiTheme="majorHAnsi" w:eastAsiaTheme="majorEastAsia" w:hAnsiTheme="majorHAnsi" w:cstheme="majorBidi"/>
      <w:b/>
      <w:bCs/>
      <w:color w:val="4F81BD" w:themeColor="accent1"/>
      <w:sz w:val="24"/>
    </w:rPr>
  </w:style>
  <w:style w:type="paragraph" w:styleId="Heading6">
    <w:name w:val="heading 6"/>
    <w:basedOn w:val="Normal"/>
    <w:next w:val="Normal"/>
    <w:link w:val="Heading6Char"/>
    <w:uiPriority w:val="9"/>
    <w:semiHidden/>
    <w:unhideWhenUsed/>
    <w:qFormat/>
    <w:rsid w:val="002A1E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2D"/>
    <w:pPr>
      <w:ind w:left="720"/>
      <w:contextualSpacing/>
    </w:pPr>
  </w:style>
  <w:style w:type="table" w:styleId="TableGrid">
    <w:name w:val="Table Grid"/>
    <w:basedOn w:val="TableNormal"/>
    <w:rsid w:val="00982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65461"/>
    <w:pPr>
      <w:spacing w:before="120" w:after="120" w:line="280" w:lineRule="exact"/>
    </w:pPr>
    <w:rPr>
      <w:rFonts w:ascii="Arial" w:eastAsia="Times New Roman" w:hAnsi="Arial" w:cs="Times New Roman"/>
      <w:sz w:val="20"/>
      <w:szCs w:val="24"/>
      <w:lang w:eastAsia="en-GB"/>
    </w:rPr>
  </w:style>
  <w:style w:type="character" w:customStyle="1" w:styleId="FootnoteTextChar">
    <w:name w:val="Footnote Text Char"/>
    <w:basedOn w:val="DefaultParagraphFont"/>
    <w:link w:val="FootnoteText"/>
    <w:uiPriority w:val="99"/>
    <w:semiHidden/>
    <w:rsid w:val="00F65461"/>
    <w:rPr>
      <w:rFonts w:ascii="Arial" w:eastAsia="Times New Roman" w:hAnsi="Arial" w:cs="Times New Roman"/>
      <w:sz w:val="20"/>
      <w:szCs w:val="24"/>
      <w:lang w:eastAsia="en-GB"/>
    </w:rPr>
  </w:style>
  <w:style w:type="character" w:styleId="FootnoteReference">
    <w:name w:val="footnote reference"/>
    <w:uiPriority w:val="99"/>
    <w:semiHidden/>
    <w:rsid w:val="00F65461"/>
    <w:rPr>
      <w:vertAlign w:val="superscript"/>
    </w:rPr>
  </w:style>
  <w:style w:type="character" w:styleId="Hyperlink">
    <w:name w:val="Hyperlink"/>
    <w:basedOn w:val="DefaultParagraphFont"/>
    <w:uiPriority w:val="99"/>
    <w:unhideWhenUsed/>
    <w:rsid w:val="006B5C94"/>
    <w:rPr>
      <w:color w:val="0000FF" w:themeColor="hyperlink"/>
      <w:u w:val="single"/>
    </w:rPr>
  </w:style>
  <w:style w:type="paragraph" w:styleId="Header">
    <w:name w:val="header"/>
    <w:basedOn w:val="Normal"/>
    <w:link w:val="HeaderChar"/>
    <w:uiPriority w:val="99"/>
    <w:unhideWhenUsed/>
    <w:rsid w:val="0035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7DF"/>
  </w:style>
  <w:style w:type="paragraph" w:styleId="Footer">
    <w:name w:val="footer"/>
    <w:basedOn w:val="Normal"/>
    <w:link w:val="FooterChar"/>
    <w:unhideWhenUsed/>
    <w:rsid w:val="0035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7DF"/>
  </w:style>
  <w:style w:type="paragraph" w:styleId="BalloonText">
    <w:name w:val="Balloon Text"/>
    <w:basedOn w:val="Normal"/>
    <w:link w:val="BalloonTextChar"/>
    <w:uiPriority w:val="99"/>
    <w:semiHidden/>
    <w:unhideWhenUsed/>
    <w:rsid w:val="00C0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24E"/>
    <w:rPr>
      <w:rFonts w:ascii="Tahoma" w:hAnsi="Tahoma" w:cs="Tahoma"/>
      <w:sz w:val="16"/>
      <w:szCs w:val="16"/>
    </w:rPr>
  </w:style>
  <w:style w:type="paragraph" w:styleId="NoSpacing">
    <w:name w:val="No Spacing"/>
    <w:uiPriority w:val="1"/>
    <w:qFormat/>
    <w:rsid w:val="00C0324E"/>
    <w:pPr>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29399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2A1E1B"/>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2A1E1B"/>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2A1E1B"/>
    <w:rPr>
      <w:rFonts w:ascii="Arial" w:eastAsia="Times New Roman" w:hAnsi="Arial" w:cs="Times New Roman"/>
      <w:sz w:val="24"/>
      <w:szCs w:val="20"/>
    </w:rPr>
  </w:style>
  <w:style w:type="paragraph" w:customStyle="1" w:styleId="DeptBullets">
    <w:name w:val="DeptBullets"/>
    <w:basedOn w:val="Normal"/>
    <w:link w:val="DeptBulletsChar"/>
    <w:rsid w:val="002A1E1B"/>
    <w:pPr>
      <w:widowControl w:val="0"/>
      <w:numPr>
        <w:numId w:val="1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link w:val="DeptBullets"/>
    <w:locked/>
    <w:rsid w:val="002A1E1B"/>
    <w:rPr>
      <w:rFonts w:ascii="Arial" w:eastAsia="Times New Roman" w:hAnsi="Arial" w:cs="Times New Roman"/>
      <w:sz w:val="24"/>
      <w:szCs w:val="20"/>
    </w:rPr>
  </w:style>
  <w:style w:type="paragraph" w:customStyle="1" w:styleId="Default">
    <w:name w:val="Default"/>
    <w:rsid w:val="002A1E1B"/>
    <w:pPr>
      <w:autoSpaceDE w:val="0"/>
      <w:autoSpaceDN w:val="0"/>
      <w:adjustRightInd w:val="0"/>
      <w:spacing w:after="0" w:line="240" w:lineRule="auto"/>
    </w:pPr>
    <w:rPr>
      <w:rFonts w:ascii="HelveticaNeueLT Std Med" w:eastAsia="Times New Roman" w:hAnsi="HelveticaNeueLT Std Med" w:cs="HelveticaNeueLT Std Med"/>
      <w:color w:val="000000"/>
      <w:sz w:val="24"/>
      <w:szCs w:val="24"/>
      <w:lang w:eastAsia="en-GB"/>
    </w:rPr>
  </w:style>
  <w:style w:type="paragraph" w:styleId="NormalWeb">
    <w:name w:val="Normal (Web)"/>
    <w:basedOn w:val="Normal"/>
    <w:uiPriority w:val="99"/>
    <w:unhideWhenUsed/>
    <w:rsid w:val="002A1E1B"/>
    <w:pPr>
      <w:spacing w:before="75" w:after="75" w:line="312" w:lineRule="atLeast"/>
    </w:pPr>
    <w:rPr>
      <w:rFonts w:ascii="Times New Roman" w:eastAsia="Times New Roman" w:hAnsi="Times New Roman" w:cs="Times New Roman"/>
      <w:color w:val="333333"/>
      <w:sz w:val="24"/>
      <w:szCs w:val="24"/>
      <w:lang w:eastAsia="en-GB"/>
    </w:rPr>
  </w:style>
  <w:style w:type="paragraph" w:styleId="BodyText2">
    <w:name w:val="Body Text 2"/>
    <w:basedOn w:val="Normal"/>
    <w:link w:val="BodyText2Char"/>
    <w:uiPriority w:val="99"/>
    <w:semiHidden/>
    <w:unhideWhenUsed/>
    <w:rsid w:val="00714BB9"/>
    <w:pPr>
      <w:spacing w:after="120" w:line="480" w:lineRule="auto"/>
    </w:pPr>
  </w:style>
  <w:style w:type="character" w:customStyle="1" w:styleId="BodyText2Char">
    <w:name w:val="Body Text 2 Char"/>
    <w:basedOn w:val="DefaultParagraphFont"/>
    <w:link w:val="BodyText2"/>
    <w:uiPriority w:val="99"/>
    <w:semiHidden/>
    <w:rsid w:val="00714BB9"/>
  </w:style>
  <w:style w:type="character" w:customStyle="1" w:styleId="Heading3Char">
    <w:name w:val="Heading 3 Char"/>
    <w:basedOn w:val="DefaultParagraphFont"/>
    <w:link w:val="Heading3"/>
    <w:uiPriority w:val="9"/>
    <w:semiHidden/>
    <w:rsid w:val="00714BB9"/>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46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16D20D4945841928F8ECBC3D16C5F" ma:contentTypeVersion="0" ma:contentTypeDescription="Create a new document." ma:contentTypeScope="" ma:versionID="960209716a62bcb3eb3a164ad48bcbe0">
  <xsd:schema xmlns:xsd="http://www.w3.org/2001/XMLSchema" xmlns:xs="http://www.w3.org/2001/XMLSchema" xmlns:p="http://schemas.microsoft.com/office/2006/metadata/properties" xmlns:ns2="1c8a0e75-f4bc-4eb4-8ed0-578eaea9e1ca" targetNamespace="http://schemas.microsoft.com/office/2006/metadata/properties" ma:root="true" ma:fieldsID="ffb4b2b334ba67489c0286fdeb783a2f" ns2:_="">
    <xsd:import namespace="1c8a0e75-f4bc-4eb4-8ed0-578eaea9e1ca"/>
    <xsd:element name="properties">
      <xsd:complexType>
        <xsd:sequence>
          <xsd:element name="documentManagement">
            <xsd:complexType>
              <xsd:all>
                <xsd:element ref="ns2:Document_x0020_Type" minOccurs="0"/>
                <xsd:element ref="ns2:TaxKeywordTaxHTField" minOccurs="0"/>
                <xsd:element ref="ns2:TaxCatchAll" minOccurs="0"/>
                <xsd:element ref="ns2: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a0e75-f4bc-4eb4-8ed0-578eaea9e1ca"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genda"/>
          <xsd:enumeration value="Briefing"/>
          <xsd:enumeration value="Business Case"/>
          <xsd:enumeration value="Contract"/>
          <xsd:enumeration value="Email"/>
          <xsd:enumeration value="Image"/>
          <xsd:enumeration value="Letter"/>
          <xsd:enumeration value="Minutes"/>
          <xsd:enumeration value="Paper"/>
          <xsd:enumeration value="Presentation"/>
          <xsd:enumeration value="Proposal"/>
          <xsd:enumeration value="Report"/>
        </xsd:restriction>
      </xsd:simpleType>
    </xsd:element>
    <xsd:element name="TaxKeywordTaxHTField" ma:index="10" nillable="true" ma:taxonomy="true" ma:internalName="TaxKeywordTaxHTField" ma:taxonomyFieldName="TaxKeyword" ma:displayName="Project keywords" ma:fieldId="{23f27201-bee3-471e-b2e7-b64fd8b7ca38}" ma:taxonomyMulti="true" ma:sspId="cadaa89d-cf19-4401-94d2-2483862272d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description="" ma:hidden="true" ma:list="{f5a57605-5208-42d8-96dd-63dc42501190}" ma:internalName="TaxCatchAll" ma:showField="CatchAllData" ma:web="1c8a0e75-f4bc-4eb4-8ed0-578eaea9e1ca">
      <xsd:complexType>
        <xsd:complexContent>
          <xsd:extension base="dms:MultiChoiceLookup">
            <xsd:sequence>
              <xsd:element name="Value" type="dms:Lookup" maxOccurs="unbounded" minOccurs="0" nillable="true"/>
            </xsd:sequence>
          </xsd:extension>
        </xsd:complexContent>
      </xsd:complexType>
    </xsd:element>
    <xsd:element name="Folder" ma:index="13" nillable="true" ma:displayName="Folder" ma:description="" ma:internalName="Fold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1c8a0e75-f4bc-4eb4-8ed0-578eaea9e1ca">
      <Terms xmlns="http://schemas.microsoft.com/office/infopath/2007/PartnerControls"/>
    </TaxKeywordTaxHTField>
    <Folder xmlns="1c8a0e75-f4bc-4eb4-8ed0-578eaea9e1ca" xsi:nil="true"/>
    <Document_x0020_Type xmlns="1c8a0e75-f4bc-4eb4-8ed0-578eaea9e1ca" xsi:nil="true"/>
    <TaxCatchAll xmlns="1c8a0e75-f4bc-4eb4-8ed0-578eaea9e1ca"/>
  </documentManagement>
</p:properties>
</file>

<file path=customXml/itemProps1.xml><?xml version="1.0" encoding="utf-8"?>
<ds:datastoreItem xmlns:ds="http://schemas.openxmlformats.org/officeDocument/2006/customXml" ds:itemID="{3FD7B65A-2489-4F51-8333-502562D4AF04}"/>
</file>

<file path=customXml/itemProps2.xml><?xml version="1.0" encoding="utf-8"?>
<ds:datastoreItem xmlns:ds="http://schemas.openxmlformats.org/officeDocument/2006/customXml" ds:itemID="{BA0FD448-5ED3-404E-8888-263C62460800}"/>
</file>

<file path=customXml/itemProps3.xml><?xml version="1.0" encoding="utf-8"?>
<ds:datastoreItem xmlns:ds="http://schemas.openxmlformats.org/officeDocument/2006/customXml" ds:itemID="{7833C597-7B3E-44BB-89C9-5314E174A366}"/>
</file>

<file path=customXml/itemProps4.xml><?xml version="1.0" encoding="utf-8"?>
<ds:datastoreItem xmlns:ds="http://schemas.openxmlformats.org/officeDocument/2006/customXml" ds:itemID="{2BA9789B-247B-42F5-9088-28A757FCF72E}"/>
</file>

<file path=docProps/app.xml><?xml version="1.0" encoding="utf-8"?>
<Properties xmlns="http://schemas.openxmlformats.org/officeDocument/2006/extended-properties" xmlns:vt="http://schemas.openxmlformats.org/officeDocument/2006/docPropsVTypes">
  <Template>Normal</Template>
  <TotalTime>2</TotalTime>
  <Pages>13</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White</dc:creator>
  <cp:lastModifiedBy>FM</cp:lastModifiedBy>
  <cp:revision>4</cp:revision>
  <dcterms:created xsi:type="dcterms:W3CDTF">2016-11-07T16:51:00Z</dcterms:created>
  <dcterms:modified xsi:type="dcterms:W3CDTF">2016-11-07T17:01:00Z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81a5e85e-dced-44a5-bfae-daeae41c1ef5</vt:lpwstr>
  </property>
  <property fmtid="{D5CDD505-2E9C-101B-9397-08002B2CF9AE}" pid="3" name="bjSaver">
    <vt:lpwstr>YN2P/idw0mLASKSi0Qyddu6kDAZtqrNH</vt:lpwstr>
  </property>
  <property fmtid="{D5CDD505-2E9C-101B-9397-08002B2CF9AE}" pid="4" name="bjDocumentSecurityLabel">
    <vt:lpwstr>No Marking</vt:lpwstr>
  </property>
  <property fmtid="{D5CDD505-2E9C-101B-9397-08002B2CF9AE}" pid="5" name="ContentTypeId">
    <vt:lpwstr>0x010100B3616D20D4945841928F8ECBC3D16C5F</vt:lpwstr>
  </property>
  <property fmtid="{D5CDD505-2E9C-101B-9397-08002B2CF9AE}" pid="6" name="TaxKeyword">
    <vt:lpwstr/>
  </property>
</Properties>
</file>